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xmlns:wp14="http://schemas.microsoft.com/office/word/2010/wordml" w:rsidR="00A95652" w:rsidP="001753CC" w:rsidRDefault="001753CC" w14:paraId="2DFBD9C0" wp14:textId="77777777">
      <w:pPr>
        <w:pStyle w:val="Heading1"/>
      </w:pPr>
      <w:r>
        <w:t>TOPR Master File</w:t>
      </w:r>
    </w:p>
    <w:p xmlns:wp14="http://schemas.microsoft.com/office/word/2010/wordml" w:rsidR="001753CC" w:rsidP="001753CC" w:rsidRDefault="001753CC" w14:paraId="672A6659" wp14:textId="77777777"/>
    <w:p xmlns:wp14="http://schemas.microsoft.com/office/word/2010/wordml" w:rsidRPr="0082799E" w:rsidR="001753CC" w:rsidP="001753CC" w:rsidRDefault="001753CC" w14:paraId="52AFD15B" wp14:textId="77777777">
      <w:pPr>
        <w:rPr>
          <w:b/>
        </w:rPr>
      </w:pPr>
      <w:r w:rsidRPr="0082799E">
        <w:rPr>
          <w:b/>
        </w:rPr>
        <w:t>Brought to you by Lawson, Cat, Michelle, Harrison, Olivia, Kaita, Ako, Jack, Taylor and Amber.  Special thanks to Jalisa, Aliyah</w:t>
      </w:r>
      <w:r w:rsidR="00404577">
        <w:rPr>
          <w:b/>
        </w:rPr>
        <w:t xml:space="preserve">, Pia, Emily, and </w:t>
      </w:r>
      <w:r w:rsidRPr="0082799E">
        <w:rPr>
          <w:b/>
        </w:rPr>
        <w:t>Toya for rocking with us the whole time &lt;3</w:t>
      </w:r>
    </w:p>
    <w:p xmlns:wp14="http://schemas.microsoft.com/office/word/2010/wordml" w:rsidRPr="00F72F13" w:rsidR="0082799E" w:rsidP="0082799E" w:rsidRDefault="0082799E" w14:paraId="12830E17" wp14:textId="77777777">
      <w:pPr>
        <w:pStyle w:val="Heading1"/>
      </w:pPr>
      <w:r w:rsidRPr="00F72F13">
        <w:lastRenderedPageBreak/>
        <w:t xml:space="preserve">Border Art </w:t>
      </w:r>
      <w:r>
        <w:t>Affirmative</w:t>
      </w:r>
    </w:p>
    <w:p xmlns:wp14="http://schemas.microsoft.com/office/word/2010/wordml" w:rsidRPr="003174D5" w:rsidR="0082799E" w:rsidP="0082799E" w:rsidRDefault="0082799E" w14:paraId="33A1FFD4" wp14:textId="77777777">
      <w:pPr>
        <w:pStyle w:val="Heading2"/>
      </w:pPr>
      <w:r w:rsidRPr="003174D5">
        <w:lastRenderedPageBreak/>
        <w:t>1AC</w:t>
      </w:r>
    </w:p>
    <w:p xmlns:wp14="http://schemas.microsoft.com/office/word/2010/wordml" w:rsidRPr="00F72F13" w:rsidR="0082799E" w:rsidP="0082799E" w:rsidRDefault="0082799E" w14:paraId="164CC513" wp14:textId="77777777">
      <w:pPr>
        <w:spacing w:before="220" w:after="220"/>
        <w:rPr>
          <w:highlight w:val="green"/>
          <w:u w:val="single"/>
        </w:rPr>
      </w:pPr>
      <w:r w:rsidRPr="00F72F13">
        <w:rPr>
          <w:highlight w:val="green"/>
          <w:u w:val="single"/>
        </w:rPr>
        <w:t>When I first saw graffiti, I recognized in it an ugly aesthetic, a dialectics of violence,</w:t>
      </w:r>
    </w:p>
    <w:p xmlns:wp14="http://schemas.microsoft.com/office/word/2010/wordml" w:rsidRPr="00F72F13" w:rsidR="0082799E" w:rsidP="0082799E" w:rsidRDefault="0082799E" w14:paraId="34C93BF6" wp14:textId="77777777">
      <w:pPr>
        <w:spacing w:before="220" w:after="220"/>
        <w:rPr>
          <w:u w:val="single"/>
        </w:rPr>
      </w:pPr>
      <w:r w:rsidRPr="00F72F13">
        <w:t xml:space="preserve">    </w:t>
      </w:r>
      <w:r w:rsidRPr="00F72F13">
        <w:rPr>
          <w:highlight w:val="green"/>
          <w:u w:val="single"/>
        </w:rPr>
        <w:t>a distortion of limbs, a hieroglyph. It was only later when I read the names of the dead</w:t>
      </w:r>
      <w:r w:rsidRPr="00F72F13">
        <w:rPr>
          <w:u w:val="single"/>
        </w:rPr>
        <w:t xml:space="preserve"> </w:t>
      </w:r>
    </w:p>
    <w:p xmlns:wp14="http://schemas.microsoft.com/office/word/2010/wordml" w:rsidRPr="00F72F13" w:rsidR="0082799E" w:rsidP="0082799E" w:rsidRDefault="0082799E" w14:paraId="2DEE308B" wp14:textId="77777777">
      <w:pPr>
        <w:spacing w:before="220" w:after="220"/>
        <w:rPr>
          <w:highlight w:val="green"/>
          <w:u w:val="single"/>
        </w:rPr>
      </w:pPr>
      <w:r w:rsidRPr="00F72F13">
        <w:t xml:space="preserve">    </w:t>
      </w:r>
      <w:r w:rsidRPr="00F72F13">
        <w:rPr>
          <w:highlight w:val="green"/>
          <w:u w:val="single"/>
        </w:rPr>
        <w:t>that I</w:t>
      </w:r>
      <w:r w:rsidRPr="00F72F13">
        <w:rPr>
          <w:u w:val="single"/>
        </w:rPr>
        <w:t xml:space="preserve"> then </w:t>
      </w:r>
      <w:r w:rsidRPr="00F72F13">
        <w:rPr>
          <w:highlight w:val="green"/>
          <w:u w:val="single"/>
        </w:rPr>
        <w:t>saw the path of ghosts charted there;</w:t>
      </w:r>
    </w:p>
    <w:p xmlns:wp14="http://schemas.microsoft.com/office/word/2010/wordml" w:rsidRPr="00F72F13" w:rsidR="0082799E" w:rsidP="0082799E" w:rsidRDefault="0082799E" w14:paraId="6CE35582" wp14:textId="77777777">
      <w:pPr>
        <w:spacing w:before="220" w:after="220"/>
        <w:rPr>
          <w:highlight w:val="green"/>
          <w:u w:val="single"/>
        </w:rPr>
      </w:pPr>
      <w:r w:rsidRPr="00F72F13">
        <w:t xml:space="preserve">    </w:t>
      </w:r>
      <w:r w:rsidRPr="00F72F13">
        <w:rPr>
          <w:highlight w:val="green"/>
          <w:u w:val="single"/>
        </w:rPr>
        <w:t>its narrative of loss for the visible unseen whose place in history has been fictionalized</w:t>
      </w:r>
    </w:p>
    <w:p xmlns:wp14="http://schemas.microsoft.com/office/word/2010/wordml" w:rsidRPr="00F72F13" w:rsidR="0082799E" w:rsidP="0082799E" w:rsidRDefault="0082799E" w14:paraId="35A55537" wp14:textId="77777777">
      <w:pPr>
        <w:spacing w:before="220" w:after="220"/>
      </w:pPr>
      <w:r w:rsidRPr="00F72F13">
        <w:t xml:space="preserve">    and rendered unseen </w:t>
      </w:r>
      <w:r w:rsidRPr="00F72F13">
        <w:rPr>
          <w:highlight w:val="green"/>
          <w:u w:val="single"/>
        </w:rPr>
        <w:t>under the totalizing glare of history</w:t>
      </w:r>
      <w:r w:rsidRPr="00F72F13">
        <w:rPr>
          <w:u w:val="single"/>
        </w:rPr>
        <w:t>.</w:t>
      </w:r>
    </w:p>
    <w:p xmlns:wp14="http://schemas.microsoft.com/office/word/2010/wordml" w:rsidRPr="00F72F13" w:rsidR="0082799E" w:rsidP="0082799E" w:rsidRDefault="0082799E" w14:paraId="29965CFC" wp14:textId="77777777">
      <w:pPr>
        <w:spacing w:before="220" w:after="220"/>
      </w:pPr>
      <w:r w:rsidRPr="00F72F13">
        <w:rPr>
          <w:highlight w:val="green"/>
          <w:u w:val="single"/>
        </w:rPr>
        <w:t>Inscriptions, traces, specters</w:t>
      </w:r>
      <w:r w:rsidRPr="00F72F13">
        <w:rPr>
          <w:u w:val="single"/>
        </w:rPr>
        <w:t xml:space="preserve">. </w:t>
      </w:r>
      <w:r w:rsidRPr="00F72F13">
        <w:rPr>
          <w:highlight w:val="green"/>
          <w:u w:val="single"/>
        </w:rPr>
        <w:t>Graffiti begs a public face just as ghosts require non-ghosts</w:t>
      </w:r>
      <w:r w:rsidRPr="00F72F13">
        <w:rPr>
          <w:u w:val="single"/>
        </w:rPr>
        <w:t xml:space="preserve"> (humans) </w:t>
      </w:r>
      <w:r w:rsidRPr="00F72F13">
        <w:rPr>
          <w:highlight w:val="green"/>
          <w:u w:val="single"/>
        </w:rPr>
        <w:t>to sense them</w:t>
      </w:r>
      <w:r w:rsidRPr="00F72F13">
        <w:t xml:space="preserve">. The “visible unseen” is </w:t>
      </w:r>
      <w:r w:rsidRPr="00F72F13">
        <w:rPr>
          <w:b/>
          <w:highlight w:val="green"/>
          <w:u w:val="single"/>
        </w:rPr>
        <w:t>a game of hide-and-seek between public viewer and graffiti-inscriber, an ephemeral-violent aesthetic on an ephemeral-policed canvas</w:t>
      </w:r>
      <w:r w:rsidRPr="00F72F13">
        <w:rPr>
          <w:highlight w:val="green"/>
        </w:rPr>
        <w:t>.</w:t>
      </w:r>
      <w:r w:rsidRPr="00F72F13">
        <w:t xml:space="preserve"> </w:t>
      </w:r>
      <w:r w:rsidRPr="00F72F13">
        <w:rPr>
          <w:highlight w:val="green"/>
          <w:u w:val="single"/>
        </w:rPr>
        <w:t>Graffiti-inscribers already submit to being forgotten, expect to be washed away</w:t>
      </w:r>
      <w:r w:rsidRPr="00F72F13">
        <w:rPr>
          <w:u w:val="single"/>
        </w:rPr>
        <w:t>;</w:t>
      </w:r>
      <w:r w:rsidRPr="00F72F13">
        <w:t xml:space="preserve"> perhaps it’s a holy urban mandala created by gangster-type monks without Buddhism. </w:t>
      </w:r>
    </w:p>
    <w:p xmlns:wp14="http://schemas.microsoft.com/office/word/2010/wordml" w:rsidRPr="00F72F13" w:rsidR="0082799E" w:rsidP="0082799E" w:rsidRDefault="0082799E" w14:paraId="47A4F871" wp14:textId="77777777">
      <w:pPr>
        <w:spacing w:before="220" w:after="220"/>
        <w:rPr>
          <w:i/>
          <w:highlight w:val="green"/>
          <w:u w:val="single"/>
        </w:rPr>
      </w:pPr>
      <w:r w:rsidRPr="00F72F13">
        <w:t xml:space="preserve">    </w:t>
      </w:r>
      <w:r w:rsidRPr="00F72F13">
        <w:rPr>
          <w:i/>
        </w:rPr>
        <w:t>[...] i</w:t>
      </w:r>
      <w:r w:rsidRPr="00F72F13">
        <w:rPr>
          <w:i/>
          <w:highlight w:val="green"/>
          <w:u w:val="single"/>
        </w:rPr>
        <w:t>n its refusal to disappear it forces a discourse in the public imagination</w:t>
      </w:r>
    </w:p>
    <w:p xmlns:wp14="http://schemas.microsoft.com/office/word/2010/wordml" w:rsidRPr="00F72F13" w:rsidR="0082799E" w:rsidP="0082799E" w:rsidRDefault="0082799E" w14:paraId="39BD033B" wp14:textId="77777777">
      <w:pPr>
        <w:spacing w:before="220" w:after="220"/>
        <w:rPr>
          <w:i/>
          <w:u w:val="single"/>
        </w:rPr>
      </w:pPr>
      <w:r w:rsidRPr="00F72F13">
        <w:rPr>
          <w:i/>
        </w:rPr>
        <w:t xml:space="preserve">   </w:t>
      </w:r>
      <w:r w:rsidRPr="00F72F13">
        <w:rPr>
          <w:i/>
          <w:u w:val="single"/>
        </w:rPr>
        <w:t xml:space="preserve"> </w:t>
      </w:r>
      <w:r w:rsidRPr="00F72F13">
        <w:rPr>
          <w:i/>
          <w:highlight w:val="green"/>
          <w:u w:val="single"/>
        </w:rPr>
        <w:t>we are forced to see what we would rather not</w:t>
      </w:r>
      <w:r w:rsidRPr="00F72F13">
        <w:rPr>
          <w:i/>
          <w:u w:val="single"/>
        </w:rPr>
        <w:t>,</w:t>
      </w:r>
    </w:p>
    <w:p xmlns:wp14="http://schemas.microsoft.com/office/word/2010/wordml" w:rsidRPr="00F72F13" w:rsidR="0082799E" w:rsidP="0082799E" w:rsidRDefault="0082799E" w14:paraId="6918B75D" wp14:textId="77777777">
      <w:pPr>
        <w:spacing w:before="220" w:after="220"/>
        <w:rPr>
          <w:i/>
        </w:rPr>
      </w:pPr>
      <w:r w:rsidRPr="00F72F13">
        <w:rPr>
          <w:i/>
        </w:rPr>
        <w:t xml:space="preserve">    </w:t>
      </w:r>
      <w:r w:rsidRPr="00F72F13">
        <w:rPr>
          <w:i/>
          <w:highlight w:val="green"/>
          <w:u w:val="single"/>
        </w:rPr>
        <w:t>to make sense of an encoded language</w:t>
      </w:r>
      <w:r w:rsidRPr="00F72F13">
        <w:rPr>
          <w:i/>
        </w:rPr>
        <w:t xml:space="preserve"> that we cannot read on the level of meaning.</w:t>
      </w:r>
    </w:p>
    <w:p xmlns:wp14="http://schemas.microsoft.com/office/word/2010/wordml" w:rsidRPr="00F72F13" w:rsidR="0082799E" w:rsidP="0082799E" w:rsidRDefault="0082799E" w14:paraId="6D38AC6C" wp14:textId="77777777">
      <w:pPr>
        <w:spacing w:before="220" w:after="220"/>
        <w:rPr>
          <w:i/>
          <w:highlight w:val="green"/>
          <w:u w:val="single"/>
        </w:rPr>
      </w:pPr>
      <w:r w:rsidRPr="00F72F13">
        <w:rPr>
          <w:i/>
        </w:rPr>
        <w:t xml:space="preserve">    </w:t>
      </w:r>
      <w:r w:rsidRPr="00F72F13">
        <w:rPr>
          <w:i/>
          <w:u w:val="single"/>
        </w:rPr>
        <w:t>i</w:t>
      </w:r>
      <w:r w:rsidRPr="00F72F13">
        <w:rPr>
          <w:i/>
          <w:highlight w:val="green"/>
          <w:u w:val="single"/>
        </w:rPr>
        <w:t>t irritates, forces its agency on us, speaks outside and beyond</w:t>
      </w:r>
    </w:p>
    <w:p xmlns:wp14="http://schemas.microsoft.com/office/word/2010/wordml" w:rsidRPr="00F72F13" w:rsidR="0082799E" w:rsidP="0082799E" w:rsidRDefault="0082799E" w14:paraId="350C31CC" wp14:textId="77777777">
      <w:pPr>
        <w:spacing w:before="220" w:after="220"/>
        <w:rPr>
          <w:i/>
          <w:highlight w:val="green"/>
        </w:rPr>
      </w:pPr>
      <w:r w:rsidRPr="00F72F13">
        <w:rPr>
          <w:i/>
        </w:rPr>
        <w:t xml:space="preserve">    </w:t>
      </w:r>
      <w:r w:rsidRPr="00F72F13">
        <w:rPr>
          <w:i/>
          <w:highlight w:val="green"/>
          <w:u w:val="single"/>
        </w:rPr>
        <w:t>semiotic reach.</w:t>
      </w:r>
    </w:p>
    <w:p xmlns:wp14="http://schemas.microsoft.com/office/word/2010/wordml" w:rsidRPr="00F72F13" w:rsidR="0082799E" w:rsidP="0082799E" w:rsidRDefault="0082799E" w14:paraId="0E4A5346" wp14:textId="77777777">
      <w:pPr>
        <w:spacing w:before="220" w:after="220"/>
        <w:rPr>
          <w:highlight w:val="green"/>
        </w:rPr>
      </w:pPr>
      <w:r w:rsidRPr="00F72F13">
        <w:t xml:space="preserve">An epic font-size pervading the public’s imagination, illegible, </w:t>
      </w:r>
      <w:r w:rsidRPr="00F72F13">
        <w:rPr>
          <w:highlight w:val="green"/>
          <w:u w:val="single"/>
        </w:rPr>
        <w:t>I could just close my eyes, remain passive, drive past, abandon it beyond reach, push it further away beyond death walls. In Barcelona I watched a clean up crew wash walls with an awesome water hose but I was more intrigued by their bodies; not a distortion of limbs, not hieroglyph but also not entirely legible; the laboring body permanently erasing specters of the city, and of course they knew it was also an invitation for the ghosts to return.</w:t>
      </w:r>
      <w:r w:rsidRPr="00F72F13">
        <w:rPr>
          <w:highlight w:val="green"/>
        </w:rPr>
        <w:t xml:space="preserve"> </w:t>
      </w:r>
      <w:r w:rsidRPr="00F72F13">
        <w:rPr>
          <w:highlight w:val="green"/>
          <w:u w:val="single"/>
        </w:rPr>
        <w:t>Graffiti is death’s little sister, is also an aporia.</w:t>
      </w:r>
    </w:p>
    <w:p xmlns:wp14="http://schemas.microsoft.com/office/word/2010/wordml" w:rsidRPr="00F72F13" w:rsidR="0082799E" w:rsidP="0082799E" w:rsidRDefault="0082799E" w14:paraId="7A7B3FF3" wp14:textId="77777777">
      <w:pPr>
        <w:spacing w:before="220" w:after="220"/>
        <w:rPr>
          <w:i/>
        </w:rPr>
      </w:pPr>
      <w:r w:rsidRPr="00F72F13">
        <w:t xml:space="preserve">    </w:t>
      </w:r>
      <w:r w:rsidRPr="00F72F13">
        <w:rPr>
          <w:i/>
        </w:rPr>
        <w:t xml:space="preserve">[...] </w:t>
      </w:r>
      <w:r w:rsidRPr="00F72F13">
        <w:rPr>
          <w:i/>
          <w:highlight w:val="green"/>
          <w:u w:val="single"/>
        </w:rPr>
        <w:t>Graffiti</w:t>
      </w:r>
      <w:r w:rsidRPr="00F72F13">
        <w:rPr>
          <w:i/>
        </w:rPr>
        <w:t xml:space="preserve"> (fr GK -graph(os), something drawn or written, to diagram or chart)</w:t>
      </w:r>
    </w:p>
    <w:p xmlns:wp14="http://schemas.microsoft.com/office/word/2010/wordml" w:rsidRPr="00F72F13" w:rsidR="0082799E" w:rsidP="0082799E" w:rsidRDefault="0082799E" w14:paraId="16F8E8E8" wp14:textId="77777777">
      <w:pPr>
        <w:spacing w:before="220" w:after="220"/>
        <w:rPr>
          <w:i/>
          <w:highlight w:val="green"/>
          <w:u w:val="single"/>
        </w:rPr>
      </w:pPr>
      <w:r w:rsidRPr="00F72F13">
        <w:rPr>
          <w:i/>
        </w:rPr>
        <w:t xml:space="preserve">    </w:t>
      </w:r>
      <w:r w:rsidRPr="00F72F13">
        <w:rPr>
          <w:i/>
          <w:highlight w:val="green"/>
          <w:u w:val="single"/>
        </w:rPr>
        <w:t>attempts to stage the impossible: to erase the essence of its own subjectivity.</w:t>
      </w:r>
    </w:p>
    <w:p xmlns:wp14="http://schemas.microsoft.com/office/word/2010/wordml" w:rsidRPr="00F72F13" w:rsidR="0082799E" w:rsidP="0082799E" w:rsidRDefault="0082799E" w14:paraId="391DB618" wp14:textId="77777777">
      <w:pPr>
        <w:spacing w:before="220" w:after="220"/>
        <w:rPr>
          <w:i/>
          <w:highlight w:val="green"/>
          <w:u w:val="single"/>
        </w:rPr>
      </w:pPr>
      <w:r w:rsidRPr="00F72F13">
        <w:rPr>
          <w:i/>
        </w:rPr>
        <w:t xml:space="preserve">    </w:t>
      </w:r>
      <w:r w:rsidRPr="00F72F13">
        <w:rPr>
          <w:i/>
          <w:u w:val="single"/>
        </w:rPr>
        <w:t xml:space="preserve">Graffiti is </w:t>
      </w:r>
      <w:r w:rsidRPr="00F72F13">
        <w:rPr>
          <w:i/>
          <w:highlight w:val="green"/>
          <w:u w:val="single"/>
        </w:rPr>
        <w:t>a cartography of ghosts</w:t>
      </w:r>
      <w:r w:rsidRPr="00F72F13">
        <w:rPr>
          <w:i/>
          <w:highlight w:val="green"/>
        </w:rPr>
        <w:t xml:space="preserve">, </w:t>
      </w:r>
      <w:r w:rsidRPr="00F72F13">
        <w:rPr>
          <w:i/>
          <w:highlight w:val="green"/>
          <w:u w:val="single"/>
        </w:rPr>
        <w:t>a mapping of elegiac rapture (the transporting</w:t>
      </w:r>
    </w:p>
    <w:p xmlns:wp14="http://schemas.microsoft.com/office/word/2010/wordml" w:rsidRPr="00F72F13" w:rsidR="0082799E" w:rsidP="0082799E" w:rsidRDefault="0082799E" w14:paraId="4C6A6E4C" wp14:textId="77777777">
      <w:pPr>
        <w:spacing w:before="220" w:after="220"/>
        <w:rPr>
          <w:i/>
          <w:highlight w:val="green"/>
          <w:u w:val="single"/>
        </w:rPr>
      </w:pPr>
      <w:r w:rsidRPr="00F72F13">
        <w:rPr>
          <w:i/>
        </w:rPr>
        <w:t xml:space="preserve">    </w:t>
      </w:r>
      <w:r w:rsidRPr="00F72F13">
        <w:rPr>
          <w:i/>
          <w:highlight w:val="green"/>
          <w:u w:val="single"/>
        </w:rPr>
        <w:t>of a person from one place to another, as in heaven) and rupture (the state of</w:t>
      </w:r>
    </w:p>
    <w:p xmlns:wp14="http://schemas.microsoft.com/office/word/2010/wordml" w:rsidRPr="00F72F13" w:rsidR="0082799E" w:rsidP="0082799E" w:rsidRDefault="0082799E" w14:paraId="6E344E19" wp14:textId="77777777">
      <w:pPr>
        <w:spacing w:before="220" w:after="220"/>
        <w:rPr>
          <w:i/>
        </w:rPr>
      </w:pPr>
      <w:r w:rsidRPr="00F72F13">
        <w:rPr>
          <w:i/>
        </w:rPr>
        <w:t xml:space="preserve">    </w:t>
      </w:r>
      <w:r w:rsidRPr="00F72F13">
        <w:rPr>
          <w:i/>
          <w:highlight w:val="green"/>
          <w:u w:val="single"/>
        </w:rPr>
        <w:t>being broken open.)</w:t>
      </w:r>
      <w:r w:rsidRPr="00F72F13">
        <w:rPr>
          <w:i/>
        </w:rPr>
        <w:t xml:space="preserve"> Dwelling is a fiction stasis.</w:t>
      </w:r>
    </w:p>
    <w:p xmlns:wp14="http://schemas.microsoft.com/office/word/2010/wordml" w:rsidRPr="00F72F13" w:rsidR="0082799E" w:rsidP="0082799E" w:rsidRDefault="0082799E" w14:paraId="1333B894" wp14:textId="77777777">
      <w:pPr>
        <w:spacing w:before="220" w:after="220"/>
        <w:rPr>
          <w:i/>
        </w:rPr>
      </w:pPr>
      <w:r w:rsidRPr="00F72F13">
        <w:rPr>
          <w:i/>
        </w:rPr>
        <w:t xml:space="preserve">    [...] The notion of the past as being something done with, a look-back event, inhibits</w:t>
      </w:r>
    </w:p>
    <w:p xmlns:wp14="http://schemas.microsoft.com/office/word/2010/wordml" w:rsidRPr="00F72F13" w:rsidR="0082799E" w:rsidP="0082799E" w:rsidRDefault="0082799E" w14:paraId="395817BF" wp14:textId="77777777">
      <w:pPr>
        <w:spacing w:before="220" w:after="220"/>
        <w:rPr>
          <w:i/>
          <w:highlight w:val="green"/>
          <w:u w:val="single"/>
        </w:rPr>
      </w:pPr>
      <w:r w:rsidRPr="00F72F13">
        <w:rPr>
          <w:i/>
        </w:rPr>
        <w:t xml:space="preserve">    the possibility of reading graffiti as rapture, as rupture. If </w:t>
      </w:r>
      <w:r w:rsidRPr="00F72F13">
        <w:rPr>
          <w:i/>
          <w:highlight w:val="green"/>
          <w:u w:val="single"/>
        </w:rPr>
        <w:t>graffiti posits history</w:t>
      </w:r>
    </w:p>
    <w:p xmlns:wp14="http://schemas.microsoft.com/office/word/2010/wordml" w:rsidRPr="00F72F13" w:rsidR="0082799E" w:rsidP="0082799E" w:rsidRDefault="0082799E" w14:paraId="2C3B3A2A" wp14:textId="77777777">
      <w:pPr>
        <w:spacing w:before="220" w:after="220"/>
        <w:rPr>
          <w:i/>
          <w:highlight w:val="green"/>
          <w:u w:val="single"/>
        </w:rPr>
      </w:pPr>
      <w:r w:rsidRPr="00F72F13">
        <w:rPr>
          <w:i/>
        </w:rPr>
        <w:t xml:space="preserve">    </w:t>
      </w:r>
      <w:r w:rsidRPr="00F72F13">
        <w:rPr>
          <w:i/>
          <w:highlight w:val="green"/>
          <w:u w:val="single"/>
        </w:rPr>
        <w:t>as always in the process of becoming undone.</w:t>
      </w:r>
    </w:p>
    <w:p xmlns:wp14="http://schemas.microsoft.com/office/word/2010/wordml" w:rsidRPr="00F72F13" w:rsidR="0082799E" w:rsidP="0082799E" w:rsidRDefault="0082799E" w14:paraId="5D82F518" wp14:textId="77777777">
      <w:pPr>
        <w:spacing w:before="220" w:after="220"/>
        <w:rPr>
          <w:i/>
        </w:rPr>
      </w:pPr>
      <w:r w:rsidRPr="00F72F13">
        <w:rPr>
          <w:i/>
        </w:rPr>
        <w:lastRenderedPageBreak/>
        <w:tab/>
      </w:r>
      <w:r w:rsidRPr="00F72F13">
        <w:rPr>
          <w:i/>
        </w:rPr>
        <w:t xml:space="preserve">[...] Because </w:t>
      </w:r>
      <w:r w:rsidRPr="00F72F13">
        <w:rPr>
          <w:i/>
          <w:highlight w:val="green"/>
          <w:u w:val="single"/>
        </w:rPr>
        <w:t>what is the body, if not also a complex temple</w:t>
      </w:r>
      <w:r w:rsidRPr="00F72F13">
        <w:rPr>
          <w:i/>
        </w:rPr>
        <w:t>,</w:t>
      </w:r>
    </w:p>
    <w:p xmlns:wp14="http://schemas.microsoft.com/office/word/2010/wordml" w:rsidRPr="00F72F13" w:rsidR="0082799E" w:rsidP="0082799E" w:rsidRDefault="0082799E" w14:paraId="2E644BB3" wp14:textId="77777777">
      <w:pPr>
        <w:spacing w:before="220" w:after="220"/>
        <w:rPr>
          <w:i/>
          <w:u w:val="single"/>
        </w:rPr>
      </w:pPr>
      <w:r w:rsidRPr="00F72F13">
        <w:rPr>
          <w:i/>
        </w:rPr>
        <w:t xml:space="preserve">    </w:t>
      </w:r>
      <w:r w:rsidRPr="00F72F13">
        <w:rPr>
          <w:i/>
          <w:highlight w:val="green"/>
          <w:u w:val="single"/>
        </w:rPr>
        <w:t>an unstable site through which to negotiate subjects, materiality, economies, gods, and</w:t>
      </w:r>
      <w:r w:rsidRPr="00F72F13">
        <w:rPr>
          <w:i/>
          <w:u w:val="single"/>
        </w:rPr>
        <w:t xml:space="preserve">     </w:t>
      </w:r>
    </w:p>
    <w:p xmlns:wp14="http://schemas.microsoft.com/office/word/2010/wordml" w:rsidRPr="00F72F13" w:rsidR="0082799E" w:rsidP="0082799E" w:rsidRDefault="0082799E" w14:paraId="41B1BB2D" wp14:textId="77777777">
      <w:pPr>
        <w:spacing w:before="220" w:after="220"/>
        <w:rPr>
          <w:i/>
        </w:rPr>
      </w:pPr>
      <w:r w:rsidRPr="00F72F13">
        <w:rPr>
          <w:i/>
        </w:rPr>
        <w:t xml:space="preserve">    </w:t>
      </w:r>
      <w:r w:rsidRPr="00F72F13">
        <w:rPr>
          <w:i/>
          <w:highlight w:val="green"/>
          <w:u w:val="single"/>
        </w:rPr>
        <w:t>modes of representations?</w:t>
      </w:r>
      <w:r w:rsidRPr="00F72F13">
        <w:rPr>
          <w:i/>
        </w:rPr>
        <w:t xml:space="preserve"> The site where we are all already belated.</w:t>
      </w:r>
    </w:p>
    <w:p xmlns:wp14="http://schemas.microsoft.com/office/word/2010/wordml" w:rsidRPr="00F72F13" w:rsidR="0082799E" w:rsidP="0082799E" w:rsidRDefault="0082799E" w14:paraId="6B10C840" wp14:textId="77777777">
      <w:pPr>
        <w:spacing w:before="220" w:after="220"/>
      </w:pPr>
      <w:r w:rsidRPr="00F72F13">
        <w:rPr>
          <w:highlight w:val="green"/>
          <w:u w:val="single"/>
        </w:rPr>
        <w:t>Graphein meaning “to write.”</w:t>
      </w:r>
      <w:r w:rsidRPr="00F72F13">
        <w:t xml:space="preserve"> “Derrida says </w:t>
      </w:r>
      <w:r w:rsidRPr="00F72F13">
        <w:rPr>
          <w:highlight w:val="green"/>
          <w:u w:val="single"/>
        </w:rPr>
        <w:t>every archive makes a law, and the law of genre is its own rupture”</w:t>
      </w:r>
      <w:r w:rsidRPr="00F72F13">
        <w:rPr>
          <w:u w:val="single"/>
        </w:rPr>
        <w:t xml:space="preserve"> </w:t>
      </w:r>
      <w:r w:rsidRPr="00F72F13">
        <w:t>(Bloch, 39). However, graffiti is an (non/anti)-archive of erasure due to (the politics of) washing out its subjectivity, which only adds onto (or is symptomatic of) its character. The inhibition of “reading graffiti as rapture, as rupture” is partly due to it being a “look-back” event in that it’s process involves scratching through layers to reveal previous specters underneath.</w:t>
      </w:r>
      <w:r w:rsidRPr="00F72F13">
        <w:rPr>
          <w:u w:val="single"/>
        </w:rPr>
        <w:t xml:space="preserve"> </w:t>
      </w:r>
      <w:r w:rsidRPr="00F72F13">
        <w:rPr>
          <w:highlight w:val="green"/>
          <w:u w:val="single"/>
        </w:rPr>
        <w:t>Graffiti (as an ancient genre) has always been a thing of ‘becoming undone’, and therefore ‘belated and always in arrival</w:t>
      </w:r>
      <w:r w:rsidRPr="00F72F13">
        <w:rPr>
          <w:u w:val="single"/>
        </w:rPr>
        <w:t>’</w:t>
      </w:r>
      <w:r w:rsidRPr="00F72F13">
        <w:t xml:space="preserve"> (Levitsky). </w:t>
      </w:r>
      <w:r w:rsidRPr="00F72F13">
        <w:rPr>
          <w:u w:val="single"/>
        </w:rPr>
        <w:t>I</w:t>
      </w:r>
      <w:r w:rsidRPr="00F72F13">
        <w:rPr>
          <w:highlight w:val="green"/>
          <w:u w:val="single"/>
        </w:rPr>
        <w:t>t’s a Dionysian activity done at night with it’s back turned toward us.</w:t>
      </w:r>
      <w:r w:rsidRPr="00F72F13">
        <w:rPr>
          <w:u w:val="single"/>
        </w:rPr>
        <w:t xml:space="preserve"> "</w:t>
      </w:r>
      <w:r w:rsidRPr="00F72F13">
        <w:rPr>
          <w:highlight w:val="green"/>
          <w:u w:val="single"/>
        </w:rPr>
        <w:t>The specter</w:t>
      </w:r>
      <w:r w:rsidRPr="00F72F13">
        <w:rPr>
          <w:u w:val="single"/>
        </w:rPr>
        <w:t xml:space="preserve"> [...] </w:t>
      </w:r>
      <w:r w:rsidRPr="00F72F13">
        <w:rPr>
          <w:highlight w:val="green"/>
          <w:u w:val="single"/>
        </w:rPr>
        <w:t>is of the visible, but of the invisible visible, it is the visibility of a body which is not present in flesh and blood</w:t>
      </w:r>
      <w:r w:rsidRPr="00F72F13">
        <w:t xml:space="preserve"> [...] </w:t>
      </w:r>
      <w:r w:rsidRPr="00F72F13">
        <w:rPr>
          <w:highlight w:val="green"/>
          <w:u w:val="single"/>
        </w:rPr>
        <w:t>appearing for vision, to the brightness of day</w:t>
      </w:r>
      <w:r w:rsidRPr="00F72F13">
        <w:t xml:space="preserve"> [...] something becomes almost visible which is </w:t>
      </w:r>
      <w:r w:rsidRPr="00F72F13">
        <w:rPr>
          <w:highlight w:val="green"/>
          <w:u w:val="single"/>
        </w:rPr>
        <w:t>visible only insofar as it is not visible in flesh and blood.</w:t>
      </w:r>
      <w:r w:rsidRPr="00F72F13">
        <w:t xml:space="preserve"> </w:t>
      </w:r>
      <w:r w:rsidRPr="00F72F13">
        <w:rPr>
          <w:u w:val="single"/>
        </w:rPr>
        <w:t xml:space="preserve">It is </w:t>
      </w:r>
      <w:r w:rsidRPr="00F72F13">
        <w:rPr>
          <w:highlight w:val="green"/>
          <w:u w:val="single"/>
        </w:rPr>
        <w:t>a night visibility</w:t>
      </w:r>
      <w:r w:rsidRPr="00F72F13">
        <w:rPr>
          <w:u w:val="single"/>
        </w:rPr>
        <w:t xml:space="preserve">. </w:t>
      </w:r>
      <w:r w:rsidRPr="00F72F13">
        <w:rPr>
          <w:highlight w:val="green"/>
          <w:u w:val="single"/>
        </w:rPr>
        <w:t>As soon as there is a technology of the image, visibility brings night. It incarnates in a night body, it radiates in a night light"</w:t>
      </w:r>
      <w:r w:rsidRPr="00F72F13">
        <w:rPr>
          <w:highlight w:val="green"/>
        </w:rPr>
        <w:t xml:space="preserve"> </w:t>
      </w:r>
      <w:r w:rsidRPr="00F72F13">
        <w:t>(Derrida &amp; Stiegler, 115).</w:t>
      </w:r>
    </w:p>
    <w:p xmlns:wp14="http://schemas.microsoft.com/office/word/2010/wordml" w:rsidRPr="00F72F13" w:rsidR="0082799E" w:rsidP="0082799E" w:rsidRDefault="0082799E" w14:paraId="18DF4285" wp14:textId="77777777">
      <w:r w:rsidRPr="00F72F13">
        <w:t xml:space="preserve">-- Feliz Lucia Molina, “Investigative Poetics: In (night)-Light of Akilah Oliver”, continent. Issue 1.2, 2011, 70-75 Feliz Molina is a poet and MA candidate at the School of Social Work Administration at the University of Chicago. </w:t>
      </w:r>
    </w:p>
    <w:p xmlns:wp14="http://schemas.microsoft.com/office/word/2010/wordml" w:rsidRPr="00F72F13" w:rsidR="0082799E" w:rsidP="0082799E" w:rsidRDefault="0082799E" w14:paraId="0A37501D" wp14:textId="77777777"/>
    <w:p xmlns:wp14="http://schemas.microsoft.com/office/word/2010/wordml" w:rsidRPr="00F72F13" w:rsidR="0082799E" w:rsidP="0082799E" w:rsidRDefault="0082799E" w14:paraId="337A7A71" wp14:textId="77777777">
      <w:r w:rsidRPr="00F72F13">
        <w:rPr>
          <w:rStyle w:val="Heading4Char"/>
          <w:sz w:val="28"/>
        </w:rPr>
        <w:t>Graffiti is a play on the material remainders of writing, an illicit and improvisational textuality, an experimentation in form. Graffiti artists along the US/Mexico border deface and efface propriety, refuse proper inhabitation of public space and its bounded frontier in acts of desecration that paradoxically reveal that the border marks a cemetery of unmarked graves and unnamed dead</w:t>
      </w:r>
      <w:r w:rsidRPr="00F72F13">
        <w:t xml:space="preserve">. </w:t>
      </w:r>
    </w:p>
    <w:p xmlns:wp14="http://schemas.microsoft.com/office/word/2010/wordml" w:rsidRPr="00F72F13" w:rsidR="0082799E" w:rsidP="0082799E" w:rsidRDefault="0082799E" w14:paraId="2BA541F5" wp14:textId="77777777">
      <w:r w:rsidRPr="00F72F13">
        <w:rPr>
          <w:rStyle w:val="Style13ptBold"/>
          <w:sz w:val="28"/>
        </w:rPr>
        <w:t>Nandrea 99</w:t>
      </w:r>
      <w:r w:rsidRPr="00F72F13">
        <w:rPr>
          <w:sz w:val="28"/>
          <w:szCs w:val="26"/>
        </w:rPr>
        <w:t xml:space="preserve"> </w:t>
      </w:r>
      <w:r w:rsidRPr="00F72F13">
        <w:t>(Lori, Graffiti Taught Me Everything I Know About Space : Urban Fronts And Borders. Northwestern University, Ph.D in English. Pages 1-7. //starboy)</w:t>
      </w:r>
    </w:p>
    <w:p xmlns:wp14="http://schemas.microsoft.com/office/word/2010/wordml" w:rsidRPr="00F72F13" w:rsidR="0082799E" w:rsidP="0082799E" w:rsidRDefault="0082799E" w14:paraId="081C20E4" wp14:textId="77777777">
      <w:pPr>
        <w:rPr>
          <w:u w:val="single"/>
        </w:rPr>
      </w:pPr>
      <w:r w:rsidRPr="00404762">
        <w:rPr>
          <w:sz w:val="14"/>
          <w:szCs w:val="16"/>
        </w:rPr>
        <w:t xml:space="preserve">In any event, the first spatial tier that occurred to me when confronted with Graffiti Taught Me Everything I Know about Space was the space of writing—no doubt because this is a space in which I can feel intellectually at home. Taking writing quite concretely, how does graffiti map or re-map the formal space of inscription? Ordinarily, we write on pages, using the equivalent of a typewriter—a machine originally invented for the blind. The printed page is a space with a logic that is literally pre-scribed. Machines map it out for us, and it is mapped in about the same way in the bulk of material I read. In contrast to the page’s rigid spatial stratification, </w:t>
      </w:r>
      <w:r w:rsidRPr="00404762">
        <w:rPr>
          <w:rStyle w:val="StyleUnderline"/>
          <w:highlight w:val="green"/>
        </w:rPr>
        <w:t>the wall offers</w:t>
      </w:r>
      <w:r w:rsidRPr="00404762">
        <w:rPr>
          <w:sz w:val="14"/>
        </w:rPr>
        <w:t xml:space="preserve"> </w:t>
      </w:r>
      <w:r w:rsidRPr="00404762">
        <w:rPr>
          <w:sz w:val="14"/>
          <w:szCs w:val="16"/>
        </w:rPr>
        <w:t xml:space="preserve">what Deleuze and Guattari would call </w:t>
      </w:r>
      <w:r w:rsidRPr="00404762">
        <w:rPr>
          <w:rStyle w:val="StyleUnderline"/>
        </w:rPr>
        <w:t>a</w:t>
      </w:r>
      <w:r w:rsidRPr="00404762">
        <w:rPr>
          <w:rStyle w:val="StyleUnderline"/>
          <w:highlight w:val="green"/>
        </w:rPr>
        <w:t xml:space="preserve"> rhizomatic space: inscriptions can begin and end anywhere, can proceed unpredictably in any direction</w:t>
      </w:r>
      <w:r w:rsidRPr="00404762">
        <w:rPr>
          <w:rStyle w:val="StyleUnderline"/>
        </w:rPr>
        <w:t xml:space="preserve">, can form surprising juxtapositions, layerings, and diagonal relations. Even a canvas is already gridded by the entire history of art; </w:t>
      </w:r>
      <w:r w:rsidRPr="00404762">
        <w:rPr>
          <w:rStyle w:val="StyleUnderline"/>
          <w:highlight w:val="green"/>
        </w:rPr>
        <w:t>graffiti, perpetually erased, has no such history and reinvents itself in each gesture, with each generation</w:t>
      </w:r>
      <w:r w:rsidRPr="00404762">
        <w:rPr>
          <w:rStyle w:val="StyleUnderline"/>
        </w:rPr>
        <w:t xml:space="preserve">. In this sense, graffiti can teach us about the free space of the margin in which </w:t>
      </w:r>
      <w:r w:rsidRPr="00404762">
        <w:rPr>
          <w:rStyle w:val="StyleUnderline"/>
          <w:highlight w:val="green"/>
        </w:rPr>
        <w:t>the significance of form—and the ways in which form can be made to signify—can be dis-covered, experimented, explored</w:t>
      </w:r>
      <w:r w:rsidRPr="00F72F13">
        <w:rPr>
          <w:u w:val="single"/>
        </w:rPr>
        <w:t>.</w:t>
      </w:r>
      <w:r w:rsidRPr="00404762">
        <w:rPr>
          <w:sz w:val="14"/>
        </w:rPr>
        <w:t xml:space="preserve"> </w:t>
      </w:r>
      <w:r w:rsidRPr="00404762">
        <w:rPr>
          <w:sz w:val="14"/>
          <w:szCs w:val="16"/>
        </w:rPr>
        <w:t xml:space="preserve">At its best, </w:t>
      </w:r>
      <w:r w:rsidRPr="00404762">
        <w:rPr>
          <w:rStyle w:val="StyleUnderline"/>
          <w:highlight w:val="green"/>
        </w:rPr>
        <w:t>graffiti plays on the material remainders of writing</w:t>
      </w:r>
      <w:r w:rsidRPr="00404762">
        <w:rPr>
          <w:rStyle w:val="StyleUnderline"/>
        </w:rPr>
        <w:t xml:space="preserve">: the shape of a letter, its non neutral angles, curves, and colors. </w:t>
      </w:r>
      <w:r w:rsidRPr="00404762">
        <w:rPr>
          <w:rStyle w:val="StyleUnderline"/>
          <w:highlight w:val="green"/>
        </w:rPr>
        <w:t xml:space="preserve">This formal or typographical </w:t>
      </w:r>
      <w:r w:rsidRPr="00404762">
        <w:rPr>
          <w:rStyle w:val="StyleUnderline"/>
          <w:highlight w:val="green"/>
        </w:rPr>
        <w:lastRenderedPageBreak/>
        <w:t xml:space="preserve">dimension that is the affect of words, the face of a page, is exploited </w:t>
      </w:r>
      <w:r w:rsidRPr="00404762">
        <w:rPr>
          <w:rStyle w:val="StyleUnderline"/>
        </w:rPr>
        <w:t xml:space="preserve">with great skill </w:t>
      </w:r>
      <w:r w:rsidRPr="00404762">
        <w:rPr>
          <w:rStyle w:val="StyleUnderline"/>
          <w:highlight w:val="green"/>
        </w:rPr>
        <w:t>by graffiti artists,</w:t>
      </w:r>
      <w:r w:rsidRPr="00404762">
        <w:rPr>
          <w:rStyle w:val="StyleUnderline"/>
        </w:rPr>
        <w:t xml:space="preserve"> </w:t>
      </w:r>
      <w:r w:rsidRPr="00404762">
        <w:rPr>
          <w:rStyle w:val="StyleUnderline"/>
          <w:highlight w:val="green"/>
        </w:rPr>
        <w:t>who use the shapes of language to make faces at and on the backs of proper urban spaces.</w:t>
      </w:r>
      <w:r w:rsidRPr="00F72F13">
        <w:rPr>
          <w:sz w:val="16"/>
          <w:szCs w:val="16"/>
          <w:u w:val="single"/>
        </w:rPr>
        <w:t xml:space="preserve"> </w:t>
      </w:r>
      <w:r w:rsidRPr="00404762">
        <w:rPr>
          <w:sz w:val="14"/>
          <w:szCs w:val="16"/>
        </w:rPr>
        <w:t xml:space="preserve">From this angle, graffiti might teach a child some-thing about spatial potential, about the ways a margin can become a frontier. About two weeks after coming to this reassuring conclusion, I caught a glimpse of Graffiti Taught Me Everything I Know about Space from the window of an elevated train. From this height I saw with no small shock that it was not a schoolyard wall at all, but the wall of a large city cemetery. </w:t>
      </w:r>
      <w:r w:rsidRPr="00404762">
        <w:rPr>
          <w:rStyle w:val="StyleUnderline"/>
        </w:rPr>
        <w:t>At the top of the wall, angled in so it could not be seen from the street, a triple strand of barbed wire was designed to prevent climbing over</w:t>
      </w:r>
      <w:r w:rsidRPr="00404762">
        <w:rPr>
          <w:sz w:val="14"/>
          <w:szCs w:val="16"/>
        </w:rPr>
        <w:t xml:space="preserve">; as an additional precaution, a mattress of barbed wire on the other side stopped anyone from jumping into the cemetery. Also of course from making away out. Suddenly </w:t>
      </w:r>
      <w:r w:rsidRPr="00404762">
        <w:rPr>
          <w:rStyle w:val="StyleUnderline"/>
        </w:rPr>
        <w:t xml:space="preserve">the potential of the margins seemed minuscule, </w:t>
      </w:r>
      <w:r w:rsidRPr="00404762">
        <w:rPr>
          <w:rStyle w:val="StyleUnderline"/>
          <w:highlight w:val="green"/>
        </w:rPr>
        <w:t>the freehand graffiti faces mocked by the austere violence of the barbed wire border</w:t>
      </w:r>
      <w:r w:rsidRPr="00404762">
        <w:rPr>
          <w:rStyle w:val="StyleUnderline"/>
        </w:rPr>
        <w:t xml:space="preserve">. </w:t>
      </w:r>
      <w:r w:rsidRPr="00404762">
        <w:rPr>
          <w:sz w:val="14"/>
          <w:szCs w:val="16"/>
        </w:rPr>
        <w:t xml:space="preserve">Moreover, it was difficult not to see an almost cinematic progression in the hand print, the text, the cemetery that, despite the barbed wire, would probably be reached too soon by the child who learned about space from graffiti. Children growing up on the wrong sides of urban borderlines are at risk in so many ways; on the edge of everything, they are almost doomed. Here they are already playing precariously on the border of death, making small colorful hand prints on a cemetery wall. On the out-side of an Outside space, home of the dead, the hand prints now seemed a tragically transitory mark over against the solidity of headstones. The cemetery is a strange space, as is the space of the grave; these are not spaces we claim, but they claim us. An estranged or inverse image of the frontier no one can either face or cross. Over the next several weeks I was condemned to watch from the window of the El as Graffiti Taught Me Everything I Know about Space began to decay. A totally exposed and fragile surface, as vulnerable as an upturned face or an outstretched hand, it was susceptible to the harsh Chicago weather that started to wear it away. I was distressed by this erosion, which seemed almost sacrilegious; particularly in that the more the site was defaced, the more alive it seemed to become. </w:t>
      </w:r>
      <w:r w:rsidRPr="00404762">
        <w:rPr>
          <w:rStyle w:val="StyleUnderline"/>
          <w:highlight w:val="green"/>
        </w:rPr>
        <w:t>Defacement tampers with the borders between signifier, signified, and referent: it can mysteriously particularize, mortalize, even impassion a signifier, giving to representation the status of a sensible body,</w:t>
      </w:r>
      <w:r w:rsidRPr="00404762">
        <w:rPr>
          <w:rStyle w:val="StyleUnderline"/>
        </w:rPr>
        <w:t xml:space="preserve"> as if it worked the same magic a child’s imagination works on objects to make them become real. But then </w:t>
      </w:r>
      <w:r w:rsidRPr="00404762">
        <w:rPr>
          <w:rStyle w:val="StyleUnderline"/>
          <w:highlight w:val="green"/>
        </w:rPr>
        <w:t>in the midst of becoming a body, the wall stopped and became, instead, a theater, a stage for another kind of performance</w:t>
      </w:r>
      <w:r w:rsidRPr="00404762">
        <w:rPr>
          <w:rStyle w:val="StyleUnderline"/>
        </w:rPr>
        <w:t>.</w:t>
      </w:r>
      <w:r w:rsidRPr="00404762">
        <w:rPr>
          <w:sz w:val="14"/>
        </w:rPr>
        <w:t xml:space="preserve"> </w:t>
      </w:r>
      <w:r w:rsidRPr="00404762">
        <w:rPr>
          <w:sz w:val="14"/>
          <w:szCs w:val="16"/>
        </w:rPr>
        <w:t xml:space="preserve">Until the paint began to flake away, neighborhood gangs had left the wall alone. But as decay pr ogressed and blank spaces opened up, cryptic gang signs began to appear, constructing other borders, defining a different frontier, and provoking for me a less aesthetic, more political confrontation with the question of what this child might have learned about space. Graffiti takes many forms and serves many functions, but perhaps the most prevalent and certainly the best publicized function of urban scrawl is to stake out gang territory, to lay claim to an alley, a corner, a roof, or an entire area symbolically fenced off by gang signatures. In an amazing and wholly audacious gesture, these urban gangs redraw all the lines of the city, simply overwriting proper legal and political boundaries in a double war waged on two uneven fronts. On the one hand, gang </w:t>
      </w:r>
      <w:r w:rsidRPr="00404762">
        <w:rPr>
          <w:rStyle w:val="StyleUnderline"/>
          <w:highlight w:val="green"/>
        </w:rPr>
        <w:t>graffiti violates the proper owner, challenging the authority of the systems that exclude these illicit claimants and forcibly invading spaces to which access through socially accepted channels is blocked. And yet this is a hopeless and long-lost war</w:t>
      </w:r>
      <w:r w:rsidRPr="00F72F13">
        <w:rPr>
          <w:u w:val="single"/>
        </w:rPr>
        <w:t>.</w:t>
      </w:r>
      <w:r w:rsidRPr="00404762">
        <w:rPr>
          <w:sz w:val="14"/>
        </w:rPr>
        <w:t xml:space="preserve"> </w:t>
      </w:r>
      <w:r w:rsidRPr="00404762">
        <w:rPr>
          <w:sz w:val="14"/>
          <w:szCs w:val="16"/>
        </w:rPr>
        <w:t xml:space="preserve">We on the inside see the writing on the outer wall, the curiously foreign script we cannot read; it makes us vaguely uneasy or angry perhaps, but that is all. Gang territory can only really be claimed against other gangs, in a violent game of colonization and territory that precisely mirrors the ethics and practices of property that have literally defined America. </w:t>
      </w:r>
      <w:r w:rsidRPr="00404762">
        <w:rPr>
          <w:rStyle w:val="StyleUnderline"/>
          <w:highlight w:val="green"/>
        </w:rPr>
        <w:t>The legal game takes place on the insides of city spaces and history books, the illegal game on the outsides</w:t>
      </w:r>
      <w:r w:rsidRPr="00404762">
        <w:rPr>
          <w:rStyle w:val="StyleUnderline"/>
        </w:rPr>
        <w:t>,</w:t>
      </w:r>
      <w:r w:rsidRPr="00404762">
        <w:rPr>
          <w:sz w:val="14"/>
          <w:szCs w:val="16"/>
        </w:rPr>
        <w:t xml:space="preserve"> but the rules and goals are much the same. It is not at all the case that gang members have not learned American values; they have learned them extremely well. </w:t>
      </w:r>
      <w:r w:rsidRPr="00404762">
        <w:rPr>
          <w:rStyle w:val="StyleUnderline"/>
          <w:highlight w:val="green"/>
        </w:rPr>
        <w:t>The desire for possessions, for belonging, for a public name, for property and protection; the formation of powerful organized hierarchies, the use of force to stake out spaces and a blind disregard for the claims of others; the very concept of space as something that can be conquered, taken over, defended as one’s own</w:t>
      </w:r>
      <w:r w:rsidRPr="00404762">
        <w:rPr>
          <w:rStyle w:val="StyleUnderline"/>
        </w:rPr>
        <w:t>:</w:t>
      </w:r>
      <w:r w:rsidRPr="00F72F13">
        <w:rPr>
          <w:u w:val="single"/>
        </w:rPr>
        <w:t xml:space="preserve"> all this is played out on both sides of the wall</w:t>
      </w:r>
      <w:r w:rsidRPr="00404762">
        <w:rPr>
          <w:sz w:val="14"/>
        </w:rPr>
        <w:t xml:space="preserve">. </w:t>
      </w:r>
      <w:r w:rsidRPr="00F72F13">
        <w:rPr>
          <w:b/>
          <w:u w:val="single"/>
        </w:rPr>
        <w:t xml:space="preserve">If </w:t>
      </w:r>
      <w:r w:rsidRPr="00F72F13">
        <w:rPr>
          <w:b/>
          <w:highlight w:val="green"/>
          <w:u w:val="single"/>
        </w:rPr>
        <w:t>we are terrified of the image of the American gang</w:t>
      </w:r>
      <w:r w:rsidRPr="00F72F13">
        <w:rPr>
          <w:b/>
          <w:u w:val="single"/>
        </w:rPr>
        <w:t xml:space="preserve">, it is in part </w:t>
      </w:r>
      <w:r w:rsidRPr="00F72F13">
        <w:rPr>
          <w:b/>
          <w:highlight w:val="green"/>
          <w:u w:val="single"/>
        </w:rPr>
        <w:t>because this image reflects back to us in brutal form the mores and values America teaches its children—the ones it owns, recognizes, invites in, as well as those it silently excludes while vehemently denying any exclusion and vilifying those who cannot get what we tell them to want, who have no access and no egress in the dominant symbolic order, those who mark its margins.</w:t>
      </w:r>
      <w:r w:rsidRPr="00404762">
        <w:rPr>
          <w:sz w:val="14"/>
        </w:rPr>
        <w:t xml:space="preserve"> </w:t>
      </w:r>
      <w:r w:rsidRPr="00404762">
        <w:rPr>
          <w:sz w:val="14"/>
          <w:szCs w:val="16"/>
        </w:rPr>
        <w:t xml:space="preserve">Between and within the double wars waged daily by urban gangs, children get caught—particularly the children who learn about space from graffiti. Children are accidentally or intentionally shot by gang members or by police; they are routinely crushed between the inside and the outside as they play out their own horribly serious pantomimes of staking a claim. It is difficult to imagine a sense in which these children experience frontier as a space of expanding possibilities, the free space of the unexplored, a beyond to the old where one might create the new. </w:t>
      </w:r>
      <w:r w:rsidRPr="00F72F13">
        <w:rPr>
          <w:b/>
          <w:highlight w:val="green"/>
          <w:u w:val="single"/>
        </w:rPr>
        <w:t>The use of the space of a cemetery wall for a frontier seems heroic and tragic and terrible at the same time: born into a world of blank walls that enclose an outside, where there is no door, not even a locked one,</w:t>
      </w:r>
      <w:r w:rsidRPr="00F72F13">
        <w:rPr>
          <w:highlight w:val="green"/>
          <w:u w:val="single"/>
        </w:rPr>
        <w:t xml:space="preserve"> </w:t>
      </w:r>
      <w:r w:rsidRPr="00F72F13">
        <w:rPr>
          <w:b/>
          <w:highlight w:val="green"/>
          <w:u w:val="single"/>
        </w:rPr>
        <w:t>perhaps a teenaged child draws a door on the wall</w:t>
      </w:r>
      <w:r w:rsidRPr="00F72F13">
        <w:rPr>
          <w:sz w:val="16"/>
          <w:szCs w:val="16"/>
          <w:highlight w:val="green"/>
          <w:u w:val="single"/>
        </w:rPr>
        <w:t>.</w:t>
      </w:r>
      <w:r w:rsidRPr="00404762">
        <w:rPr>
          <w:sz w:val="14"/>
          <w:szCs w:val="16"/>
        </w:rPr>
        <w:t xml:space="preserve"> No one has Harold’s magic purple crayon; it is not a door that will open, but perhaps it lets you imagine it is you who are on the inside. </w:t>
      </w:r>
      <w:r w:rsidRPr="00404762">
        <w:rPr>
          <w:rStyle w:val="StyleUnderline"/>
          <w:highlight w:val="green"/>
        </w:rPr>
        <w:t xml:space="preserve">You who invent </w:t>
      </w:r>
      <w:r w:rsidRPr="00404762">
        <w:rPr>
          <w:rStyle w:val="StyleUnderline"/>
          <w:highlight w:val="green"/>
        </w:rPr>
        <w:lastRenderedPageBreak/>
        <w:t>symbols of your own and order them in a bloody and enraged counter-imperialist performance played out on the borders</w:t>
      </w:r>
      <w:r w:rsidRPr="00404762">
        <w:rPr>
          <w:rStyle w:val="StyleUnderline"/>
        </w:rPr>
        <w:t xml:space="preserve">, under highways and train tracks, in subway stations, empty lots, behind the backs and on the blind sides of buildings, in all the waste spaces of urban America. </w:t>
      </w:r>
      <w:r w:rsidRPr="00404762">
        <w:rPr>
          <w:sz w:val="14"/>
          <w:szCs w:val="16"/>
        </w:rPr>
        <w:t xml:space="preserve">At the dead end of an alley that has become the only frontier. And yet in the act of word-processing I wonder whether this situation is not shifting, as are our images of space itself. The explosive growth of telecommunications is rapidly altering the aesthetics and politics of space and property, rendering t he tactics of urban gangs oddly archaic even as they reach their height. Is the violent description and defense of physical borders now being quietly overshadowed by new forms of spatial spectralization? If graffiti had taught me everything I know about space, where would I find myself in the world of the virtual? Where would I find the world, who would it belong to, and who could have a space in it? Oddly enough, the poetics of the virtual—the aesthetics of writing hyperspace—intersect with those of graffiti precisely at the point where the image of the frontier is transformed. No longer a deep, extended space one ventures into or crosses, this frontier is formed from a series of sur-faces or facings that can be sculpted, designed, mapped, layered, connected in web-like fashion; effaced, defaced. Like graffiti, virtual space is woven between outsides, by putting one plane or face into communication with another; it is not concentric, moving from an inner core toward an outer ring, but eccentric, engaged in a travelling. And yet the two kinds of writing radically diverge at the point of embodiment: </w:t>
      </w:r>
      <w:r w:rsidRPr="00404762">
        <w:rPr>
          <w:rStyle w:val="StyleUnderline"/>
          <w:highlight w:val="green"/>
        </w:rPr>
        <w:t>graffiti is intimately entwined with bodies, with the traveling of a hand that holds a can of spray paint or an El train along the tracks, with knowing that a body has been there</w:t>
      </w:r>
      <w:r w:rsidRPr="00404762">
        <w:rPr>
          <w:rStyle w:val="StyleUnderline"/>
        </w:rPr>
        <w:t xml:space="preserve">, in this space </w:t>
      </w:r>
      <w:r w:rsidRPr="00404762">
        <w:rPr>
          <w:rStyle w:val="StyleUnderline"/>
          <w:highlight w:val="green"/>
        </w:rPr>
        <w:t>where it was not supposed to be</w:t>
      </w:r>
      <w:r w:rsidRPr="00404762">
        <w:rPr>
          <w:rStyle w:val="StyleUnderline"/>
        </w:rPr>
        <w:t xml:space="preserve">. Graffiti is invasive; it is a physical invasion of proper or public space. Played out in real time amidst real bricks and bones, </w:t>
      </w:r>
      <w:r w:rsidRPr="00404762">
        <w:rPr>
          <w:rStyle w:val="StyleUnderline"/>
          <w:highlight w:val="green"/>
        </w:rPr>
        <w:t>it keeps alive a certain politics of space, claiming territories by marking out physical border-lines that violate the law, marking by marring in spectacularly visible acts of desecration.</w:t>
      </w:r>
      <w:r w:rsidRPr="00404762">
        <w:rPr>
          <w:rStyle w:val="StyleUnderline"/>
        </w:rPr>
        <w:t xml:space="preserve"> Such dynamics are quite unlike the new kinds of violations, colonizations, and territorializations enabled by the electronic era-sure of borders, the penetration of all boundaries by the invisible intrusion of the source less intangible. Graffiti forces us to witness something. On the back of social structures, it creates a facing: a moment of visual confrontation with what is on the outside. Meanwhile, behind the back, that is, on the inside, private space is in many ways becoming open space, public space</w:t>
      </w:r>
      <w:r w:rsidRPr="00404762">
        <w:rPr>
          <w:sz w:val="14"/>
          <w:szCs w:val="16"/>
        </w:rPr>
        <w:t xml:space="preserve">. At what point does the spectacular visibility of gang graffiti become, unwittingly, a front —reassuring us that we can still picture property and its defacement in the old ways, blinding us to the ambivalent erosion of spatial integrity effected by the virtual? Is this erosion a sinister demolition of privacy, or can it transform the social in positive ways, </w:t>
      </w:r>
      <w:r w:rsidRPr="00404762">
        <w:rPr>
          <w:rStyle w:val="StyleUnderline"/>
          <w:highlight w:val="green"/>
        </w:rPr>
        <w:t>distending space to include those who are dispossessed by America’s imperialist heritage</w:t>
      </w:r>
      <w:r w:rsidRPr="00404762">
        <w:rPr>
          <w:sz w:val="14"/>
          <w:szCs w:val="16"/>
        </w:rPr>
        <w:t xml:space="preserve">? Like the mythic American west, the virtual frontier promises limitless potential, equality and inclusiveness, the chance to forge new identities and found new kinds of communities. And yet the proverbial World Wide Web is only accessible to an exclusive few. What kinds of collisions and collusions between physical and virtual spaces are we creating on the verge, we who are beginning to experience the problematic superimposition of these spaces in our lives today? Even as the replacement of the commute by the computer blinds us to the writing on the cemetery wall, another is killed by gangs defending the territories they have carved upon the outsides, from the frontiers of proper urban spaces that admit to them only a grave. For a moment, the last moment, as it turned out, Graffiti Taught Me Everything I Know about Space was still just legible beneath the fresh paint of the new graffiti, though I could not have read it if I hadn’t known what it said, could not have made sense from the vestiges of a child’s hand. The next morning it had all disappeared. </w:t>
      </w:r>
      <w:r w:rsidRPr="00404762">
        <w:rPr>
          <w:rStyle w:val="StyleUnderline"/>
          <w:highlight w:val="green"/>
        </w:rPr>
        <w:t>The sandblasted wall, returned to itself, presented only a silence: a silence that, deep down, had never stopped waiting, the underlying silence of stone that everything human faces or perhaps defaces, and on the other side the graves.</w:t>
      </w:r>
      <w:r w:rsidRPr="00404762">
        <w:rPr>
          <w:rStyle w:val="StyleUnderline"/>
        </w:rPr>
        <w:t xml:space="preserve"> </w:t>
      </w:r>
    </w:p>
    <w:p xmlns:wp14="http://schemas.microsoft.com/office/word/2010/wordml" w:rsidRPr="00F72F13" w:rsidR="0082799E" w:rsidP="0082799E" w:rsidRDefault="0082799E" w14:paraId="4DD0FEC1" wp14:textId="77777777">
      <w:pPr>
        <w:pStyle w:val="Heading4"/>
        <w:rPr>
          <w:sz w:val="28"/>
        </w:rPr>
      </w:pPr>
      <w:r w:rsidRPr="00F72F13">
        <w:rPr>
          <w:sz w:val="28"/>
        </w:rPr>
        <w:t>Against the insurgent landscape of graffitied sociality on the border, Trump declares a border wall, an art project, an exercise in the aesthetics of a perpetually incomplete and impotent sovereign hegemony. These fascist art pieces commissioned by the state are designed to foreclose the disorderly worlds envisioned by borderlands art that challenge the legitimacy of US empire.</w:t>
      </w:r>
    </w:p>
    <w:p xmlns:wp14="http://schemas.microsoft.com/office/word/2010/wordml" w:rsidRPr="00F72F13" w:rsidR="0082799E" w:rsidP="0082799E" w:rsidRDefault="0082799E" w14:paraId="56CDD5DB" wp14:textId="77777777">
      <w:r w:rsidRPr="00F72F13">
        <w:rPr>
          <w:rStyle w:val="Style13ptBold"/>
          <w:sz w:val="28"/>
        </w:rPr>
        <w:t>Kirchhoff 2012</w:t>
      </w:r>
      <w:r w:rsidRPr="00F72F13">
        <w:rPr>
          <w:sz w:val="28"/>
          <w:szCs w:val="26"/>
        </w:rPr>
        <w:t xml:space="preserve"> </w:t>
      </w:r>
      <w:r w:rsidRPr="00F72F13">
        <w:t>[Kirchhoff, Natalie. Art As Resistance On The Mexican-American Border. Washington University Political Review, 2012]//MMS</w:t>
      </w:r>
    </w:p>
    <w:p xmlns:wp14="http://schemas.microsoft.com/office/word/2010/wordml" w:rsidRPr="00404762" w:rsidR="0082799E" w:rsidP="0082799E" w:rsidRDefault="0082799E" w14:paraId="471173EF" wp14:textId="77777777">
      <w:pPr>
        <w:rPr>
          <w:sz w:val="14"/>
          <w:szCs w:val="16"/>
        </w:rPr>
      </w:pPr>
      <w:r w:rsidRPr="00404762">
        <w:rPr>
          <w:sz w:val="14"/>
          <w:szCs w:val="16"/>
        </w:rPr>
        <w:t xml:space="preserve">t a press conference in September, Republican presidential hopeful </w:t>
      </w:r>
      <w:r w:rsidRPr="00404762">
        <w:rPr>
          <w:rStyle w:val="StyleUnderline"/>
        </w:rPr>
        <w:t>Donald Trump announced his desire to build a wall</w:t>
      </w:r>
      <w:r w:rsidRPr="00404762">
        <w:rPr>
          <w:sz w:val="14"/>
          <w:szCs w:val="24"/>
          <w:highlight w:val="green"/>
        </w:rPr>
        <w:t xml:space="preserve"> </w:t>
      </w:r>
      <w:r w:rsidRPr="00404762">
        <w:rPr>
          <w:rStyle w:val="StyleUnderline"/>
        </w:rPr>
        <w:t>comparable</w:t>
      </w:r>
      <w:r w:rsidRPr="00404762">
        <w:rPr>
          <w:sz w:val="14"/>
          <w:szCs w:val="24"/>
        </w:rPr>
        <w:t xml:space="preserve"> </w:t>
      </w:r>
      <w:r w:rsidRPr="00404762">
        <w:rPr>
          <w:sz w:val="14"/>
          <w:szCs w:val="16"/>
        </w:rPr>
        <w:t xml:space="preserve">to the Great Wall of China </w:t>
      </w:r>
      <w:r w:rsidRPr="00404762">
        <w:rPr>
          <w:rStyle w:val="StyleUnderline"/>
        </w:rPr>
        <w:t>along the Mexican-American border.</w:t>
      </w:r>
      <w:r w:rsidRPr="00404762">
        <w:rPr>
          <w:sz w:val="14"/>
          <w:szCs w:val="16"/>
        </w:rPr>
        <w:t xml:space="preserve"> Aptly referred to as the Greater Wall, </w:t>
      </w:r>
      <w:r w:rsidRPr="00404762">
        <w:rPr>
          <w:rStyle w:val="StyleUnderline"/>
        </w:rPr>
        <w:t xml:space="preserve">Trump described the endeavor </w:t>
      </w:r>
      <w:r w:rsidRPr="00404762">
        <w:rPr>
          <w:rStyle w:val="StyleUnderline"/>
          <w:highlight w:val="green"/>
        </w:rPr>
        <w:t xml:space="preserve">not just as a physical demarcation between the two </w:t>
      </w:r>
      <w:r w:rsidRPr="00404762">
        <w:rPr>
          <w:rStyle w:val="StyleUnderline"/>
          <w:highlight w:val="green"/>
        </w:rPr>
        <w:lastRenderedPageBreak/>
        <w:t>countries, but as an exhibition of art.</w:t>
      </w:r>
      <w:r w:rsidRPr="00404762">
        <w:rPr>
          <w:rStyle w:val="StyleUnderline"/>
        </w:rPr>
        <w:t xml:space="preserve"> </w:t>
      </w:r>
      <w:r w:rsidRPr="00404762">
        <w:rPr>
          <w:rStyle w:val="StyleUnderline"/>
          <w:highlight w:val="green"/>
        </w:rPr>
        <w:t>Claiming that thousands of artists would be commissioned to work on the wall, Trump declared that the project would be “the biggest and best piece of art ever made about the issues surrounding immigration,</w:t>
      </w:r>
      <w:r w:rsidRPr="00404762">
        <w:rPr>
          <w:rStyle w:val="StyleUnderline"/>
        </w:rPr>
        <w:t xml:space="preserve"> </w:t>
      </w:r>
      <w:r w:rsidRPr="00404762">
        <w:rPr>
          <w:rStyle w:val="StyleUnderline"/>
          <w:highlight w:val="green"/>
        </w:rPr>
        <w:t>or about anything else, for that matter.</w:t>
      </w:r>
      <w:r w:rsidRPr="00404762">
        <w:rPr>
          <w:rStyle w:val="StyleUnderline"/>
        </w:rPr>
        <w:t>”</w:t>
      </w:r>
      <w:r w:rsidRPr="00404762">
        <w:rPr>
          <w:sz w:val="14"/>
          <w:szCs w:val="24"/>
        </w:rPr>
        <w:t xml:space="preserve"> </w:t>
      </w:r>
      <w:r w:rsidRPr="00404762">
        <w:rPr>
          <w:sz w:val="14"/>
          <w:szCs w:val="16"/>
        </w:rPr>
        <w:t xml:space="preserve">As a highly politicized location, the Mexican- American border is commonly regarded as a physical representation of a polarizing debate over immigration, holding significance for residents within both countries. As presented in media-driven political discourse, </w:t>
      </w:r>
      <w:r w:rsidRPr="00404762">
        <w:rPr>
          <w:rStyle w:val="StyleUnderline"/>
        </w:rPr>
        <w:t>the border is often reduced to a spatial representation of unequal power dynamics and contentious policy debates.</w:t>
      </w:r>
      <w:r w:rsidRPr="00404762">
        <w:rPr>
          <w:sz w:val="14"/>
          <w:szCs w:val="16"/>
        </w:rPr>
        <w:t xml:space="preserve"> In a similarly reductive fashion, </w:t>
      </w:r>
      <w:r w:rsidRPr="00404762">
        <w:rPr>
          <w:rStyle w:val="StyleUnderline"/>
        </w:rPr>
        <w:t xml:space="preserve">Trump’s aforementioned proposal of transforming the border into an art exhibition woefully ignores the reality of this 1,989-mile stretch. In actuality, </w:t>
      </w:r>
      <w:r w:rsidRPr="00404762">
        <w:rPr>
          <w:rStyle w:val="StyleUnderline"/>
          <w:highlight w:val="green"/>
        </w:rPr>
        <w:t>the border has artistic integrity within Mexican and American communities alike that transcends its simplistic mainstream media portrayal. Art along the Mexican-American border reveals the politicization of immigration</w:t>
      </w:r>
      <w:r w:rsidRPr="00404762">
        <w:rPr>
          <w:rStyle w:val="StyleUnderline"/>
        </w:rPr>
        <w:t xml:space="preserve"> and other intersectional issues, demonstrating how these concerns affect people living on both sides of the divide.</w:t>
      </w:r>
      <w:r w:rsidRPr="00404762">
        <w:rPr>
          <w:sz w:val="14"/>
          <w:szCs w:val="24"/>
        </w:rPr>
        <w:t xml:space="preserve"> </w:t>
      </w:r>
      <w:r w:rsidRPr="00404762">
        <w:rPr>
          <w:sz w:val="14"/>
          <w:szCs w:val="16"/>
        </w:rPr>
        <w:t xml:space="preserve">The Mexican-American border has become a central location for artistic expression that invokes Mexico’s storied history of muralism, which extends to the country’s postrevolutionary period. Starting in the 1920s, there was an emergence of muralist work in Mexico that conveyed social and political messages of the era. Spearheaded by renowned artists like Diego Rivera, José Clemente Orozco, and David Alfaro Siqueiros, </w:t>
      </w:r>
      <w:r w:rsidRPr="00404762">
        <w:rPr>
          <w:rStyle w:val="StyleUnderline"/>
        </w:rPr>
        <w:t>Mexican muralism was a way to express political commentary through publically accessible art. This movement remains influential to this day,</w:t>
      </w:r>
      <w:r w:rsidRPr="00404762">
        <w:rPr>
          <w:sz w:val="14"/>
          <w:szCs w:val="16"/>
        </w:rPr>
        <w:t xml:space="preserve"> as evidenced by the modern day creation of murals both on and off the border that reveal personal reflections on immigration and other social or political concerns. In the neomuralist movement reflected in art along the border, there has been a shift away from murals commissioned by the government towards art that is created by and for the public. </w:t>
      </w:r>
      <w:r w:rsidRPr="00404762">
        <w:rPr>
          <w:rStyle w:val="StyleUnderline"/>
        </w:rPr>
        <w:t>The art along the border is a representation of this current muralism that embraces the modern day street art movement and provokes social commentary through publicly accessible works. The artwork on either side of the border offers a social and political commentary on issues of immigration and individual lives, and seeks to both represent and include the populations that not only are affected by these issues, but also those who physically occupy spaces along the border. Artwork along the border can serve a dual purpose of not just conveying a political or social message, but also unifying communities through its creation. One such example of this were efforts by people on both sides of the border in 2011 to save a mural painted on the border in Nogales, Arizona. The work in question, Vida y Sueños de la Cañada Perla, is a replica of a 1998 mural by Tzetzal Indians that was created after they declared their allegiance with the Zapatistas, an indigenous revolutionary group.</w:t>
      </w:r>
      <w:r w:rsidRPr="00404762">
        <w:rPr>
          <w:sz w:val="14"/>
          <w:szCs w:val="16"/>
        </w:rPr>
        <w:t xml:space="preserve"> The original 1998 mural featured images of revolutionary figures like Emiliano Zapata and Ricardo Flores Mago and was considered an expression of autonomy and rebellion against the Mexican government. However, </w:t>
      </w:r>
      <w:r w:rsidRPr="00404762">
        <w:rPr>
          <w:rStyle w:val="StyleUnderline"/>
        </w:rPr>
        <w:t>shortly after its creation, Mexican troops invaded the village, leading to its destruction.</w:t>
      </w:r>
      <w:r w:rsidRPr="00404762">
        <w:rPr>
          <w:sz w:val="14"/>
          <w:szCs w:val="24"/>
        </w:rPr>
        <w:t xml:space="preserve"> </w:t>
      </w:r>
      <w:r w:rsidRPr="00404762">
        <w:rPr>
          <w:sz w:val="14"/>
          <w:szCs w:val="16"/>
        </w:rPr>
        <w:t xml:space="preserve">As a response to the destruction of the original Vida y Sueños de la Cañada Perla, replicas of the mural were created as symbols of solidarity in Barcelona, Madrid, Florence, and Mexico City, among other cities. In 2005, </w:t>
      </w:r>
      <w:r w:rsidRPr="00404762">
        <w:rPr>
          <w:rStyle w:val="StyleUnderline"/>
        </w:rPr>
        <w:t xml:space="preserve">people from Mexico and the United States joined forces to replicate the sixty-foot long mural along the border wall in Nogales. Although the political origins of the mural did not address the same issues found in the modern day debate over immigration, the original intention takes on a new life on the border wall. For example, </w:t>
      </w:r>
      <w:r w:rsidRPr="00404762">
        <w:rPr>
          <w:rStyle w:val="StyleUnderline"/>
          <w:highlight w:val="green"/>
        </w:rPr>
        <w:t>one part of the mural features the words La tierra es de quien la trabaja, which roughly translates to The land belongs to those who work it. While this was originally used in reference to indigenous villagers rebelling against the Mexican government, these words take on new meaning in the context of migrant workers crossing the border</w:t>
      </w:r>
      <w:r w:rsidRPr="00404762">
        <w:rPr>
          <w:rStyle w:val="StyleUnderline"/>
        </w:rPr>
        <w:t xml:space="preserve">. In 2011, the Nogales replica of Vida y Sueños de la Cañada Perla was threatened with removal when a new barrier replaced the original fence that the mural was created on. </w:t>
      </w:r>
      <w:r w:rsidRPr="00404762">
        <w:rPr>
          <w:sz w:val="14"/>
          <w:szCs w:val="16"/>
        </w:rPr>
        <w:t xml:space="preserve">However, </w:t>
      </w:r>
      <w:r w:rsidRPr="00404762">
        <w:rPr>
          <w:rStyle w:val="StyleUnderline"/>
          <w:highlight w:val="green"/>
        </w:rPr>
        <w:t>when it appeared that this mural would be destroyed, people in both Arizona and Mexico worked together to preserve not only this mural, but to save other art and graffiti from the fence</w:t>
      </w:r>
      <w:r w:rsidRPr="00404762">
        <w:rPr>
          <w:rStyle w:val="StyleUnderline"/>
        </w:rPr>
        <w:t>.</w:t>
      </w:r>
      <w:r w:rsidRPr="00404762">
        <w:rPr>
          <w:sz w:val="14"/>
          <w:szCs w:val="16"/>
        </w:rPr>
        <w:t xml:space="preserve"> Through a community effort, the mural was saved with the intention of eventually restoring the mural back to the border wall. </w:t>
      </w:r>
      <w:r w:rsidRPr="00404762">
        <w:rPr>
          <w:rStyle w:val="StyleUnderline"/>
          <w:highlight w:val="green"/>
        </w:rPr>
        <w:t xml:space="preserve">Because both the creation and preservation of art along the border is a form of resistance and solidarity, these efforts were critical for protecting </w:t>
      </w:r>
      <w:r w:rsidRPr="00404762">
        <w:rPr>
          <w:rStyle w:val="StyleUnderline"/>
          <w:highlight w:val="green"/>
        </w:rPr>
        <w:lastRenderedPageBreak/>
        <w:t>the integrity of these works as cultural artifacts</w:t>
      </w:r>
      <w:r w:rsidRPr="00404762">
        <w:rPr>
          <w:rStyle w:val="StyleUnderline"/>
        </w:rPr>
        <w:t>.</w:t>
      </w:r>
      <w:r w:rsidRPr="00404762">
        <w:rPr>
          <w:sz w:val="14"/>
          <w:szCs w:val="24"/>
        </w:rPr>
        <w:t xml:space="preserve"> </w:t>
      </w:r>
      <w:r w:rsidRPr="00404762">
        <w:rPr>
          <w:sz w:val="14"/>
          <w:szCs w:val="16"/>
        </w:rPr>
        <w:t xml:space="preserve">Another border artist, Ana Teresa Fernandez, freely admits, Political art is a risky business. Fernandez focuses on the intersection of gender and immigration in her art, purposely creating her work while wearing a dress and heels. Rather than creating a mural in the traditional sense, her project, </w:t>
      </w:r>
      <w:r w:rsidRPr="00404762">
        <w:rPr>
          <w:rStyle w:val="StyleUnderline"/>
          <w:highlight w:val="green"/>
        </w:rPr>
        <w:t>Borrando la Frontera</w:t>
      </w:r>
      <w:r w:rsidRPr="00404762">
        <w:rPr>
          <w:rStyle w:val="StyleUnderline"/>
        </w:rPr>
        <w:t xml:space="preserve">, focuses on painting the border fence in Playas de Tijuana so that it blends in with the scenery on the adjacent San Diego side. Her art </w:t>
      </w:r>
      <w:r w:rsidRPr="00404762">
        <w:rPr>
          <w:rStyle w:val="StyleUnderline"/>
          <w:highlight w:val="green"/>
        </w:rPr>
        <w:t>constitutes a form of erasure; rather than accepting the omnipresence of a barrier that symbolizes division and limitation, Fernandez creates her work with the intention of artistically rebelling against the physical and mental boundary</w:t>
      </w:r>
      <w:r w:rsidRPr="00404762">
        <w:rPr>
          <w:rStyle w:val="StyleUnderline"/>
        </w:rPr>
        <w:t>.</w:t>
      </w:r>
      <w:r w:rsidRPr="00404762">
        <w:rPr>
          <w:sz w:val="14"/>
          <w:szCs w:val="24"/>
        </w:rPr>
        <w:t xml:space="preserve"> </w:t>
      </w:r>
      <w:r w:rsidRPr="00404762">
        <w:rPr>
          <w:sz w:val="14"/>
          <w:szCs w:val="16"/>
        </w:rPr>
        <w:t xml:space="preserve">Work like this demonstrates how issues of gender and immigration at the border are not mutually exclusive and political art can be used to express this critical intersection. This type of border art demonstrates how immigration, like so many issues with pressing political and social effects, is multidimensional. Art, therefore, becomes a way to express issues like gender, which may be marginalized or ignored in mainstream discussions. It is also important to note that not all art along the border is mural work. Artistic expression in this space takes many forms, including works in mediums of sculpture, spoken word, and performance art. Furthermore, there are recent modernist works that combine technological developments and social messages in order to create unique forms of art. One example of this type of modern art project is </w:t>
      </w:r>
      <w:r w:rsidRPr="00404762">
        <w:rPr>
          <w:rStyle w:val="StyleUnderline"/>
          <w:highlight w:val="green"/>
        </w:rPr>
        <w:t>Border Memorial: Frontera de los Muertos</w:t>
      </w:r>
      <w:r w:rsidRPr="00404762">
        <w:rPr>
          <w:rStyle w:val="StyleUnderline"/>
        </w:rPr>
        <w:t xml:space="preserve">. Border Memorial </w:t>
      </w:r>
      <w:r w:rsidRPr="00404762">
        <w:rPr>
          <w:rStyle w:val="StyleUnderline"/>
          <w:highlight w:val="green"/>
        </w:rPr>
        <w:t>is a smartphone app that uses geospatial software to project images of skeletons at the exact locations of recorded migrant deaths along the border.</w:t>
      </w:r>
      <w:r w:rsidRPr="00404762">
        <w:rPr>
          <w:sz w:val="14"/>
          <w:szCs w:val="24"/>
          <w:highlight w:val="green"/>
        </w:rPr>
        <w:t xml:space="preserve"> </w:t>
      </w:r>
      <w:r w:rsidRPr="00404762">
        <w:rPr>
          <w:sz w:val="14"/>
          <w:szCs w:val="16"/>
        </w:rPr>
        <w:t xml:space="preserve">Described as an augmented reality public art project and memorial by its creators, the smartphone application was created with the intention of reflecting the staggering mortality rate of those who have died attempting to cross the border. The app reflects a staggering mortality rate: according to the U.S. Border Patrol, over 6,000 migrants have died crossing into the United States from Mexico. Furthermore, this statistic only accounts for recorded mortalities, meaning that the number may be higher if it included the unknown number of migrants who lost their lives crossing the border whose deaths were not recorded. This art project is not only a critical way to help people visualize the number of lives lost crossing the border, but also helps impart the gravity of this loss. </w:t>
      </w:r>
      <w:r w:rsidRPr="00404762">
        <w:rPr>
          <w:rStyle w:val="StyleUnderline"/>
        </w:rPr>
        <w:t>While the border so obviously represents divide, t</w:t>
      </w:r>
      <w:r w:rsidRPr="00404762">
        <w:rPr>
          <w:rStyle w:val="StyleUnderline"/>
          <w:highlight w:val="green"/>
        </w:rPr>
        <w:t>he placement of art directly on the barrier represents a form of resistance</w:t>
      </w:r>
      <w:r w:rsidRPr="00404762">
        <w:rPr>
          <w:rStyle w:val="StyleUnderline"/>
        </w:rPr>
        <w:t xml:space="preserve"> that reflects the sentiments of those who live in these border spaces. Through the deliberate placement of art on the border, whether as a mural, graffiti, or projection, </w:t>
      </w:r>
      <w:r w:rsidRPr="00404762">
        <w:rPr>
          <w:rStyle w:val="StyleUnderline"/>
          <w:highlight w:val="green"/>
        </w:rPr>
        <w:t>the border itself becomes a work of art</w:t>
      </w:r>
      <w:r w:rsidRPr="00404762">
        <w:rPr>
          <w:rStyle w:val="StyleUnderline"/>
        </w:rPr>
        <w:t xml:space="preserve"> that embodies resistance and unity. Recognizing the border as a piece of art in its own merit, reminds us that this is not just a passive divide, but also a communal space.</w:t>
      </w:r>
      <w:r w:rsidRPr="00404762">
        <w:rPr>
          <w:sz w:val="14"/>
          <w:szCs w:val="16"/>
        </w:rPr>
        <w:t xml:space="preserve"> It would do us all well, politicians and laypeople alike, to remember that the border is more than just a divisive political debate. It is a representation of the politics of the individual, and the lives continually affected and lost on both sides of the border. </w:t>
      </w:r>
    </w:p>
    <w:p xmlns:wp14="http://schemas.microsoft.com/office/word/2010/wordml" w:rsidRPr="00F72F13" w:rsidR="0082799E" w:rsidP="0082799E" w:rsidRDefault="0082799E" w14:paraId="5DAB6C7B" wp14:textId="77777777">
      <w:pPr>
        <w:rPr>
          <w:sz w:val="16"/>
          <w:szCs w:val="16"/>
        </w:rPr>
      </w:pPr>
    </w:p>
    <w:p xmlns:wp14="http://schemas.microsoft.com/office/word/2010/wordml" w:rsidRPr="00F72F13" w:rsidR="0082799E" w:rsidP="0082799E" w:rsidRDefault="0082799E" w14:paraId="583E36F5" wp14:textId="77777777">
      <w:pPr>
        <w:pStyle w:val="Heading4"/>
        <w:rPr>
          <w:sz w:val="28"/>
        </w:rPr>
      </w:pPr>
      <w:r w:rsidRPr="00F72F13">
        <w:rPr>
          <w:sz w:val="28"/>
        </w:rPr>
        <w:t>The operations of violence Trump’s aesthetic project calls forth have to exceed the law, because citizenship exceeds the law. Citizenship is not legal-- it is lived. And graffiti is a refusal of proper citizenship. Border art defaces its own canvas, claiming “this wall was never your wall.” The only sovereign response to such a claim is to counter it, but how to counter an anonymous, itinerant, temporary, and ubiquitous disorder? Only with frenzied, militarized policing of the boundaries of US citizenship.</w:t>
      </w:r>
    </w:p>
    <w:p xmlns:wp14="http://schemas.microsoft.com/office/word/2010/wordml" w:rsidRPr="00F72F13" w:rsidR="0082799E" w:rsidP="0082799E" w:rsidRDefault="0082799E" w14:paraId="61A0B534" wp14:textId="77777777">
      <w:r w:rsidRPr="00F72F13">
        <w:rPr>
          <w:rStyle w:val="Style13ptBold"/>
          <w:sz w:val="28"/>
        </w:rPr>
        <w:t>Momen 05</w:t>
      </w:r>
      <w:r w:rsidRPr="00F72F13">
        <w:t xml:space="preserve"> [Mehnaaz, Prof. Social Sciences @ Texas A&amp;M International University, “Are you a Citizen? Insights from Borderlands,” Citizenship Studies, 9:3,  pp. 324-32//ak</w:t>
      </w:r>
    </w:p>
    <w:p xmlns:wp14="http://schemas.microsoft.com/office/word/2010/wordml" w:rsidRPr="00F72F13" w:rsidR="0082799E" w:rsidP="0082799E" w:rsidRDefault="0082799E" w14:paraId="2AEA7CAE" wp14:textId="77777777">
      <w:pPr>
        <w:rPr>
          <w:sz w:val="8"/>
          <w:szCs w:val="8"/>
        </w:rPr>
      </w:pPr>
      <w:r w:rsidRPr="00F72F13">
        <w:rPr>
          <w:sz w:val="8"/>
          <w:szCs w:val="8"/>
        </w:rPr>
        <w:t xml:space="preserve">The concept of “border” is central to my analysis of citizenship rights and practices. </w:t>
      </w:r>
      <w:r w:rsidRPr="00404762">
        <w:rPr>
          <w:rStyle w:val="StyleUnderline"/>
        </w:rPr>
        <w:t>In late modernity, the border does not function as spatial contiguity, but has emerged as a discontinuous, fragmented, and refracted notion that allows ambiguity across space and scale (Price, 2000). The US–Mexico border is one such example of neplanta2 (middleland). Tenuous border areas are not only problematic for the state as they strive to maintain the boundary between nations, but they also complicate the state’s authority by questioning this very authority.</w:t>
      </w:r>
      <w:r w:rsidRPr="00F72F13">
        <w:rPr>
          <w:sz w:val="8"/>
          <w:szCs w:val="8"/>
        </w:rPr>
        <w:t xml:space="preserve"> Borders are not only symbols of the state’s security and sovereignty, but also records of past and present histories. Borders are the signs of the eminent domain of the state, and the markers of secure relations that it has with its neighbors, or reminders of the hostility that exists between states (Wilson &amp; Donnan, 1998). </w:t>
      </w:r>
      <w:r w:rsidRPr="00404762">
        <w:rPr>
          <w:rStyle w:val="StyleUnderline"/>
        </w:rPr>
        <w:t>Borders inscribes in notions of citizenship new and exclusivist meanings. They define national sovereignty as well as internal membership in political communities.</w:t>
      </w:r>
      <w:r w:rsidRPr="00F72F13">
        <w:t xml:space="preserve"> </w:t>
      </w:r>
      <w:r w:rsidRPr="00F72F13">
        <w:rPr>
          <w:sz w:val="8"/>
          <w:szCs w:val="8"/>
        </w:rPr>
        <w:t xml:space="preserve">The rights of citizens are now </w:t>
      </w:r>
      <w:r w:rsidRPr="00F72F13">
        <w:rPr>
          <w:sz w:val="8"/>
          <w:szCs w:val="8"/>
        </w:rPr>
        <w:lastRenderedPageBreak/>
        <w:t xml:space="preserve">allocated by the force of law monopolized by the state (Adelman &amp; Aorn, 1999). </w:t>
      </w:r>
      <w:r w:rsidRPr="00404762">
        <w:rPr>
          <w:rStyle w:val="StyleUnderline"/>
        </w:rPr>
        <w:t xml:space="preserve">While the concept of </w:t>
      </w:r>
      <w:r w:rsidRPr="00404762">
        <w:rPr>
          <w:rStyle w:val="StyleUnderline"/>
          <w:highlight w:val="green"/>
        </w:rPr>
        <w:t>the “border” makes ample room for aesthetic productions of arts, poetry, song, dance, theatre, and even political movements like the Aztlan,</w:t>
      </w:r>
      <w:r w:rsidRPr="00404762">
        <w:rPr>
          <w:rStyle w:val="StyleUnderline"/>
        </w:rPr>
        <w:t>3 for the people who actually live in the border the fluidity of border penetrates not only into their identities, but also affects how they are perceived as fellow citizens. 324 M. Momen Chicano literature illustrates how the border has always remained a violent place and how the porous nature of geographical territory amplifies the gender and sexuality-related confrontations</w:t>
      </w:r>
      <w:r w:rsidRPr="00F72F13">
        <w:t xml:space="preserve"> (Johnson, 2004). </w:t>
      </w:r>
      <w:r w:rsidRPr="00404762">
        <w:rPr>
          <w:rStyle w:val="StyleUnderline"/>
        </w:rPr>
        <w:t xml:space="preserve">It is important to analyze how </w:t>
      </w:r>
      <w:r w:rsidRPr="00404762">
        <w:rPr>
          <w:rStyle w:val="StyleUnderline"/>
          <w:highlight w:val="green"/>
        </w:rPr>
        <w:t>citizenship, in its implication for everyday life, is informed by these discourses of identity, violence, and control.</w:t>
      </w:r>
      <w:r w:rsidRPr="00F72F13">
        <w:t xml:space="preserve"> </w:t>
      </w:r>
      <w:r w:rsidRPr="00F72F13">
        <w:rPr>
          <w:sz w:val="8"/>
          <w:szCs w:val="8"/>
        </w:rPr>
        <w:t xml:space="preserve">I resort to Lefebvre’s theory of space (1984), as that explains both the interdependencies and contradictions between the state and its boundaries. Lefebvre’s theories have been utilized by North American scholars to emphasize the racial components in various policies (Grosz, 1994; Coutin &amp; Chock, 1995; Mains, 2000) and the dialectical relationship between identity and urban space (Liggett, 1995; McCann, 1999; Bickford, 2000). Applying his concepts of space, I intend to show how “citizenship” in its practice remains an issue of control between the authorities and people, and how this is often fought in a proxy war of symbolic gestures. Lefebvre’s analytical framework allows us to analyze citizenship from multiple perspectives. Following his conceptualization, citizenship can be imagined as a “production” between the state and the citizen, which is not only shaped by the official definition, but also by its effect on peoples’ existence in terms of their everyday lives. The representations of space provide us with the institutional definition of citizenship, one that is determined by a legal definition, either as a matter of birth or naturalization. The spatial practices enable us to analyze citizenship in terms of social norms of acceptance. The representational spaces take us beyond the conventional modes, where we encounter various symbols and metaphors that highlight the state’s authority to acknowledge, bestow, or deny us citizenship status. Norms of Exclusion: Control Over Space and Body </w:t>
      </w:r>
      <w:r w:rsidRPr="00F72F13">
        <w:rPr>
          <w:rStyle w:val="StyleUnderline"/>
        </w:rPr>
        <w:t>For a nation of immigrants, the overarching norm for “outsiders” or foreigners in the US had operated on the basis of inclusive measures in return for their participation in the economy and willingness to embrace American cultur</w:t>
      </w:r>
      <w:r w:rsidRPr="00F72F13">
        <w:t>e</w:t>
      </w:r>
      <w:r w:rsidRPr="00F72F13">
        <w:rPr>
          <w:sz w:val="8"/>
          <w:szCs w:val="8"/>
        </w:rPr>
        <w:t xml:space="preserve"> (Brownwell, 2001). For Mexicans, the rules of inclusion and exclusion were triggered mostly by US economic demands. During World War I the labor shortage prompted a guest worker program to meet the needs of agribusiness and industries in the US. When the need for wartime replacement labor diminished in 1920, thousands of Mexicans were deported back to Mexico. During World War II, again a shortage of labor gave rise to the braceros program to allow the US government to employ temporary farm hands from Mexico. These provisions for temporary labor to meet the manpower needs extended well into the 1960s. The NAFTA agreements in the 1990 s were supposed to make border more flexible, but in practice, we find that far more rigid restrictions are in place to control the flow of people (especially Mexicans) in and out of the US. </w:t>
      </w:r>
      <w:r w:rsidRPr="00F72F13">
        <w:rPr>
          <w:rStyle w:val="StyleUnderline"/>
        </w:rPr>
        <w:t>If we take NAFTA as a process of de-bordering</w:t>
      </w:r>
      <w:r w:rsidRPr="00F72F13">
        <w:rPr>
          <w:sz w:val="8"/>
          <w:szCs w:val="8"/>
        </w:rPr>
        <w:t xml:space="preserve"> (in its intention), </w:t>
      </w:r>
      <w:r w:rsidRPr="00F72F13">
        <w:rPr>
          <w:rStyle w:val="StyleUnderline"/>
        </w:rPr>
        <w:t>we have to acknowledge how in the US–Mexico boundary it has been accompanied by a process of re-bordering, in other words, militarization of the border itself.</w:t>
      </w:r>
      <w:r w:rsidRPr="00F72F13">
        <w:t xml:space="preserve"> </w:t>
      </w:r>
      <w:r w:rsidRPr="00F72F13">
        <w:rPr>
          <w:sz w:val="8"/>
          <w:szCs w:val="8"/>
        </w:rPr>
        <w:t>While attempting to “control” the flow of illegal immigration, the mechanism of border control has far reaching consequences for legal residents as well</w:t>
      </w:r>
      <w:r w:rsidRPr="00F72F13">
        <w:t xml:space="preserve">. </w:t>
      </w:r>
      <w:r w:rsidRPr="00F72F13">
        <w:rPr>
          <w:rStyle w:val="StyleUnderline"/>
        </w:rPr>
        <w:t>Since</w:t>
      </w:r>
      <w:r w:rsidRPr="00F72F13">
        <w:rPr>
          <w:rStyle w:val="StyleUnderline"/>
          <w:highlight w:val="green"/>
        </w:rPr>
        <w:t xml:space="preserve"> the border can never be fully stabilized</w:t>
      </w:r>
      <w:r w:rsidRPr="00F72F13">
        <w:rPr>
          <w:rStyle w:val="StyleUnderline"/>
        </w:rPr>
        <w:t xml:space="preserve">, the identity of people as “citizens” is always in question. Price links this border anxiety with spatial schizophrenia, citing the examples of how fiberglass panels left over from the Gulf war are being used to build a wall along the border at Nogales (Price, 2000). </w:t>
      </w:r>
      <w:r w:rsidRPr="00F72F13">
        <w:rPr>
          <w:rStyle w:val="StyleUnderline"/>
          <w:highlight w:val="green"/>
        </w:rPr>
        <w:t>It is not the self-identity of border people that disrupts the official definition of “citizen”, but the continuous anxiety of the state to differentiate in order to retain its control.</w:t>
      </w:r>
      <w:r w:rsidRPr="00F72F13">
        <w:rPr>
          <w:rStyle w:val="StyleUnderline"/>
        </w:rPr>
        <w:t xml:space="preserve"> In her explorations of public space, Bickford identifies a similar quest for purity, not stemming from the biases and neuroses of the citizen, but provoked, energized, and sustained by the authorities</w:t>
      </w:r>
      <w:r w:rsidRPr="00F72F13">
        <w:rPr>
          <w:sz w:val="8"/>
          <w:szCs w:val="8"/>
        </w:rPr>
        <w:t xml:space="preserve"> (Bickford, 2000). The construction of various races and ethnicities remains the key apparatus to redefine border (Mains, 2000). </w:t>
      </w:r>
      <w:r w:rsidRPr="00F72F13">
        <w:rPr>
          <w:rStyle w:val="StyleUnderline"/>
        </w:rPr>
        <w:t xml:space="preserve">Since it is difficult to distinguish between the bodies of the alien and the citizen, </w:t>
      </w:r>
      <w:r w:rsidRPr="00F72F13">
        <w:rPr>
          <w:rStyle w:val="StyleUnderline"/>
          <w:highlight w:val="green"/>
        </w:rPr>
        <w:t>everyone has to prove his/her citizenship status continuously.</w:t>
      </w:r>
      <w:r w:rsidRPr="00F72F13">
        <w:rPr>
          <w:rStyle w:val="StyleUnderline"/>
        </w:rPr>
        <w:t xml:space="preserve"> In addition to the two official checkpoints inside the city of Laredo, residents from bordering colonias such as El Cenizo and Rio Bravo can be stopped and asked for their proof of citizenship any time by Border Patrol authorities. The more the border becomes open for trade and business, the more rigidly the authority follows the definition of representation of space as it legalizes the use of control over undesired Hispanic bodies as well as patrolling the American territory.</w:t>
      </w:r>
      <w:r w:rsidRPr="00F72F13">
        <w:rPr>
          <w:sz w:val="8"/>
          <w:szCs w:val="8"/>
        </w:rPr>
        <w:t xml:space="preserve"> Referring back to Lefebvre’s insistence on the importance of representations of bodily, lived experiences of space, we can see how control over territory and control over bodies follow parallel patterns of domination. </w:t>
      </w:r>
      <w:r w:rsidRPr="00F72F13">
        <w:rPr>
          <w:rStyle w:val="StyleUnderline"/>
        </w:rPr>
        <w:t xml:space="preserve">The state justifies policies of militarizing the border by equating the issue of illegal migration with crime, drug and security problems. Beyond depicting immigrants as an economic threat, </w:t>
      </w:r>
      <w:r w:rsidRPr="00F72F13">
        <w:rPr>
          <w:rStyle w:val="StyleUnderline"/>
          <w:highlight w:val="green"/>
        </w:rPr>
        <w:t>rhetoric has increasingly relied upon military terminology that paints the immigrant as an enemy intent on inflicting harm on the American public</w:t>
      </w:r>
      <w:r w:rsidRPr="00F72F13">
        <w:rPr>
          <w:sz w:val="8"/>
          <w:szCs w:val="8"/>
        </w:rPr>
        <w:t xml:space="preserve"> (Brownell, 2001; Dunn, 2001). Dunn discusses at length in how Esquiel Hernandez, a teenager, was killed while herding goats at Redford, Texas by a US marine in May 1997. Not only Hernandez was mistaken as a probable drug scout, he was left to bleed to death, even though a helicopter medivac unit was stationed nearby. The federal government did settle a civil wrongful death lawsuit by paying the unusually large sum of $1.9 million, but none of the marines were indicted on any count (Dunn, 2001). Like its predecessor, the Border Patrol enjoys a great deal of legal authority, technological resources and a lot of immunity for their misconduct and crimes including mistreatment of detainees in custody, physical assault, and even unlawful lethal shootings. Falcon has systematically documented rape and sexual assault charges against INS personnel and Border Patrol agents. One officer, James Riley, had as many as 17 charges of sexual assault, kidnapping, false imprisonment, and rape charges filed against him. Falcon’s research indicate that officials who commit sexual assault are rarely prosecuted. She concludes that the level of militarization of border produces warlike characteristics that make rape and other human rights violations inevitable consequences (Falcon, 2001). Although there is hardly anything new about boundary enforcement, what is new is the state’s enhanced capacity to police its boundaries and to formalize its rules and practices governing boundary enforcement. The use of overarching power is justified by blurring the distinction between undocumented immigration and drug smuggling, and by collapsing border-crossing and criminal acts under the same category. The current norms of exclusion have taken place through simultaneous processes of acceptance of cheap labor and criminalization of that source of labor. The state casts its gaze beyond the nation’s territorial boundaries, focusing on the alien as a principal source of its social problems. The alien takes the form of the criminal, the poor, and the foreigner, who are often one and the same (Nevins, 2001). The city of El Cenizo had a long and turbulent relationship with the Border Patrol, which intensified after the safe haven ordinance. The Border Patrol not only retained an ongoing pressure on the city officials to identify illegal immigrants, but also adopted a series of repressive measures that disrupted the lives of the people of El Cenizo, regardless of their citizenship status. Not only the residents were being harassed individually while carrying out most mundane daily chores, there was also a collective punishment as the Border Patrol set up a temporary checkpoint on the Zapata highway or I-83, the only highway that takes the El Cenizo residents to Laredo, where most of them work.4 It should be noted that the checkpoint on the Zapata highway was situated to stop the southbound traffic, people going to Laredo and coming home to El Cenizo and Rio Bravo, not the northbound one, which is actually across the Mexican border. As this is the major and only road to Laredo, almost nobody could escape this semi-siege. All the residents of El Cenizo became suspected illegal aliens under this practice and El Cenizo became a “hot-spot” for cracking down on undocumented immigrants, following the rigid definition of representations of space. The surprise inspections on public transportation continued for weeks in the El Aguila bus system, which serves the rural community in the Webb County. As this is the only public transport in and out of El Cenizo, everyone who had to leave the city had to go through these invasive processes. The city officials of El Cenizo complained that inspections were accompanied by harassment and intimidation tactics (Garcia, 2000a). Patrol officials, indeed, have the authority to set up checkpoints on any road within 100 miles of the international boundary. Every vehicle was detained to check for illegal immigrants; even the school buses were not spared these intrusive searches. The Human Rights Commission recorded how frequent detainments in the El Aguila bus system lasted between 20 and 45 minutes, and a significant number of people missed appointments or lost their jobs for consistently arriving late. Along with patrolling the highways, the Border Patrol had increased intimidation of people by parking in front of local schools, entering unfenced private properties, and randomly stopping individuals to check their citizenship status. The overall effect had been to instill a sense of fear and domination in border communities, and also a sense that government is working too aggressively to protect its borders from outside incursions (El Cenizo Human Rights Commission, 2002). These norms of exclusion are created very much in accordance with Lefebvre’s definition of representations of space, where our perception of fear and stereotypes of the illegal immigrant overshadows the actual problems and needs. For instance, during the 1990 s, almost all types of crimes were steadily decreasing,5 but this period is characterized by a growing sense of urgency to deal with escalating crime rates committed by illegal entrants. This new form of exclusionary criterion, namely, criminalization, draws upon the rhetoric of legitimization and such rhetoric can be traced to the state’s policies and practices. Immigration, or rather anti-immigration, policies villainize a population through charges of trespassing, arson, theft, burglary, reckless driving, resisting arrest, mutinous rioting, conspiracy, assault, vehicular manslaughter, and second-degree murder. The state thereby deflects criticism from itself and from others who benefit from illegal immigration (Huspeck, 2001). Now, with the threat of terrorism lurking, the security threat has achieved yet another hideous dimension. The current trends of “illegalization” construct illegal immigrants as lawbreakers and threats to the socio-cultural and political fabric of the country. The boundary and immigration wars are also closely linked so as to make the “insiders” of the national territory intimidated by the “outsiders”. Thus the physical border between the US and Mexico translates into a psychological distance, the distance between the victim and the perpetrator. The creation of </w:t>
      </w:r>
      <w:r w:rsidRPr="00F72F13">
        <w:rPr>
          <w:sz w:val="8"/>
          <w:szCs w:val="8"/>
        </w:rPr>
        <w:lastRenderedPageBreak/>
        <w:t xml:space="preserve">boundaries between national and alien is not new; it is one of the principal practices associated with nationalism. </w:t>
      </w:r>
      <w:r w:rsidRPr="00F72F13">
        <w:rPr>
          <w:rStyle w:val="StyleUnderline"/>
          <w:highlight w:val="green"/>
        </w:rPr>
        <w:t>Maintaining and policing these social and territorial boundaries—especially those between rich and poor—is a task of security provision against real and imagined forces.</w:t>
      </w:r>
      <w:r w:rsidRPr="00F72F13">
        <w:rPr>
          <w:rStyle w:val="StyleUnderline"/>
        </w:rPr>
        <w:t xml:space="preserve"> That task can become more necessary due to the effects of a neoliberal form of globalization that intensifies competition between localities, weakens social safety nets, and generally increases socioeconomic instability. </w:t>
      </w:r>
      <w:r w:rsidRPr="00F72F13">
        <w:rPr>
          <w:sz w:val="8"/>
          <w:szCs w:val="8"/>
        </w:rPr>
        <w:t xml:space="preserve">The norms of exclusion and inclusion are not only initiated by the state, but they often follow the needs and aspirations of the common people as well. If the rules of exclusion follow domination as the prime method of producing the space of citizenship, they are countered by attempts of appropriation in the rules of inclusion, which are mostly set by the citizens themselves. In the broader national realm, the ideas of multiculturalism have provided an aperture in the rigid perception of citizenship, which have made room for Chicano/Chicana consciousness in the cultural and even political discourses. This new (mainly) cultural space, claimed by racial, sexual, and political minorities, has articulated the border in terms of blending and heterogeneity. For the people who actually live in the border areas, border-crossing (la travesia) has always been a part and parcel of their daily lives. This crossing includes not only physical space, but it also disrupts the social, cultural, political, and gender spaces by making these more porous, contested, and volatile. The cities of Laredo and Nuevo Laredo,6 which is in Tamaulipus, Mexico, maintained a close liaison historically; their affiliation has become institutionalized at the political level in recent decades. Transborder cooperation has been formalized between the two city governments through the Sister Cities Pact, joint planning between city departments of planning (Urban Plan of Los Dos Laredos), and joint environmental plan. The strong social relationship between Laredo and Nuevo Laredo is best captured by the common expression los dos Laredos (the two Laredos). There is no official count of how many students commute to Laredo from Nuevo Laredo in the public schools, but when the Rio Grande flooded in 1988 and the international bridges were closed, some schools in Laredo experienced a 45–50% drop in attendance (Rodriguez &amp; Hagan, 2001). NAFTA initiatives have created new bi-national economic systems with the maquiladora industrial sector, which promoted a constant flow of people and merchandise across borders. On a daily basis, a stream of workers crosses the border from Nuevo Laredo to work in Laredo. The workers concentrate in a plaza a couple of blocks from Laredo’s downtown international bridge and wait to be picked up by employers. In the evenings, the employers return the workers to the plaza, who then head back to Nuevo Laredo. Thirty of the 50 maquiladoras on the Mexican side have office, distribution and manufacturing facilities in Laredo (Ward, 1999). Just as Texas experienced the second largest gain in total exports since NAFTA, it also has the second-highest amount of workers hurt by NAFTA or “foreign competition”. Business, especially small-scale entrepreneurs, faced more competition with the emerging Mexican businessmen, who benefited much more from rapid industrialization brought on by the maquiladoras program, and consequently, more demands in the commerce and service sector. With its “predominant language act” El Cenzio created quite a stir in national and international media as they got attention from Paris and Tokyo. It was rumored that President Clinton had expressed interest in coming to Laredo for the opening of the World Trade Bridge and to witness first-hand El Cenizo’s controversial city council meetings.7 On the home front, however, City Commissioner Flora Barton was harassed by a radio show in New Mexico.8 The residents of El Cenizo, however, have not been hapless victims of the Border Patrol’s violations. The city council members gave passionate speeches at the explanation forum at the Texas A and M International University defending the safe harbor and predominant language acts. The session was well attended and received warm support from the university community.9 Most importantly, they initiated the creation of the Human Rights Commission in response to residents’ complaints of abuse at the hands of law enforcement agents, especially the Border Patrol. Interestingly, in reaction to the social and legal uproar, the Border Patrol became involved in various community service activities in El Cenizo. Border Patrol agents have volunteered as crossing guards at the local elementary school, sponsored a youth group, and attended city commission meetings (El Cenizo Human Rights Commission, 2002). If we compare the norms of inclusion with the norms of exclusion, we find that these norms of inclusion follow the spatial practice, which is influenced by people’s lived experiences rather than imported or implanted rules by institutions or even the state itself. The policies defined by the state have been overshadowed by the practices of daily economic and social lives. The “border culture” thrives in both El Cenizo and Laredo in the midst of two simultaneous and conflicting characteristics: tolerance and prejudice. The US-Mexico boundary and the nature of reinforcement between the boundaries have shaped the everyday lives of people on both sides of the international divide. The ongoing enforcement buildup in the border region is a manifestation of a radical change in how human beings live their lives, in relation to the rise and decline of state power. Symbolic Norms: Rules of Game </w:t>
      </w:r>
      <w:r w:rsidRPr="00F72F13">
        <w:rPr>
          <w:highlight w:val="green"/>
          <w:u w:val="single"/>
        </w:rPr>
        <w:t>The power struggle between the state and the citizen often occurs in a more subtle form than overt conflicts.</w:t>
      </w:r>
      <w:r w:rsidRPr="00F72F13">
        <w:rPr>
          <w:sz w:val="8"/>
          <w:szCs w:val="8"/>
        </w:rPr>
        <w:t xml:space="preserve"> If the state lays the norms of exclusion and the community challenges that by laying the laws of inclusion, as argued in the paper, these confrontations often evolve into a proxy game of symbolic norms. </w:t>
      </w:r>
      <w:r w:rsidRPr="00F72F13">
        <w:rPr>
          <w:rStyle w:val="StyleUnderline"/>
        </w:rPr>
        <w:t>Following the definition of “representational space”, the implementation of a state policy or the action of an individual or community contains hidden meanings, meanings that can even be contrary to official positions.</w:t>
      </w:r>
      <w:r w:rsidRPr="00F72F13">
        <w:t xml:space="preserve"> </w:t>
      </w:r>
      <w:r w:rsidRPr="00F72F13">
        <w:rPr>
          <w:sz w:val="8"/>
          <w:szCs w:val="8"/>
        </w:rPr>
        <w:t xml:space="preserve">The border city itself also displays a lot of symbolic actions, to portray itself as a “normal” community, making a great deal of effort to distance itself from the common perceptions of deviance surrounding the notion of border. Just six weeks after adopting the “safe haven” and “predominant language” ordinances, Mayor Rodriguez raised the American Flag in front of City Hall to commemorate the city’s 10th anniversary, and to send a message about allegiance. The flag raising was also followed by the Pledge of Allegiance and words from city officials in both English and Spanish.10 </w:t>
      </w:r>
      <w:r w:rsidRPr="00F72F13">
        <w:rPr>
          <w:rStyle w:val="StyleUnderline"/>
          <w:highlight w:val="green"/>
        </w:rPr>
        <w:t>In January 2003, the city of El Cenizo</w:t>
      </w:r>
      <w:r w:rsidRPr="00F72F13">
        <w:rPr>
          <w:rStyle w:val="StyleUnderline"/>
        </w:rPr>
        <w:t xml:space="preserve"> was again in the local news. This time the object of </w:t>
      </w:r>
      <w:r w:rsidRPr="00F72F13">
        <w:rPr>
          <w:rStyle w:val="StyleUnderline"/>
          <w:highlight w:val="green"/>
        </w:rPr>
        <w:t>controversy was a mural painted on city property that was deemed problematic by the</w:t>
      </w:r>
      <w:r w:rsidRPr="00F72F13">
        <w:rPr>
          <w:rStyle w:val="StyleUnderline"/>
        </w:rPr>
        <w:t xml:space="preserve"> United Independent </w:t>
      </w:r>
      <w:r w:rsidRPr="00F72F13">
        <w:rPr>
          <w:rStyle w:val="StyleUnderline"/>
          <w:highlight w:val="green"/>
        </w:rPr>
        <w:t>School District</w:t>
      </w:r>
      <w:r w:rsidRPr="00F72F13">
        <w:rPr>
          <w:rStyle w:val="StyleUnderline"/>
        </w:rPr>
        <w:t xml:space="preserve"> officials </w:t>
      </w:r>
      <w:r w:rsidRPr="00F72F13">
        <w:rPr>
          <w:rStyle w:val="StyleUnderline"/>
          <w:highlight w:val="green"/>
        </w:rPr>
        <w:t>as it glorified prison life and gangs.</w:t>
      </w:r>
      <w:r w:rsidRPr="00F72F13">
        <w:rPr>
          <w:rStyle w:val="StyleUnderline"/>
        </w:rPr>
        <w:t xml:space="preserve"> A former Webb County deputy asserted that the mural did bring two rival gangs together and instilled pride and respect among the town’s warring brotherhoods.</w:t>
      </w:r>
      <w:r w:rsidRPr="00F72F13">
        <w:rPr>
          <w:sz w:val="8"/>
          <w:szCs w:val="8"/>
        </w:rPr>
        <w:t xml:space="preserve"> Since the project was promoted by Webb County officials the mural had protection by dint of their support (Garcia, 2003). </w:t>
      </w:r>
      <w:r w:rsidRPr="00F72F13">
        <w:rPr>
          <w:rStyle w:val="StyleUnderline"/>
          <w:highlight w:val="green"/>
        </w:rPr>
        <w:t>The UISD, the City and Webb County were involved in a tumultuous situation until the wall was repaired and repainted</w:t>
      </w:r>
      <w:r w:rsidRPr="00F72F13">
        <w:rPr>
          <w:rStyle w:val="StyleUnderline"/>
        </w:rPr>
        <w:t xml:space="preserve"> to put up a “Welcome to El Cenizo” sign</w:t>
      </w:r>
      <w:r w:rsidRPr="00F72F13">
        <w:t>.</w:t>
      </w:r>
      <w:r w:rsidRPr="00F72F13">
        <w:rPr>
          <w:sz w:val="8"/>
          <w:szCs w:val="8"/>
        </w:rPr>
        <w:t xml:space="preserve"> El Cenizo and such border areas always remain in contrast with city life in Laredo and are often regarded as forbidden. The City officials fought back to restore the city’s image even at the cost of enflaming violence between the rival gangs. What is most interesting is that the city actually defended the art in the name of artistic freedom and later claimed it only repainted it as it was in need of repairs. For the city, the appearance of “normality” is imperative for its self-portrayal.11 </w:t>
      </w:r>
      <w:r w:rsidRPr="00F72F13">
        <w:rPr>
          <w:rStyle w:val="StyleUnderline"/>
        </w:rPr>
        <w:t>The history of the Chicano mural is associated with a ritual of resistance since its inception in the late 1960’s. It is a symbol of defiance against hegemonic ideas of who belongs and what counts, as spatial irruptions of the other</w:t>
      </w:r>
      <w:r w:rsidRPr="00F72F13">
        <w:rPr>
          <w:sz w:val="8"/>
          <w:szCs w:val="8"/>
        </w:rPr>
        <w:t xml:space="preserve"> (Price, 2000). </w:t>
      </w:r>
      <w:r w:rsidRPr="00F72F13">
        <w:rPr>
          <w:rStyle w:val="StyleUnderline"/>
          <w:highlight w:val="green"/>
        </w:rPr>
        <w:t>The mural of El Cenizo was</w:t>
      </w:r>
      <w:r w:rsidRPr="00F72F13">
        <w:t>, perhaps,</w:t>
      </w:r>
      <w:r w:rsidRPr="00F72F13">
        <w:rPr>
          <w:rStyle w:val="StyleUnderline"/>
        </w:rPr>
        <w:t xml:space="preserve"> </w:t>
      </w:r>
      <w:r w:rsidRPr="00F72F13">
        <w:rPr>
          <w:rStyle w:val="StyleUnderline"/>
          <w:highlight w:val="green"/>
        </w:rPr>
        <w:t>a way of reclaiming space, and hence identity for the gang members.</w:t>
      </w:r>
      <w:r w:rsidRPr="00F72F13">
        <w:rPr>
          <w:rStyle w:val="StyleUnderline"/>
        </w:rPr>
        <w:t xml:space="preserve"> Aida Chavez, a local school teacher, explained how for the first time the gang members had something they could be proud of.</w:t>
      </w:r>
      <w:r w:rsidRPr="00F72F13">
        <w:rPr>
          <w:sz w:val="8"/>
          <w:szCs w:val="8"/>
        </w:rPr>
        <w:t xml:space="preserve">12 A mural that can end rivalry among competing gangs must have had a deeper message of solidarity. This mural was up for almost a year and no graffiti was ever written over it, whereas the town’s two-wall entrance had graffiti from both gangs (Garcia, 2003). Ms. Chavez further mentioned that </w:t>
      </w:r>
      <w:r w:rsidRPr="00F72F13">
        <w:rPr>
          <w:highlight w:val="green"/>
          <w:u w:val="single"/>
        </w:rPr>
        <w:t>the relationship between the two gangs has again deteriorated after the mural was painted over</w:t>
      </w:r>
      <w:r w:rsidRPr="00F72F13">
        <w:rPr>
          <w:highlight w:val="green"/>
        </w:rPr>
        <w:t xml:space="preserve">. </w:t>
      </w:r>
      <w:r w:rsidRPr="00F72F13">
        <w:t>The young residents of El Cenizo had utilized their artistic freedom as a way of expressing their frustration.</w:t>
      </w:r>
      <w:r w:rsidRPr="00F72F13">
        <w:rPr>
          <w:highlight w:val="green"/>
        </w:rPr>
        <w:t xml:space="preserve"> </w:t>
      </w:r>
      <w:r w:rsidRPr="00F72F13">
        <w:rPr>
          <w:rStyle w:val="StyleUnderline"/>
          <w:highlight w:val="green"/>
        </w:rPr>
        <w:t>In portraying prison life, it had offered a defiant message: what it means to live in El Cenizo. The way the El Cenizo City Council wanted to portray the community was strikingly different from how these</w:t>
      </w:r>
      <w:r w:rsidRPr="00F72F13">
        <w:rPr>
          <w:u w:val="single"/>
        </w:rPr>
        <w:t xml:space="preserve"> </w:t>
      </w:r>
      <w:r w:rsidRPr="00F72F13">
        <w:t>students/gang members/</w:t>
      </w:r>
      <w:r w:rsidRPr="00F72F13">
        <w:rPr>
          <w:rStyle w:val="StyleUnderline"/>
          <w:highlight w:val="green"/>
        </w:rPr>
        <w:t>residents perceived their community. It is not only the border city that is obsessed with “normality” and resorts to symbolic confrontations, but the government also exercises symbolic laws to portray its power over people.</w:t>
      </w:r>
      <w:r w:rsidRPr="00F72F13">
        <w:rPr>
          <w:sz w:val="8"/>
          <w:szCs w:val="8"/>
        </w:rPr>
        <w:t xml:space="preserve"> The militarization of the border itself has been analyzed as such a symbolic law that does not address the real problems of immigration, but is applied in a ruthless manner to convey the seriousness of government intention. </w:t>
      </w:r>
      <w:r w:rsidRPr="00F72F13">
        <w:t xml:space="preserve">As a </w:t>
      </w:r>
      <w:r w:rsidRPr="00F72F13">
        <w:rPr>
          <w:rStyle w:val="StyleUnderline"/>
          <w:highlight w:val="green"/>
        </w:rPr>
        <w:t>symbolic law</w:t>
      </w:r>
      <w:r w:rsidRPr="00F72F13">
        <w:rPr>
          <w:u w:val="single"/>
        </w:rPr>
        <w:t>,</w:t>
      </w:r>
      <w:r w:rsidRPr="00F72F13">
        <w:t xml:space="preserve"> it </w:t>
      </w:r>
      <w:r w:rsidRPr="00F72F13">
        <w:rPr>
          <w:rStyle w:val="StyleUnderline"/>
          <w:highlight w:val="green"/>
        </w:rPr>
        <w:t>creates the appearance of a border under control, while in reality, undocumented migration continues unabated. It serves to temporarily resolve conflict between the interests of capital</w:t>
      </w:r>
      <w:r w:rsidRPr="00F72F13">
        <w:t xml:space="preserve"> </w:t>
      </w:r>
      <w:r w:rsidRPr="00F72F13">
        <w:rPr>
          <w:rStyle w:val="StyleUnderline"/>
        </w:rPr>
        <w:t>and those who perceive themselves to be harmed by the unhindered operation of capital.</w:t>
      </w:r>
      <w:r w:rsidRPr="00F72F13">
        <w:t xml:space="preserve"> </w:t>
      </w:r>
      <w:r w:rsidRPr="00F72F13">
        <w:rPr>
          <w:sz w:val="8"/>
          <w:szCs w:val="8"/>
        </w:rPr>
        <w:t xml:space="preserve">This is accomplished through legislation that, on its face, addresses anti-capitalist concerns, but through loopholes or lack of effective enforcement allows business as usual. Instead of eliminating or reducing undocumented migration, border militarization has been channeling it into a pattern of temporary labor migration. </w:t>
      </w:r>
      <w:r w:rsidRPr="00F72F13">
        <w:rPr>
          <w:rStyle w:val="StyleUnderline"/>
        </w:rPr>
        <w:t xml:space="preserve">The simultaneous processes of internationalization and nationalization (as embodied </w:t>
      </w:r>
      <w:r w:rsidRPr="00F72F13">
        <w:rPr>
          <w:rStyle w:val="StyleUnderline"/>
        </w:rPr>
        <w:lastRenderedPageBreak/>
        <w:t>respectively by NAFTA and the growing boundary enforcement regime) keeps the border open to move capital, but closely regulated to ensure the movement of low-skilled temporary labor</w:t>
      </w:r>
      <w:r w:rsidRPr="00F72F13">
        <w:rPr>
          <w:sz w:val="8"/>
          <w:szCs w:val="8"/>
        </w:rPr>
        <w:t xml:space="preserve"> (Brownell, 2001). If we look at events in El Cenizo, in terms of the enforcement of immigration policies and de facto “punishment” of local citizens, we can trace these acts of militarization as a reaction to the two ordinances passed in the City Council. </w:t>
      </w:r>
      <w:r w:rsidRPr="00F72F13">
        <w:rPr>
          <w:rStyle w:val="StyleUnderline"/>
        </w:rPr>
        <w:t>The Human Rights Commission methodically documented a huge number of abusive and intrusive acts by the Border Patrol</w:t>
      </w:r>
      <w:r w:rsidRPr="00F72F13">
        <w:rPr>
          <w:sz w:val="8"/>
          <w:szCs w:val="8"/>
        </w:rPr>
        <w:t xml:space="preserve"> in its “Reports and Testimonios”, which was presented at the public meeting. </w:t>
      </w:r>
      <w:r w:rsidRPr="00F72F13">
        <w:rPr>
          <w:rStyle w:val="StyleUnderline"/>
        </w:rPr>
        <w:t>Mr. Jesus Olivares, a newspaper deliveryman, was held at gunpoint after the Border Patrol stopped his pickup</w:t>
      </w:r>
      <w:r w:rsidRPr="00F72F13">
        <w:rPr>
          <w:sz w:val="8"/>
          <w:szCs w:val="8"/>
        </w:rPr>
        <w:t xml:space="preserve"> on dawn of 16 September 2000. Mr. Herrera was handcuffed and taken to the jail at a bus stop. </w:t>
      </w:r>
      <w:r w:rsidRPr="00F72F13">
        <w:rPr>
          <w:rStyle w:val="StyleUnderline"/>
        </w:rPr>
        <w:t>He was set free after an hour when his mother showed up with his birth certificate and social security card, which were never returned to him. Another student, Cindy Cisneros, was asked to recite the Pledge of Allegiance in the school bus in front of other students to prove that she was an American citizen.</w:t>
      </w:r>
      <w:r w:rsidRPr="00F72F13">
        <w:rPr>
          <w:sz w:val="8"/>
          <w:szCs w:val="8"/>
        </w:rPr>
        <w:t xml:space="preserve"> Most of these victims are, in fact, US citizens. One important point to note is that </w:t>
      </w:r>
      <w:r w:rsidRPr="00F72F13">
        <w:t>t</w:t>
      </w:r>
      <w:r w:rsidRPr="00F72F13">
        <w:rPr>
          <w:rStyle w:val="StyleUnderline"/>
        </w:rPr>
        <w:t>hese practices not only affect undocumented migrants. They have created a constant sense of anxiousness and apprehension among the residents of borderlands, regardless of their immigration status.</w:t>
      </w:r>
      <w:r w:rsidRPr="00F72F13">
        <w:t xml:space="preserve"> </w:t>
      </w:r>
      <w:r w:rsidRPr="00F72F13">
        <w:rPr>
          <w:sz w:val="8"/>
          <w:szCs w:val="8"/>
        </w:rPr>
        <w:t>Historically, fear has been used to control the attitudes and actions of the perceived “antiAmerican” populations in the border (El Cenizo Human Rights Commission, 2002). It can be argued that although within official policy-making circles, “immigration policy” has been an ongoing debate; the de facto immigration policy of the US government is not to make the border impermeable but to regulate the flow of people. Although El Cenizo was one of the poorest border cities, overnight it became politically significant with its “safe haven” and “predominant language” acts. Why did the “state” or “authority” feel the need to teach the El Cenizo residents a lesson? Both their ordinances were interpreted as unpatriotic and un-American. We have to recognize that in the era of globalization, the “state” is competing with financial traders, flows of ideas and information, popular culture and lifestyles to maintain its position as the legitimate institution to govern the lives of its citizens. It should not be forgotten that although the Border Patrol engaged in brutal operations in the city of El Cenizo, they did change their enforcement policies after the Human Rights Commission became active. It is ironic that the border has been heavily militarized simultaneously with NAFTA, which in fact is associated with the idea of open borders. Is the “border” more like a representational space, which can be better understood by coded metaphors rather than defined relationships or daily practices? Aside from practical necessity, was the city of El Cenizo demonstrating its unique border culture by adopting Spanish as the language for city council meetings and by refusing to become an arm of Border Patrol? Was the “state” laying down its rules not necessarily to check the flow of undocumented migration, but to counter the individuality and autonomy of the border city? Why do the state and citizen engage in these symbolic gestures? Maybe the answer lies in the very nature of border regions. The territories of the colonias are very much inside the boundary of the state, but by their very existence and nature they continuously challenge the validity of the political boundary of the state. Margins are signifiers; they frame the nation from the wild and uncultivated. The border safeguards the center and, by design, has to be different from the mainstream, the accepted, and the norm. A frontier that has much to say about the center, it has to be placed in opposition to the center in order for the center to become the normal, the preferred, and the desired. Nations reactively want to assign borders the role of differentiating edges rather than that of unifying regions (Earle, 1999). The Border Patrol becomes aggressive not only to capture illegal immigrants, but also to convey a message to the residents, a message that is seldom lost on its audience. Conversely, the residents also set their own canon, in terms of how far they are willing to accept the authority. Border areas encompass dual notions, of acceptance and of denial. Symbolic norm from both sides becomes the rule of the game as it is much more appropriate for the ambiguous messy, ill-constructed, and jumbled world of border regions. We witness the opposing policies of NAFTA and militarization of the border occurring at the same time. The flow of cheap labor is seldom disturbed, though the source of this flow is criminalized through laying down elaborate norms of exclusion. Perhaps the appeal of the border city lies in its juxtaposition of enticement and deviance. For the residents of Mexico beyond the state lines, the city of El Cenizo, the other colonias, along with the larger city of Laredo, beckon them with opportunities of a better life, one that is attainable with either hard work or some risky ventures, one that is literally a few footsteps away. Are You a Citizen? 331 Conclusion The borders of the United States have always remained somewhat permeable and perceived as dangerous, associated with drug, crime or undocumented migrants usurping employment opportunities that rightfully belong to the state’s native population</w:t>
      </w:r>
      <w:r w:rsidRPr="00F72F13">
        <w:t xml:space="preserve">. </w:t>
      </w:r>
      <w:r w:rsidRPr="00F72F13">
        <w:rPr>
          <w:rStyle w:val="StyleUnderline"/>
        </w:rPr>
        <w:t>Border cities in the United States have historically developed a close affinity of social and cultural patterns across national territories, which have at times been disrupted by state policies, but</w:t>
      </w:r>
      <w:r w:rsidRPr="00F72F13">
        <w:rPr>
          <w:highlight w:val="green"/>
        </w:rPr>
        <w:t xml:space="preserve"> </w:t>
      </w:r>
      <w:r w:rsidRPr="00F72F13">
        <w:rPr>
          <w:rStyle w:val="StyleUnderline"/>
          <w:highlight w:val="green"/>
        </w:rPr>
        <w:t>people living in these regions have always found ways to circumvent the state’s epistemology of</w:t>
      </w:r>
      <w:r w:rsidRPr="00F72F13">
        <w:rPr>
          <w:rStyle w:val="StyleUnderline"/>
        </w:rPr>
        <w:t xml:space="preserve"> representations of space, in other words, its focus on </w:t>
      </w:r>
      <w:r w:rsidRPr="00F72F13">
        <w:rPr>
          <w:rStyle w:val="StyleUnderline"/>
          <w:highlight w:val="green"/>
        </w:rPr>
        <w:t>territorial boundary. As peoples’ lifestyles and daily practices or spatial practices have clashed with state policies, the state has encountered the alleged threat with symbolic acts</w:t>
      </w:r>
      <w:r w:rsidRPr="00F72F13">
        <w:rPr>
          <w:rStyle w:val="StyleUnderline"/>
        </w:rPr>
        <w:t>, following the representational space.</w:t>
      </w:r>
      <w:r w:rsidRPr="00F72F13">
        <w:t xml:space="preserve"> </w:t>
      </w:r>
      <w:r w:rsidRPr="00F72F13">
        <w:rPr>
          <w:sz w:val="8"/>
          <w:szCs w:val="8"/>
        </w:rPr>
        <w:t xml:space="preserve">Since border regions are permeable and non-permeable at the same time and often the lines between the prescribed and the proscribed become blurred, </w:t>
      </w:r>
      <w:r w:rsidRPr="00F72F13">
        <w:rPr>
          <w:rStyle w:val="StyleUnderline"/>
          <w:highlight w:val="green"/>
        </w:rPr>
        <w:t xml:space="preserve">the legal definition of “citizenship” offers little solace to the people living in these areas. </w:t>
      </w:r>
      <w:r w:rsidRPr="00F72F13">
        <w:rPr>
          <w:rStyle w:val="StyleUnderline"/>
        </w:rPr>
        <w:t>Rather,</w:t>
      </w:r>
      <w:r w:rsidRPr="00F72F13">
        <w:rPr>
          <w:rStyle w:val="StyleUnderline"/>
          <w:highlight w:val="green"/>
        </w:rPr>
        <w:t xml:space="preserve"> their rights are shaped by perceptions about their residency status.</w:t>
      </w:r>
      <w:r w:rsidRPr="00F72F13">
        <w:rPr>
          <w:sz w:val="8"/>
          <w:szCs w:val="8"/>
        </w:rPr>
        <w:t xml:space="preserve"> One common perception about the colonias is that most people are illegal immigrants. Both the government and the people living in the colonias resort to a number of symbolic acts that are rooted in this perception. </w:t>
      </w:r>
      <w:r w:rsidRPr="00F72F13">
        <w:rPr>
          <w:rStyle w:val="StyleUnderline"/>
        </w:rPr>
        <w:t xml:space="preserve">That is why </w:t>
      </w:r>
      <w:r w:rsidRPr="00F72F13">
        <w:rPr>
          <w:rStyle w:val="StyleUnderline"/>
          <w:highlight w:val="green"/>
        </w:rPr>
        <w:t>representations of space, which offers only an official position, is inadequate to analyze</w:t>
      </w:r>
      <w:r w:rsidRPr="00F72F13">
        <w:rPr>
          <w:rStyle w:val="StyleUnderline"/>
        </w:rPr>
        <w:t xml:space="preserve"> the issues of</w:t>
      </w:r>
      <w:r w:rsidRPr="00F72F13">
        <w:rPr>
          <w:rStyle w:val="StyleUnderline"/>
          <w:highlight w:val="green"/>
        </w:rPr>
        <w:t xml:space="preserve"> citizenship. We need to illuminate actual living practices through spatial practices and decode the symbols and metaphors through representational space to understand what rights people enjoy and what obstacles they face in these border areas.</w:t>
      </w:r>
      <w:r w:rsidRPr="00F72F13">
        <w:t xml:space="preserve"> </w:t>
      </w:r>
      <w:r w:rsidRPr="00F72F13">
        <w:rPr>
          <w:sz w:val="8"/>
          <w:szCs w:val="8"/>
        </w:rPr>
        <w:t>The discussions in this paper highlight two simultaneous elements: the city of El Cenizo attempted to display its uniqueness and the “state” attempted to normalize those very unique characteristics. For the “state”, strict enforcement of immigration is a symbolic act of claiming the border inside its territorial boundary. For the local residents, enacting regulations (“safe haven” and “predominant language” acts) or promulgating institutions (Human Rights Commission) are also symbolic of claiming the prevalence of their lived experiences over state rules. All these negotiations between the state, economic priorities and social norms shape the meaning of citizenship for the people of El Cenizo. The interesting shift here is that though the border remains contested, the battle is not only over physical space, but for controlling personal identities, movement of persons, and cultural and political hegemony of people.</w:t>
      </w:r>
    </w:p>
    <w:p xmlns:wp14="http://schemas.microsoft.com/office/word/2010/wordml" w:rsidR="0082799E" w:rsidP="0082799E" w:rsidRDefault="0082799E" w14:paraId="02EB378F" wp14:textId="77777777"/>
    <w:p xmlns:wp14="http://schemas.microsoft.com/office/word/2010/wordml" w:rsidRPr="001210B8" w:rsidR="0082799E" w:rsidP="0082799E" w:rsidRDefault="0082799E" w14:paraId="728A557F" wp14:textId="77777777">
      <w:pPr>
        <w:spacing w:after="0" w:line="240" w:lineRule="auto"/>
        <w:rPr>
          <w:rFonts w:ascii="Times New Roman" w:hAnsi="Times New Roman" w:eastAsia="Times New Roman" w:cs="Times New Roman"/>
          <w:sz w:val="24"/>
          <w:szCs w:val="24"/>
        </w:rPr>
      </w:pPr>
      <w:r w:rsidRPr="001210B8">
        <w:rPr>
          <w:rFonts w:eastAsia="Times New Roman"/>
          <w:color w:val="000000"/>
        </w:rPr>
        <w:t xml:space="preserve">The figure of the citizen only emerges through proper inhabitation of public space, in juxtaposition to the figure of the stranger. The citizen polices the strange, recognizes a familiar strangeness, a suspect rather than a subject, against which property and value must be protected. The stranger is rendered out of place, a public contaminant, a danger to the value of the neighborhood. </w:t>
      </w:r>
    </w:p>
    <w:p xmlns:wp14="http://schemas.microsoft.com/office/word/2010/wordml" w:rsidRPr="001210B8" w:rsidR="0082799E" w:rsidP="0082799E" w:rsidRDefault="0082799E" w14:paraId="0A3B4D02" wp14:textId="77777777">
      <w:pPr>
        <w:spacing w:after="0" w:line="240" w:lineRule="auto"/>
        <w:rPr>
          <w:rFonts w:ascii="Times New Roman" w:hAnsi="Times New Roman" w:eastAsia="Times New Roman" w:cs="Times New Roman"/>
          <w:sz w:val="24"/>
          <w:szCs w:val="24"/>
        </w:rPr>
      </w:pPr>
      <w:r w:rsidRPr="001210B8">
        <w:rPr>
          <w:rFonts w:eastAsia="Times New Roman"/>
          <w:color w:val="000000"/>
        </w:rPr>
        <w:t>Ahmed 2k (Sara Ahmed is an independent scholar of feminist, queer, and race studies who used to teach at the Goldsmiths, University of London) “Strange Encounters: Embodied Others in Post-Coloniality”, Routledge University Press, p 27-28 //tjb</w:t>
      </w:r>
    </w:p>
    <w:p xmlns:wp14="http://schemas.microsoft.com/office/word/2010/wordml" w:rsidRPr="001210B8" w:rsidR="0082799E" w:rsidP="0082799E" w:rsidRDefault="0082799E" w14:paraId="6A05A809" wp14:textId="77777777">
      <w:pPr>
        <w:spacing w:after="0" w:line="240" w:lineRule="auto"/>
        <w:rPr>
          <w:rFonts w:ascii="Times New Roman" w:hAnsi="Times New Roman" w:eastAsia="Times New Roman" w:cs="Times New Roman"/>
          <w:sz w:val="24"/>
          <w:szCs w:val="24"/>
        </w:rPr>
      </w:pPr>
      <w:r w:rsidRPr="001210B8">
        <w:rPr>
          <w:rFonts w:eastAsia="Times New Roman"/>
          <w:color w:val="000000"/>
        </w:rPr>
        <w:tab/>
      </w:r>
      <w:r w:rsidRPr="001210B8">
        <w:rPr>
          <w:rFonts w:eastAsia="Times New Roman"/>
          <w:color w:val="000000"/>
        </w:rPr>
        <w:tab/>
      </w:r>
      <w:r w:rsidRPr="001210B8">
        <w:rPr>
          <w:rFonts w:eastAsia="Times New Roman"/>
          <w:color w:val="000000"/>
        </w:rPr>
        <w:tab/>
      </w:r>
      <w:r w:rsidRPr="001210B8">
        <w:rPr>
          <w:rFonts w:eastAsia="Times New Roman"/>
          <w:color w:val="000000"/>
        </w:rPr>
        <w:tab/>
      </w:r>
    </w:p>
    <w:p xmlns:wp14="http://schemas.microsoft.com/office/word/2010/wordml" w:rsidRPr="001210B8" w:rsidR="0082799E" w:rsidP="0082799E" w:rsidRDefault="0082799E" w14:paraId="7BC39347" wp14:textId="77777777">
      <w:pPr>
        <w:spacing w:after="0" w:line="240" w:lineRule="auto"/>
        <w:rPr>
          <w:rFonts w:ascii="Times New Roman" w:hAnsi="Times New Roman" w:eastAsia="Times New Roman" w:cs="Times New Roman"/>
          <w:sz w:val="24"/>
          <w:szCs w:val="24"/>
        </w:rPr>
      </w:pPr>
      <w:r w:rsidRPr="001210B8">
        <w:rPr>
          <w:rFonts w:eastAsia="Times New Roman"/>
          <w:color w:val="000000"/>
        </w:rPr>
        <w:t xml:space="preserve">Neighbourhood Watch schemes are more common </w:t>
      </w:r>
      <w:r w:rsidRPr="001210B8">
        <w:rPr>
          <w:rFonts w:eastAsia="Times New Roman"/>
          <w:b/>
          <w:bCs/>
          <w:color w:val="000000"/>
          <w:u w:val="single"/>
        </w:rPr>
        <w:t>in middle-class areas</w:t>
      </w:r>
      <w:r w:rsidRPr="001210B8">
        <w:rPr>
          <w:rFonts w:eastAsia="Times New Roman"/>
          <w:color w:val="000000"/>
        </w:rPr>
        <w:t xml:space="preserve">, where </w:t>
      </w:r>
      <w:r w:rsidRPr="001210B8">
        <w:rPr>
          <w:rFonts w:eastAsia="Times New Roman"/>
          <w:b/>
          <w:bCs/>
          <w:color w:val="000000"/>
          <w:u w:val="single"/>
        </w:rPr>
        <w:t>residents are more likely to want to co-operate with the police</w:t>
      </w:r>
      <w:r w:rsidRPr="001210B8">
        <w:rPr>
          <w:rFonts w:eastAsia="Times New Roman"/>
          <w:color w:val="000000"/>
        </w:rPr>
        <w:t xml:space="preserve">, and where </w:t>
      </w:r>
      <w:r w:rsidRPr="001210B8">
        <w:rPr>
          <w:rFonts w:eastAsia="Times New Roman"/>
          <w:b/>
          <w:bCs/>
          <w:color w:val="000000"/>
          <w:u w:val="single"/>
        </w:rPr>
        <w:t xml:space="preserve">there is more ‘property’ </w:t>
      </w:r>
      <w:r w:rsidRPr="001210B8">
        <w:rPr>
          <w:rFonts w:eastAsia="Times New Roman"/>
          <w:b/>
          <w:bCs/>
          <w:color w:val="000000"/>
          <w:u w:val="single"/>
        </w:rPr>
        <w:lastRenderedPageBreak/>
        <w:t xml:space="preserve">with value to protect </w:t>
      </w:r>
      <w:r w:rsidRPr="001210B8">
        <w:rPr>
          <w:rFonts w:eastAsia="Times New Roman"/>
          <w:color w:val="000000"/>
        </w:rPr>
        <w:t xml:space="preserve">(Hill 1994: 150). </w:t>
      </w:r>
      <w:r w:rsidRPr="001210B8">
        <w:rPr>
          <w:rFonts w:eastAsia="Times New Roman"/>
          <w:color w:val="000000"/>
          <w:u w:val="single"/>
        </w:rPr>
        <w:t xml:space="preserve">The value attached to certain spaces of belonging is enforced or ‘watched’ through schemes that allow middle-class spaces to become valued: the subject who watches out for crime, is also </w:t>
      </w:r>
      <w:r w:rsidRPr="001210B8">
        <w:rPr>
          <w:rFonts w:eastAsia="Times New Roman"/>
          <w:i/>
          <w:iCs/>
          <w:color w:val="000000"/>
          <w:u w:val="single"/>
        </w:rPr>
        <w:t>maintaining the value of her or his neighbourhood</w:t>
      </w:r>
      <w:r w:rsidRPr="001210B8">
        <w:rPr>
          <w:rFonts w:eastAsia="Times New Roman"/>
          <w:color w:val="000000"/>
          <w:u w:val="single"/>
        </w:rPr>
        <w:t xml:space="preserve">. </w:t>
      </w:r>
      <w:r w:rsidRPr="001210B8">
        <w:rPr>
          <w:rFonts w:eastAsia="Times New Roman"/>
          <w:b/>
          <w:bCs/>
          <w:color w:val="000000"/>
          <w:u w:val="single"/>
        </w:rPr>
        <w:t>The link here between value of spaces, the protection of property, and the maintenance of social privilege helps us to theorise how the defence of social boundaries against unwelcome intrusions and intruders produces certain categories of strangers – those who don’t belong in the leafy suburbs – that are socially legitimated and enforced.</w:t>
      </w:r>
      <w:r w:rsidRPr="001210B8">
        <w:rPr>
          <w:rFonts w:eastAsia="Times New Roman"/>
          <w:color w:val="000000"/>
        </w:rPr>
        <w:t xml:space="preserve"> In Elijah Anderson’s work, there is a discussion of how the concern with safety amongst residents means that, ‘they join their diverse counterparts in local struggles to fight crime and otherwise preserve the ideal character for the neighbourhood, forming town watches and shoring up municipal codes that might discourage undesirables and encourage others more to their liking’ (1990: 4). </w:t>
      </w:r>
      <w:r w:rsidRPr="001210B8">
        <w:rPr>
          <w:rFonts w:eastAsia="Times New Roman"/>
          <w:b/>
          <w:bCs/>
          <w:color w:val="000000"/>
          <w:u w:val="single"/>
        </w:rPr>
        <w:t>The production of safe spaces that have value or ‘ideal character’ involves the expulsion of unlike and undesirable ‘characters’</w:t>
      </w:r>
      <w:r w:rsidRPr="001210B8">
        <w:rPr>
          <w:rFonts w:eastAsia="Times New Roman"/>
          <w:color w:val="000000"/>
        </w:rPr>
        <w:t xml:space="preserve">. In Anderson’s work, these characters have </w:t>
      </w:r>
      <w:r w:rsidRPr="001210B8">
        <w:rPr>
          <w:rFonts w:eastAsia="Times New Roman"/>
          <w:i/>
          <w:iCs/>
          <w:color w:val="000000"/>
        </w:rPr>
        <w:t xml:space="preserve">already </w:t>
      </w:r>
      <w:r w:rsidRPr="001210B8">
        <w:rPr>
          <w:rFonts w:eastAsia="Times New Roman"/>
          <w:color w:val="000000"/>
        </w:rPr>
        <w:t xml:space="preserve">materialised or taken the form of, ‘wandering homeless people, aggressive beggars, muggers, anonymous black youths, and drug addicts’ (1990: 238). How does neighbourhood watch work to produce such safe spaces? The literature produced on the </w:t>
      </w:r>
      <w:r w:rsidRPr="001210B8">
        <w:rPr>
          <w:rFonts w:eastAsia="Times New Roman"/>
          <w:b/>
          <w:bCs/>
          <w:color w:val="000000"/>
          <w:u w:val="single"/>
        </w:rPr>
        <w:t>Neighbourhood Watch</w:t>
      </w:r>
      <w:r w:rsidRPr="001210B8">
        <w:rPr>
          <w:rFonts w:eastAsia="Times New Roman"/>
          <w:color w:val="000000"/>
        </w:rPr>
        <w:t xml:space="preserve"> schemes by the Home Office in the United Kingdom certainly </w:t>
      </w:r>
      <w:r w:rsidRPr="001210B8">
        <w:rPr>
          <w:rFonts w:eastAsia="Times New Roman"/>
          <w:b/>
          <w:bCs/>
          <w:color w:val="000000"/>
          <w:u w:val="single"/>
        </w:rPr>
        <w:t>links the designation of value to social spaces with the detection of strange events, and the expulsion of strangers.</w:t>
      </w:r>
      <w:r w:rsidRPr="001210B8">
        <w:rPr>
          <w:rFonts w:eastAsia="Times New Roman"/>
          <w:color w:val="000000"/>
        </w:rPr>
        <w:t xml:space="preserve"> There is a double emphasis on the improvement of community living and on security and crime prevention. So Neighbourhood Watch schemes are described as both providing ‘the eyes and ears of the police’ and as providing, ‘the soul and heart of the community’ (Home Office 1997). The NWS link the production of safe spaces with the organic growth of a healthy social body: ‘Neighbourhood Watch is not just about reducing burglary figures – it’s about creating communities who care. It brings local people together and can make a real contribution to improving their lives. The activity of Watch members can foster a new community spirit and a belief in the community’s ability to tackle problems. At the same time, you feel secure, knowing your neighbours are keeping an eye on your property’ (1997). There is a constant shift between an emphasis on a caring commu- nity and a safe one: a safe community moreover is one in which you feel safe as your property is being ‘watched’ by your neighbours. </w:t>
      </w:r>
      <w:r w:rsidRPr="001210B8">
        <w:rPr>
          <w:rFonts w:eastAsia="Times New Roman"/>
          <w:b/>
          <w:bCs/>
          <w:color w:val="000000"/>
          <w:u w:val="single"/>
        </w:rPr>
        <w:t>A link is established here between safety (in which safety is associated with property), a discourse on good neighbourliness</w:t>
      </w:r>
      <w:r w:rsidRPr="001210B8">
        <w:rPr>
          <w:rFonts w:eastAsia="Times New Roman"/>
          <w:color w:val="000000"/>
        </w:rPr>
        <w:t xml:space="preserve"> (looking out for each other) </w:t>
      </w:r>
      <w:r w:rsidRPr="001210B8">
        <w:rPr>
          <w:rFonts w:eastAsia="Times New Roman"/>
          <w:b/>
          <w:bCs/>
          <w:color w:val="000000"/>
          <w:u w:val="single"/>
        </w:rPr>
        <w:t>and the production of community as purified space</w:t>
      </w:r>
      <w:r w:rsidRPr="001210B8">
        <w:rPr>
          <w:rFonts w:eastAsia="Times New Roman"/>
          <w:color w:val="000000"/>
        </w:rPr>
        <w:t xml:space="preserve"> (‘a new community spirit’). Hence, ‘it is widely accepted that within every community, there is the potential for crime prevention. Neighbourhood Watch is a way of tapping into this and of drawing a community together’. Neighbourhood Watch hence constitutes the neighbourhood as a community through the protection of the property of nearby others from the threat posed by the very proximity of distant others. In an earlier Neighbourhood Watch pamphlet (Home Office 1992), the reader is addressed more directly, ‘Deciding to join your local group means you have made a positive commitment to act against crime in your community. You have also become one of the largest and most successful grass-roots movements in the country.’ Here, the reader is praised for her or his community spirit: not only are you a good neighbour – willing to look out for your neighbours – but you are also a good citizen, who has displayed a positive commitment to ‘act against crime in the community’. </w:t>
      </w:r>
      <w:r w:rsidRPr="001210B8">
        <w:rPr>
          <w:rFonts w:eastAsia="Times New Roman"/>
          <w:b/>
          <w:bCs/>
          <w:color w:val="000000"/>
          <w:u w:val="single"/>
        </w:rPr>
        <w:t xml:space="preserve">Neighbourhood watch purifies the space of the community </w:t>
      </w:r>
      <w:r w:rsidRPr="001210B8">
        <w:rPr>
          <w:rFonts w:eastAsia="Times New Roman"/>
          <w:b/>
          <w:bCs/>
          <w:i/>
          <w:iCs/>
          <w:color w:val="000000"/>
          <w:u w:val="single"/>
        </w:rPr>
        <w:t>through purifying the life of the good citizen</w:t>
      </w:r>
      <w:r w:rsidRPr="001210B8">
        <w:rPr>
          <w:rFonts w:eastAsia="Times New Roman"/>
          <w:b/>
          <w:bCs/>
          <w:color w:val="000000"/>
          <w:u w:val="single"/>
        </w:rPr>
        <w:t>, whose life becomes heroic, dedicated to fighting against crime and disorder.</w:t>
      </w:r>
      <w:r w:rsidRPr="001210B8">
        <w:rPr>
          <w:rFonts w:eastAsia="Times New Roman"/>
          <w:color w:val="000000"/>
        </w:rPr>
        <w:t xml:space="preserve"> Significantly, then, </w:t>
      </w:r>
      <w:r w:rsidRPr="001210B8">
        <w:rPr>
          <w:rFonts w:eastAsia="Times New Roman"/>
          <w:b/>
          <w:bCs/>
          <w:color w:val="000000"/>
          <w:u w:val="single"/>
        </w:rPr>
        <w:t>the praise given to the</w:t>
      </w:r>
      <w:r w:rsidRPr="001210B8">
        <w:rPr>
          <w:rFonts w:eastAsia="Times New Roman"/>
          <w:color w:val="000000"/>
        </w:rPr>
        <w:t xml:space="preserve"> reader/</w:t>
      </w:r>
      <w:r w:rsidRPr="001210B8">
        <w:rPr>
          <w:rFonts w:eastAsia="Times New Roman"/>
          <w:b/>
          <w:bCs/>
          <w:color w:val="000000"/>
          <w:u w:val="single"/>
        </w:rPr>
        <w:t>citizen involves</w:t>
      </w:r>
      <w:r w:rsidRPr="001210B8">
        <w:rPr>
          <w:rFonts w:eastAsia="Times New Roman"/>
          <w:color w:val="000000"/>
        </w:rPr>
        <w:t xml:space="preserve"> a form of reward/recognition: ‘You can also get </w:t>
      </w:r>
      <w:r w:rsidRPr="001210B8">
        <w:rPr>
          <w:rFonts w:eastAsia="Times New Roman"/>
          <w:b/>
          <w:bCs/>
          <w:color w:val="000000"/>
          <w:u w:val="single"/>
        </w:rPr>
        <w:t>lower insurance premiums</w:t>
      </w:r>
      <w:r w:rsidRPr="001210B8">
        <w:rPr>
          <w:rFonts w:eastAsia="Times New Roman"/>
          <w:color w:val="000000"/>
        </w:rPr>
        <w:t xml:space="preserve"> from some Insurance companies’ (1992). The reward </w:t>
      </w:r>
      <w:r w:rsidRPr="001210B8">
        <w:rPr>
          <w:rFonts w:eastAsia="Times New Roman"/>
          <w:b/>
          <w:bCs/>
          <w:color w:val="000000"/>
          <w:u w:val="single"/>
        </w:rPr>
        <w:t>demonstrates the value given to social spaces where subjects watch out for the extraordinary sounds and signs of crime</w:t>
      </w:r>
      <w:r w:rsidRPr="001210B8">
        <w:rPr>
          <w:rFonts w:eastAsia="Times New Roman"/>
          <w:color w:val="000000"/>
        </w:rPr>
        <w:t xml:space="preserve">, or the sounds and signs of that which is suspect and suspicious. </w:t>
      </w:r>
    </w:p>
    <w:p xmlns:wp14="http://schemas.microsoft.com/office/word/2010/wordml" w:rsidRPr="001210B8" w:rsidR="0082799E" w:rsidP="0082799E" w:rsidRDefault="0082799E" w14:paraId="5A39BBE3" wp14:textId="77777777">
      <w:pPr>
        <w:spacing w:after="240" w:line="240" w:lineRule="auto"/>
        <w:rPr>
          <w:rFonts w:ascii="Times New Roman" w:hAnsi="Times New Roman" w:eastAsia="Times New Roman" w:cs="Times New Roman"/>
          <w:sz w:val="24"/>
          <w:szCs w:val="24"/>
        </w:rPr>
      </w:pPr>
      <w:r w:rsidRPr="001210B8">
        <w:rPr>
          <w:rFonts w:ascii="Times New Roman" w:hAnsi="Times New Roman" w:eastAsia="Times New Roman" w:cs="Times New Roman"/>
          <w:sz w:val="24"/>
          <w:szCs w:val="24"/>
        </w:rPr>
        <w:br/>
      </w:r>
      <w:r w:rsidRPr="001210B8">
        <w:rPr>
          <w:rFonts w:ascii="Times New Roman" w:hAnsi="Times New Roman" w:eastAsia="Times New Roman" w:cs="Times New Roman"/>
          <w:sz w:val="24"/>
          <w:szCs w:val="24"/>
        </w:rPr>
        <w:br/>
      </w:r>
      <w:r w:rsidRPr="001210B8">
        <w:rPr>
          <w:rFonts w:ascii="Times New Roman" w:hAnsi="Times New Roman" w:eastAsia="Times New Roman" w:cs="Times New Roman"/>
          <w:sz w:val="24"/>
          <w:szCs w:val="24"/>
        </w:rPr>
        <w:lastRenderedPageBreak/>
        <w:br/>
      </w:r>
      <w:r w:rsidRPr="001210B8">
        <w:rPr>
          <w:rFonts w:ascii="Times New Roman" w:hAnsi="Times New Roman" w:eastAsia="Times New Roman" w:cs="Times New Roman"/>
          <w:sz w:val="24"/>
          <w:szCs w:val="24"/>
        </w:rPr>
        <w:br/>
      </w:r>
      <w:r w:rsidRPr="001210B8">
        <w:rPr>
          <w:rFonts w:ascii="Times New Roman" w:hAnsi="Times New Roman" w:eastAsia="Times New Roman" w:cs="Times New Roman"/>
          <w:sz w:val="24"/>
          <w:szCs w:val="24"/>
        </w:rPr>
        <w:br/>
      </w:r>
    </w:p>
    <w:p xmlns:wp14="http://schemas.microsoft.com/office/word/2010/wordml" w:rsidRPr="001210B8" w:rsidR="0082799E" w:rsidP="0082799E" w:rsidRDefault="0082799E" w14:paraId="2193A4E3" wp14:textId="77777777">
      <w:pPr>
        <w:spacing w:after="0" w:line="240" w:lineRule="auto"/>
        <w:rPr>
          <w:rFonts w:ascii="Times New Roman" w:hAnsi="Times New Roman" w:eastAsia="Times New Roman" w:cs="Times New Roman"/>
          <w:sz w:val="24"/>
          <w:szCs w:val="24"/>
        </w:rPr>
      </w:pPr>
      <w:r w:rsidRPr="001210B8">
        <w:rPr>
          <w:rFonts w:eastAsia="Times New Roman"/>
          <w:color w:val="000000"/>
        </w:rPr>
        <w:t>Other supplemental cards</w:t>
      </w:r>
    </w:p>
    <w:p xmlns:wp14="http://schemas.microsoft.com/office/word/2010/wordml" w:rsidRPr="001210B8" w:rsidR="0082799E" w:rsidP="0082799E" w:rsidRDefault="0082799E" w14:paraId="41C8F396" wp14:textId="77777777">
      <w:pPr>
        <w:spacing w:after="240" w:line="240" w:lineRule="auto"/>
        <w:rPr>
          <w:rFonts w:ascii="Times New Roman" w:hAnsi="Times New Roman" w:eastAsia="Times New Roman" w:cs="Times New Roman"/>
          <w:sz w:val="24"/>
          <w:szCs w:val="24"/>
        </w:rPr>
      </w:pPr>
      <w:r w:rsidRPr="001210B8">
        <w:rPr>
          <w:rFonts w:ascii="Times New Roman" w:hAnsi="Times New Roman" w:eastAsia="Times New Roman" w:cs="Times New Roman"/>
          <w:sz w:val="24"/>
          <w:szCs w:val="24"/>
        </w:rPr>
        <w:br/>
      </w:r>
    </w:p>
    <w:p xmlns:wp14="http://schemas.microsoft.com/office/word/2010/wordml" w:rsidRPr="001210B8" w:rsidR="0082799E" w:rsidP="0082799E" w:rsidRDefault="0082799E" w14:paraId="4893B1C7" wp14:textId="77777777">
      <w:pPr>
        <w:spacing w:after="0" w:line="240" w:lineRule="auto"/>
        <w:rPr>
          <w:rFonts w:ascii="Times New Roman" w:hAnsi="Times New Roman" w:eastAsia="Times New Roman" w:cs="Times New Roman"/>
          <w:sz w:val="24"/>
          <w:szCs w:val="24"/>
        </w:rPr>
      </w:pPr>
      <w:r w:rsidRPr="001210B8">
        <w:rPr>
          <w:rFonts w:eastAsia="Times New Roman"/>
          <w:color w:val="000000"/>
        </w:rPr>
        <w:t>The figure of the stranger is already, paradoxically, rendered strange, prior to encounter. Strangers are those against which the space of belonging is demarcated, even as they appear in proximity to such space.</w:t>
      </w:r>
    </w:p>
    <w:p xmlns:wp14="http://schemas.microsoft.com/office/word/2010/wordml" w:rsidRPr="001210B8" w:rsidR="0082799E" w:rsidP="0082799E" w:rsidRDefault="0082799E" w14:paraId="798F9FC2" wp14:textId="77777777">
      <w:pPr>
        <w:spacing w:after="0" w:line="240" w:lineRule="auto"/>
        <w:rPr>
          <w:rFonts w:ascii="Times New Roman" w:hAnsi="Times New Roman" w:eastAsia="Times New Roman" w:cs="Times New Roman"/>
          <w:sz w:val="24"/>
          <w:szCs w:val="24"/>
        </w:rPr>
      </w:pPr>
      <w:r w:rsidRPr="001210B8">
        <w:rPr>
          <w:rFonts w:eastAsia="Times New Roman"/>
          <w:color w:val="000000"/>
        </w:rPr>
        <w:t>Ahmed 2k (Sara Ahmed is an independent scholar of feminist, queer, and race studies who used to teach at the Goldsmiths, University of London) “Strange Encounters: Embodied Others in Post-Coloniality”, Routledge University Press, p 3 //tjb</w:t>
      </w:r>
      <w:r w:rsidRPr="001210B8">
        <w:rPr>
          <w:rFonts w:eastAsia="Times New Roman"/>
          <w:color w:val="000000"/>
        </w:rPr>
        <w:tab/>
      </w:r>
      <w:r w:rsidRPr="001210B8">
        <w:rPr>
          <w:rFonts w:eastAsia="Times New Roman"/>
          <w:color w:val="000000"/>
        </w:rPr>
        <w:tab/>
      </w:r>
      <w:r w:rsidRPr="001210B8">
        <w:rPr>
          <w:rFonts w:eastAsia="Times New Roman"/>
          <w:color w:val="000000"/>
        </w:rPr>
        <w:tab/>
      </w:r>
    </w:p>
    <w:p xmlns:wp14="http://schemas.microsoft.com/office/word/2010/wordml" w:rsidRPr="001210B8" w:rsidR="0082799E" w:rsidP="0082799E" w:rsidRDefault="0082799E" w14:paraId="72A3D3EC" wp14:textId="77777777">
      <w:pPr>
        <w:spacing w:after="0" w:line="240" w:lineRule="auto"/>
        <w:rPr>
          <w:rFonts w:ascii="Times New Roman" w:hAnsi="Times New Roman" w:eastAsia="Times New Roman" w:cs="Times New Roman"/>
          <w:sz w:val="24"/>
          <w:szCs w:val="24"/>
        </w:rPr>
      </w:pPr>
      <w:r w:rsidRPr="001210B8">
        <w:rPr>
          <w:rFonts w:eastAsia="Times New Roman"/>
          <w:color w:val="000000"/>
        </w:rPr>
        <w:tab/>
      </w:r>
      <w:r w:rsidRPr="001210B8">
        <w:rPr>
          <w:rFonts w:eastAsia="Times New Roman"/>
          <w:color w:val="000000"/>
        </w:rPr>
        <w:tab/>
      </w:r>
      <w:r w:rsidRPr="001210B8">
        <w:rPr>
          <w:rFonts w:eastAsia="Times New Roman"/>
          <w:color w:val="000000"/>
        </w:rPr>
        <w:tab/>
      </w:r>
      <w:r w:rsidRPr="001210B8">
        <w:rPr>
          <w:rFonts w:eastAsia="Times New Roman"/>
          <w:color w:val="000000"/>
        </w:rPr>
        <w:tab/>
      </w:r>
      <w:r w:rsidRPr="001210B8">
        <w:rPr>
          <w:rFonts w:eastAsia="Times New Roman"/>
          <w:color w:val="000000"/>
        </w:rPr>
        <w:tab/>
      </w:r>
      <w:r w:rsidRPr="001210B8">
        <w:rPr>
          <w:rFonts w:eastAsia="Times New Roman"/>
          <w:color w:val="000000"/>
        </w:rPr>
        <w:tab/>
      </w:r>
    </w:p>
    <w:p xmlns:wp14="http://schemas.microsoft.com/office/word/2010/wordml" w:rsidRPr="001210B8" w:rsidR="0082799E" w:rsidP="0082799E" w:rsidRDefault="0082799E" w14:paraId="1F706459" wp14:textId="77777777">
      <w:pPr>
        <w:spacing w:after="0" w:line="240" w:lineRule="auto"/>
        <w:rPr>
          <w:rFonts w:ascii="Times New Roman" w:hAnsi="Times New Roman" w:eastAsia="Times New Roman" w:cs="Times New Roman"/>
          <w:sz w:val="24"/>
          <w:szCs w:val="24"/>
        </w:rPr>
      </w:pPr>
      <w:r w:rsidRPr="001210B8">
        <w:rPr>
          <w:rFonts w:eastAsia="Times New Roman"/>
          <w:color w:val="000000"/>
        </w:rPr>
        <w:t xml:space="preserve">Of course, not all aliens hesitate at the borders of the human. </w:t>
      </w:r>
      <w:r w:rsidRPr="001210B8">
        <w:rPr>
          <w:rFonts w:eastAsia="Times New Roman"/>
          <w:b/>
          <w:bCs/>
          <w:color w:val="000000"/>
          <w:u w:val="single"/>
        </w:rPr>
        <w:t>To be an alien in a particular nation, is to hesitate at a</w:t>
      </w:r>
      <w:r w:rsidRPr="001210B8">
        <w:rPr>
          <w:rFonts w:eastAsia="Times New Roman"/>
          <w:color w:val="000000"/>
        </w:rPr>
        <w:t xml:space="preserve"> different </w:t>
      </w:r>
      <w:r w:rsidRPr="001210B8">
        <w:rPr>
          <w:rFonts w:eastAsia="Times New Roman"/>
          <w:b/>
          <w:bCs/>
          <w:color w:val="000000"/>
          <w:u w:val="single"/>
        </w:rPr>
        <w:t>border</w:t>
      </w:r>
      <w:r w:rsidRPr="001210B8">
        <w:rPr>
          <w:rFonts w:eastAsia="Times New Roman"/>
          <w:color w:val="000000"/>
        </w:rPr>
        <w:t xml:space="preserve">: </w:t>
      </w:r>
      <w:r w:rsidRPr="001210B8">
        <w:rPr>
          <w:rFonts w:eastAsia="Times New Roman"/>
          <w:color w:val="000000"/>
          <w:u w:val="single"/>
        </w:rPr>
        <w:t>the alien here is the one who does not belong in a nation space, and who is already defined as such by the Law</w:t>
      </w:r>
      <w:r w:rsidRPr="001210B8">
        <w:rPr>
          <w:rFonts w:eastAsia="Times New Roman"/>
          <w:color w:val="000000"/>
        </w:rPr>
        <w:t xml:space="preserve">. The alien is hence only a category within a given community of citizens or subjects: </w:t>
      </w:r>
      <w:r w:rsidRPr="001210B8">
        <w:rPr>
          <w:rFonts w:eastAsia="Times New Roman"/>
          <w:b/>
          <w:bCs/>
          <w:color w:val="000000"/>
          <w:u w:val="single"/>
        </w:rPr>
        <w:t>as the outsider inside, the alien takes on a spatial function, establishing relations of proximity and distance within the home(land).</w:t>
      </w:r>
      <w:r w:rsidRPr="001210B8">
        <w:rPr>
          <w:rFonts w:eastAsia="Times New Roman"/>
          <w:color w:val="000000"/>
        </w:rPr>
        <w:t xml:space="preserve"> </w:t>
      </w:r>
      <w:r w:rsidRPr="001210B8">
        <w:rPr>
          <w:rFonts w:eastAsia="Times New Roman"/>
          <w:color w:val="000000"/>
          <w:u w:val="single"/>
        </w:rPr>
        <w:t>Aliens allow the demarcation of spaces of belonging: by coming too close to home, they establish the very necessity of policing the borders of knowable and inhabitable terrains.</w:t>
      </w:r>
      <w:r w:rsidRPr="001210B8">
        <w:rPr>
          <w:rFonts w:eastAsia="Times New Roman"/>
          <w:color w:val="000000"/>
        </w:rPr>
        <w:t xml:space="preserve"> </w:t>
      </w:r>
      <w:r w:rsidRPr="001210B8">
        <w:rPr>
          <w:rFonts w:eastAsia="Times New Roman"/>
          <w:b/>
          <w:bCs/>
          <w:color w:val="000000"/>
          <w:u w:val="single"/>
        </w:rPr>
        <w:t>The techniques for differentiating between citizens and aliens, as well as between humans and aliens, allows the familiar to be established as the familial</w:t>
      </w:r>
      <w:r w:rsidRPr="001210B8">
        <w:rPr>
          <w:rFonts w:eastAsia="Times New Roman"/>
          <w:color w:val="000000"/>
        </w:rPr>
        <w:t xml:space="preserve">. This book, while it takes as its point of entry a rather different set of encounters, is nevertheless an attempt to work through the familiarity of alien forms (‘strangers’). </w:t>
      </w:r>
      <w:r w:rsidRPr="001210B8">
        <w:rPr>
          <w:rFonts w:eastAsia="Times New Roman"/>
          <w:b/>
          <w:bCs/>
          <w:color w:val="000000"/>
          <w:u w:val="single"/>
        </w:rPr>
        <w:t>Through strange encounters, the figure of the ‘stranger’ is produced, not as that which we fail to recognise, but as that which we have already recognised as ‘a stranger’.</w:t>
      </w:r>
      <w:r w:rsidRPr="001210B8">
        <w:rPr>
          <w:rFonts w:eastAsia="Times New Roman"/>
          <w:color w:val="000000"/>
        </w:rPr>
        <w:t xml:space="preserve"> In the gesture of recognis- ing the one that we do not know, the one that is different from ‘us’, we flesh out the beyond, and give it a face and form. It is this ‘fleshing out’ of strangers in encounters with embodied others that I examine. </w:t>
      </w:r>
      <w:r w:rsidRPr="001210B8">
        <w:rPr>
          <w:rFonts w:eastAsia="Times New Roman"/>
          <w:b/>
          <w:bCs/>
          <w:color w:val="000000"/>
          <w:u w:val="single"/>
        </w:rPr>
        <w:t>The alien stranger is</w:t>
      </w:r>
      <w:r w:rsidRPr="001210B8">
        <w:rPr>
          <w:rFonts w:eastAsia="Times New Roman"/>
          <w:color w:val="000000"/>
        </w:rPr>
        <w:t xml:space="preserve"> hence, not beyond human, but </w:t>
      </w:r>
      <w:r w:rsidRPr="001210B8">
        <w:rPr>
          <w:rFonts w:eastAsia="Times New Roman"/>
          <w:b/>
          <w:bCs/>
          <w:color w:val="000000"/>
          <w:u w:val="single"/>
        </w:rPr>
        <w:t xml:space="preserve">a mechanism </w:t>
      </w:r>
      <w:r w:rsidRPr="001210B8">
        <w:rPr>
          <w:rFonts w:eastAsia="Times New Roman"/>
          <w:b/>
          <w:bCs/>
          <w:i/>
          <w:iCs/>
          <w:color w:val="000000"/>
          <w:u w:val="single"/>
        </w:rPr>
        <w:t>for allowing us to face that which we have already designated as the beyond</w:t>
      </w:r>
      <w:r w:rsidRPr="001210B8">
        <w:rPr>
          <w:rFonts w:eastAsia="Times New Roman"/>
          <w:color w:val="000000"/>
        </w:rPr>
        <w:t xml:space="preserve">. So we imagine, here, now, that we are facing an alien stranger: it allows us to share a fantasy that, in the co-presence of strange and alien bodies, we will prevail. </w:t>
      </w:r>
    </w:p>
    <w:p xmlns:wp14="http://schemas.microsoft.com/office/word/2010/wordml" w:rsidRPr="001210B8" w:rsidR="0082799E" w:rsidP="0082799E" w:rsidRDefault="0082799E" w14:paraId="2D0D06CA" wp14:textId="77777777">
      <w:pPr>
        <w:pStyle w:val="Heading4"/>
        <w:rPr>
          <w:rFonts w:ascii="Times New Roman" w:hAnsi="Times New Roman" w:eastAsia="Times New Roman" w:cs="Times New Roman"/>
          <w:sz w:val="24"/>
          <w:szCs w:val="24"/>
        </w:rPr>
      </w:pPr>
      <w:r w:rsidRPr="001210B8">
        <w:rPr>
          <w:rFonts w:ascii="Times New Roman" w:hAnsi="Times New Roman" w:eastAsia="Times New Roman" w:cs="Times New Roman"/>
          <w:sz w:val="24"/>
          <w:szCs w:val="24"/>
        </w:rPr>
        <w:br/>
      </w:r>
      <w:r w:rsidRPr="001210B8">
        <w:rPr>
          <w:rFonts w:eastAsia="Times New Roman"/>
        </w:rPr>
        <w:t xml:space="preserve">The (mis)recognition of others as strange is central to the constitution of the </w:t>
      </w:r>
      <w:r>
        <w:rPr>
          <w:rFonts w:eastAsia="Times New Roman"/>
        </w:rPr>
        <w:t xml:space="preserve">nationalist </w:t>
      </w:r>
      <w:r w:rsidRPr="001210B8">
        <w:rPr>
          <w:rFonts w:eastAsia="Times New Roman"/>
        </w:rPr>
        <w:t>subject. The stranger is a familiar and unwelcome contaminant.</w:t>
      </w:r>
    </w:p>
    <w:p xmlns:wp14="http://schemas.microsoft.com/office/word/2010/wordml" w:rsidRPr="001210B8" w:rsidR="0082799E" w:rsidP="0082799E" w:rsidRDefault="0082799E" w14:paraId="17AF41FA" wp14:textId="77777777">
      <w:pPr>
        <w:spacing w:after="0" w:line="240" w:lineRule="auto"/>
        <w:rPr>
          <w:rFonts w:ascii="Times New Roman" w:hAnsi="Times New Roman" w:eastAsia="Times New Roman" w:cs="Times New Roman"/>
          <w:sz w:val="24"/>
          <w:szCs w:val="24"/>
        </w:rPr>
      </w:pPr>
      <w:r w:rsidRPr="001210B8">
        <w:rPr>
          <w:rStyle w:val="Style13ptBold"/>
        </w:rPr>
        <w:t>Ahmed 2k</w:t>
      </w:r>
      <w:r w:rsidRPr="001210B8">
        <w:rPr>
          <w:rFonts w:eastAsia="Times New Roman"/>
          <w:color w:val="000000"/>
        </w:rPr>
        <w:t xml:space="preserve"> (Sara Ahmed is an independent scholar of feminist, queer, and race studies who used to teach at the Goldsmiths, University of London) “Strange Encounters: Embodied Others in Post-Coloniality”, Routledge University Press, p 22-24 //tjb</w:t>
      </w:r>
      <w:r w:rsidRPr="001210B8">
        <w:rPr>
          <w:rFonts w:eastAsia="Times New Roman"/>
          <w:color w:val="000000"/>
        </w:rPr>
        <w:tab/>
      </w:r>
    </w:p>
    <w:p xmlns:wp14="http://schemas.microsoft.com/office/word/2010/wordml" w:rsidRPr="001210B8" w:rsidR="0082799E" w:rsidP="0082799E" w:rsidRDefault="0082799E" w14:paraId="0D0B940D" wp14:textId="77777777">
      <w:pPr>
        <w:spacing w:after="0" w:line="240" w:lineRule="auto"/>
        <w:rPr>
          <w:rFonts w:ascii="Times New Roman" w:hAnsi="Times New Roman" w:eastAsia="Times New Roman" w:cs="Times New Roman"/>
          <w:sz w:val="24"/>
          <w:szCs w:val="24"/>
        </w:rPr>
      </w:pPr>
    </w:p>
    <w:p xmlns:wp14="http://schemas.microsoft.com/office/word/2010/wordml" w:rsidRPr="001210B8" w:rsidR="0082799E" w:rsidP="0082799E" w:rsidRDefault="0082799E" w14:paraId="09232FA7" wp14:textId="77777777">
      <w:pPr>
        <w:spacing w:after="0" w:line="240" w:lineRule="auto"/>
        <w:rPr>
          <w:rFonts w:ascii="Times New Roman" w:hAnsi="Times New Roman" w:eastAsia="Times New Roman" w:cs="Times New Roman"/>
          <w:sz w:val="24"/>
          <w:szCs w:val="24"/>
        </w:rPr>
      </w:pPr>
      <w:r w:rsidRPr="001210B8">
        <w:rPr>
          <w:rFonts w:eastAsia="Times New Roman"/>
          <w:color w:val="000000"/>
        </w:rPr>
        <w:t xml:space="preserve">To recognise means: to know again, to acknowledge and to admit. How do we know the stranger </w:t>
      </w:r>
      <w:r w:rsidRPr="001210B8">
        <w:rPr>
          <w:rFonts w:eastAsia="Times New Roman"/>
          <w:i/>
          <w:iCs/>
          <w:color w:val="000000"/>
        </w:rPr>
        <w:t>again</w:t>
      </w:r>
      <w:r w:rsidRPr="001210B8">
        <w:rPr>
          <w:rFonts w:eastAsia="Times New Roman"/>
          <w:color w:val="000000"/>
        </w:rPr>
        <w:t xml:space="preserve">? </w:t>
      </w:r>
      <w:r w:rsidRPr="001210B8">
        <w:rPr>
          <w:rFonts w:eastAsia="Times New Roman"/>
          <w:b/>
          <w:bCs/>
          <w:color w:val="000000"/>
          <w:u w:val="single"/>
        </w:rPr>
        <w:t xml:space="preserve">The recognisability of strangers is determinate in the social demarcation of spaces of belonging: the stranger is ‘known again’ as that which has already contaminated such spaces as a threat to both property and person: ‘many residents are concerned about the strangers with whom they must share the public space, including wandering homeless people, aggressive beggars, muggers, anonymous black youths, </w:t>
      </w:r>
      <w:r w:rsidRPr="001210B8">
        <w:rPr>
          <w:rFonts w:eastAsia="Times New Roman"/>
          <w:b/>
          <w:bCs/>
          <w:color w:val="000000"/>
          <w:u w:val="single"/>
        </w:rPr>
        <w:lastRenderedPageBreak/>
        <w:t>and drug addicts</w:t>
      </w:r>
      <w:r w:rsidRPr="001210B8">
        <w:rPr>
          <w:rFonts w:eastAsia="Times New Roman"/>
          <w:color w:val="000000"/>
        </w:rPr>
        <w:t xml:space="preserve">’ (Anderson 1990: 238). Recognising strangers is here embedded in a discourse of survival: it is a question of how to survive the proximity of strangers who are already figurable, </w:t>
      </w:r>
      <w:r w:rsidRPr="001210B8">
        <w:rPr>
          <w:rFonts w:eastAsia="Times New Roman"/>
          <w:i/>
          <w:iCs/>
          <w:color w:val="000000"/>
        </w:rPr>
        <w:t>who have already taken shape</w:t>
      </w:r>
      <w:r w:rsidRPr="001210B8">
        <w:rPr>
          <w:rFonts w:eastAsia="Times New Roman"/>
          <w:color w:val="000000"/>
        </w:rPr>
        <w:t xml:space="preserve">, in the everyday encounters we have with others. A </w:t>
      </w:r>
      <w:r w:rsidRPr="001210B8">
        <w:rPr>
          <w:rFonts w:eastAsia="Times New Roman"/>
          <w:b/>
          <w:bCs/>
          <w:color w:val="000000"/>
          <w:u w:val="single"/>
        </w:rPr>
        <w:t>consideration of the production of the stranger’s figure through modes of recognition requires that we begin with an analysis of the function of local encounters in public life.</w:t>
      </w:r>
      <w:r w:rsidRPr="001210B8">
        <w:rPr>
          <w:rFonts w:eastAsia="Times New Roman"/>
          <w:color w:val="000000"/>
        </w:rPr>
        <w:t xml:space="preserve"> As Erving Goffman suggests, ‘public life’ refers to the realm of activity generated by face-to-face interactions that are organised by norms of co-mingling (1972: ix). Such an approach does not take for granted the realm of the public as a physical space that is already deter- mined, but considers how </w:t>
      </w:r>
      <w:r w:rsidRPr="001210B8">
        <w:rPr>
          <w:rFonts w:eastAsia="Times New Roman"/>
          <w:b/>
          <w:bCs/>
          <w:color w:val="000000"/>
          <w:u w:val="single"/>
        </w:rPr>
        <w:t>‘the public’ comes to be lived through local encounters, through the very gestures and habits of meeting up with others</w:t>
      </w:r>
      <w:r w:rsidRPr="001210B8">
        <w:rPr>
          <w:rFonts w:eastAsia="Times New Roman"/>
          <w:color w:val="000000"/>
        </w:rPr>
        <w:t xml:space="preserve">. How do such meetings, such face-to-face encounters, involve modes of recognition that produce the stranger as a figure? Louis Althusser’s thesis of subjectivity as determined through acts of misrecognition evokes the function of public life. Althusser writes: ideology ‘acts’ or ‘functions’ in such a way that it ‘recruits’ subjects among the individuals (it recruits them all), or ‘transforms’ the indi- viduals into subjects (it transforms them all) by that very precise opera- tion which I have called </w:t>
      </w:r>
      <w:r w:rsidRPr="001210B8">
        <w:rPr>
          <w:rFonts w:eastAsia="Times New Roman"/>
          <w:i/>
          <w:iCs/>
          <w:color w:val="000000"/>
        </w:rPr>
        <w:t xml:space="preserve">interpellation </w:t>
      </w:r>
      <w:r w:rsidRPr="001210B8">
        <w:rPr>
          <w:rFonts w:eastAsia="Times New Roman"/>
          <w:color w:val="000000"/>
        </w:rPr>
        <w:t xml:space="preserve">or hailing, and which can be imagined along the lines of the most commonplace everyday police (or other) hailing: ‘Hey, you there!’ (1971: 162–163) </w:t>
      </w:r>
      <w:r w:rsidRPr="001210B8">
        <w:rPr>
          <w:rFonts w:eastAsia="Times New Roman"/>
          <w:b/>
          <w:bCs/>
          <w:color w:val="000000"/>
          <w:u w:val="single"/>
        </w:rPr>
        <w:t>All individuals are transformed into subjects through the ideological function of interpellation, which is imagined as a commonplace everyday police (or other) hailing.</w:t>
      </w:r>
      <w:r w:rsidRPr="001210B8">
        <w:rPr>
          <w:rFonts w:eastAsia="Times New Roman"/>
          <w:color w:val="000000"/>
        </w:rPr>
        <w:t xml:space="preserve"> The recognition of the other as ‘you there’ is a misrecognition which produces the ‘you’ as a subject, and as subject to the very law implicated in recognition (the subject is suspect in such encoun- ters). Althusser’s thesis is clearly to be understood as a universal theory of how subjects come into being as such. However, we might note the following. First, the constitution of the subject through hailing implies that subjectivity is predicated upon an elided ‘inter-subjectivity’ (see Ahmed 1998a: 143). Second, the function of the act of hailing an-other, ‘hey you’, opens out the possibility </w:t>
      </w:r>
      <w:r w:rsidRPr="001210B8">
        <w:rPr>
          <w:rFonts w:eastAsia="Times New Roman"/>
          <w:i/>
          <w:iCs/>
          <w:color w:val="000000"/>
        </w:rPr>
        <w:t>that subjects become differentiated at the very same moment that they are constituted as such</w:t>
      </w:r>
      <w:r w:rsidRPr="001210B8">
        <w:rPr>
          <w:rFonts w:eastAsia="Times New Roman"/>
          <w:color w:val="000000"/>
        </w:rPr>
        <w:t xml:space="preserve">. If we think of the constitution of subjects as implicated in the uncertainties of public life, then we could imagine how such differentiation might work: the address of the policeman shifts according to whether individuals are already recognisable as, ‘wandering homeless people, aggressive beggars, muggers, anonymous black youths, and drug addicts’ (Anderson 1990: 238). </w:t>
      </w:r>
      <w:r w:rsidRPr="001210B8">
        <w:rPr>
          <w:rFonts w:eastAsia="Times New Roman"/>
          <w:b/>
          <w:bCs/>
          <w:color w:val="000000"/>
          <w:u w:val="single"/>
        </w:rPr>
        <w:t xml:space="preserve">Hailing as a form of recognition which constitutes the subject it recognises (= misrecognition) might function to differentiate </w:t>
      </w:r>
      <w:r w:rsidRPr="001210B8">
        <w:rPr>
          <w:rFonts w:eastAsia="Times New Roman"/>
          <w:b/>
          <w:bCs/>
          <w:i/>
          <w:iCs/>
          <w:color w:val="000000"/>
          <w:u w:val="single"/>
        </w:rPr>
        <w:t xml:space="preserve">between </w:t>
      </w:r>
      <w:r w:rsidRPr="001210B8">
        <w:rPr>
          <w:rFonts w:eastAsia="Times New Roman"/>
          <w:b/>
          <w:bCs/>
          <w:color w:val="000000"/>
          <w:u w:val="single"/>
        </w:rPr>
        <w:t xml:space="preserve">subjects, for example, by hailing differently those who seem to belong and those who might already be assigned a place – out of place – as ‘suspect’. </w:t>
      </w:r>
      <w:r w:rsidRPr="001210B8">
        <w:rPr>
          <w:rFonts w:eastAsia="Times New Roman"/>
          <w:color w:val="000000"/>
        </w:rPr>
        <w:t>Such an over-reading of Althusser’s dramatisation of interpellation through commonplace hailing suggests that the subject is not simply constituted in the present as such. Rather,</w:t>
      </w:r>
      <w:r w:rsidRPr="001210B8">
        <w:rPr>
          <w:rFonts w:eastAsia="Times New Roman"/>
          <w:b/>
          <w:bCs/>
          <w:color w:val="000000"/>
          <w:u w:val="single"/>
        </w:rPr>
        <w:t xml:space="preserve"> inter-subjective encounters in public life continually reinterpellate subjects into differentiated economies of names and signs, where they are assigned different value in social spaces.</w:t>
      </w:r>
      <w:r w:rsidRPr="001210B8">
        <w:rPr>
          <w:rFonts w:eastAsia="Times New Roman"/>
          <w:color w:val="000000"/>
        </w:rPr>
        <w:t xml:space="preserve"> Noticeably, the use of the narrative of the police hailing associates the constitution of subjects with their subjection to a discourse of criminality, which defines the one who is hailed as a threat to property (‘Hey, you there’). If we consider how </w:t>
      </w:r>
      <w:r w:rsidRPr="001210B8">
        <w:rPr>
          <w:rFonts w:eastAsia="Times New Roman"/>
          <w:b/>
          <w:bCs/>
          <w:color w:val="000000"/>
          <w:u w:val="single"/>
        </w:rPr>
        <w:t>hailing constitutes the subject</w:t>
      </w:r>
      <w:r w:rsidRPr="001210B8">
        <w:rPr>
          <w:rFonts w:eastAsia="Times New Roman"/>
          <w:color w:val="000000"/>
        </w:rPr>
        <w:t xml:space="preserve">, then we can also think about how </w:t>
      </w:r>
      <w:r w:rsidRPr="001210B8">
        <w:rPr>
          <w:rFonts w:eastAsia="Times New Roman"/>
          <w:b/>
          <w:bCs/>
          <w:color w:val="000000"/>
          <w:u w:val="single"/>
        </w:rPr>
        <w:t>hailing constitutes the stranger in a relationship precisely to the Law of the subject (the stranger is constituted as the unlawful entry into the nation space, the stranger hence allows Law to mark out its terrain).</w:t>
      </w:r>
      <w:r w:rsidRPr="001210B8">
        <w:rPr>
          <w:rFonts w:eastAsia="Times New Roman"/>
          <w:color w:val="000000"/>
        </w:rPr>
        <w:t xml:space="preserve"> To this extent, the act of hailing or recognising some-body as a stranger serves to constitute the lawful subject, the one who has the right to dwell, and the stranger at the very same time. It is not that the ‘you’ is or can be simply a stranger, but that to address some-body as a stranger constitutes the ‘you’ as the stranger in relation to the one who dwells (the friend and neighbour). In this sense, </w:t>
      </w:r>
      <w:r w:rsidRPr="001210B8">
        <w:rPr>
          <w:rFonts w:eastAsia="Times New Roman"/>
          <w:b/>
          <w:bCs/>
          <w:color w:val="000000"/>
          <w:u w:val="single"/>
        </w:rPr>
        <w:t>the (mis)recognition of strangers serves to differentiate between the familiar and the strange, a differentiation that allows the figure of the stranger to appear.</w:t>
      </w:r>
      <w:r w:rsidRPr="001210B8">
        <w:rPr>
          <w:rFonts w:eastAsia="Times New Roman"/>
          <w:color w:val="000000"/>
        </w:rPr>
        <w:t xml:space="preserve"> The failure embedded in such misrecognition – rather than the failure of recognition – determines the impossibility of reducing the other to the figure of the stranger: as I </w:t>
      </w:r>
      <w:r w:rsidRPr="001210B8">
        <w:rPr>
          <w:rFonts w:eastAsia="Times New Roman"/>
          <w:color w:val="000000"/>
        </w:rPr>
        <w:lastRenderedPageBreak/>
        <w:t>will argue in Chapter 2, the singularity of the figure conceals the different histories of lived embodiment which mark some bodies as stranger than others. By analysing recognition in this way, I am suggesting that the (lawful) subject is not simply constituted by being recognised by the other, which is the primary post-Hegelian model of recognition (see Taylor 1994). Rather, I am suggesting that it is</w:t>
      </w:r>
      <w:r w:rsidRPr="001210B8">
        <w:rPr>
          <w:rFonts w:eastAsia="Times New Roman"/>
          <w:b/>
          <w:bCs/>
          <w:color w:val="000000"/>
          <w:u w:val="single"/>
        </w:rPr>
        <w:t xml:space="preserve"> the recognition of others</w:t>
      </w:r>
      <w:r w:rsidRPr="001210B8">
        <w:rPr>
          <w:rFonts w:eastAsia="Times New Roman"/>
          <w:color w:val="000000"/>
        </w:rPr>
        <w:t xml:space="preserve"> that </w:t>
      </w:r>
      <w:r w:rsidRPr="001210B8">
        <w:rPr>
          <w:rFonts w:eastAsia="Times New Roman"/>
          <w:b/>
          <w:bCs/>
          <w:color w:val="000000"/>
          <w:u w:val="single"/>
        </w:rPr>
        <w:t>is central to the constitution of the subject.</w:t>
      </w:r>
      <w:r w:rsidRPr="001210B8">
        <w:rPr>
          <w:rFonts w:eastAsia="Times New Roman"/>
          <w:color w:val="000000"/>
        </w:rPr>
        <w:t xml:space="preserve"> The very act through which the subject differentiates between others is the moment that the subject comes to inhabit or dwell in the world. The subject is not, then, simply differentiated from the (its) other, but comes into being by learning how to differentiate between others. </w:t>
      </w:r>
      <w:r w:rsidRPr="001210B8">
        <w:rPr>
          <w:rFonts w:eastAsia="Times New Roman"/>
          <w:b/>
          <w:bCs/>
          <w:color w:val="000000"/>
          <w:u w:val="single"/>
        </w:rPr>
        <w:t xml:space="preserve">This recognition operates as </w:t>
      </w:r>
      <w:r w:rsidRPr="001210B8">
        <w:rPr>
          <w:rFonts w:eastAsia="Times New Roman"/>
          <w:b/>
          <w:bCs/>
          <w:i/>
          <w:iCs/>
          <w:color w:val="000000"/>
          <w:u w:val="single"/>
        </w:rPr>
        <w:t>a visual economy</w:t>
      </w:r>
      <w:r w:rsidRPr="001210B8">
        <w:rPr>
          <w:rFonts w:eastAsia="Times New Roman"/>
          <w:b/>
          <w:bCs/>
          <w:color w:val="000000"/>
          <w:u w:val="single"/>
        </w:rPr>
        <w:t xml:space="preserve">: it involves ways of </w:t>
      </w:r>
      <w:r w:rsidRPr="001210B8">
        <w:rPr>
          <w:rFonts w:eastAsia="Times New Roman"/>
          <w:b/>
          <w:bCs/>
          <w:i/>
          <w:iCs/>
          <w:color w:val="000000"/>
          <w:u w:val="single"/>
        </w:rPr>
        <w:t xml:space="preserve">seeing the difference </w:t>
      </w:r>
      <w:r w:rsidRPr="001210B8">
        <w:rPr>
          <w:rFonts w:eastAsia="Times New Roman"/>
          <w:b/>
          <w:bCs/>
          <w:color w:val="000000"/>
          <w:u w:val="single"/>
        </w:rPr>
        <w:t>between familiar and strange others as they are (re)presented to the subject</w:t>
      </w:r>
      <w:r w:rsidRPr="001210B8">
        <w:rPr>
          <w:rFonts w:eastAsia="Times New Roman"/>
          <w:color w:val="000000"/>
        </w:rPr>
        <w:t>. As a mode of subject constitution, recognition involves differentiating between others on the basis of how they ‘appear’.</w:t>
      </w:r>
      <w:r w:rsidRPr="001210B8">
        <w:rPr>
          <w:rFonts w:eastAsia="Times New Roman"/>
          <w:color w:val="000000"/>
          <w:sz w:val="16"/>
          <w:szCs w:val="16"/>
        </w:rPr>
        <w:t xml:space="preserve">2 </w:t>
      </w:r>
      <w:r w:rsidRPr="001210B8">
        <w:rPr>
          <w:rFonts w:eastAsia="Times New Roman"/>
          <w:color w:val="000000"/>
        </w:rPr>
        <w:t xml:space="preserve">Given the way in which the recognition of strangers operates to produce who ‘we’ are, we can see that strangers already ‘fit’ within the ‘cognitive, moral or aesthetic map of the world’, rather than being, as Zygmunt Bauman argues, ‘the people who do not fit’ (1997: 46). </w:t>
      </w:r>
      <w:r w:rsidRPr="001210B8">
        <w:rPr>
          <w:rFonts w:eastAsia="Times New Roman"/>
          <w:b/>
          <w:bCs/>
          <w:color w:val="000000"/>
          <w:u w:val="single"/>
        </w:rPr>
        <w:t>There are established ways of dealing with ‘the strangers’ who are already encountered and recognised in public life.</w:t>
      </w:r>
      <w:r w:rsidRPr="001210B8">
        <w:rPr>
          <w:rFonts w:eastAsia="Times New Roman"/>
          <w:color w:val="000000"/>
        </w:rPr>
        <w:t xml:space="preserve"> The recognisability of strangers involves, not only techniques for differentiating strange from familiar (ways of seeing), but also ways of living: there are, in Alfred Schutz’s terms, ‘standardized situations’ in which we might encounter strangers and which allow us to negotiate our way past them (1944: 499). Goffman’s work on bodily stigma, for example, attends to how the bodies of others that are marked as different, such as disabled bodies, are read in ways which allow the subject to keep their distance (1984: 12). </w:t>
      </w:r>
      <w:r w:rsidRPr="001210B8">
        <w:rPr>
          <w:rFonts w:eastAsia="Times New Roman"/>
          <w:b/>
          <w:bCs/>
          <w:color w:val="000000"/>
          <w:u w:val="single"/>
        </w:rPr>
        <w:t>Social encounters involve rules and procedures for ‘dealing with’ the bodies that are read as strange</w:t>
      </w:r>
      <w:r w:rsidRPr="001210B8">
        <w:rPr>
          <w:rFonts w:eastAsia="Times New Roman"/>
          <w:color w:val="000000"/>
        </w:rPr>
        <w:t xml:space="preserve"> (Morris 1996: 72–74). </w:t>
      </w:r>
      <w:r w:rsidRPr="001210B8">
        <w:rPr>
          <w:rFonts w:eastAsia="Times New Roman"/>
          <w:b/>
          <w:bCs/>
          <w:color w:val="000000"/>
          <w:u w:val="single"/>
        </w:rPr>
        <w:t xml:space="preserve">Encounters between embodied others hence involve </w:t>
      </w:r>
      <w:r w:rsidRPr="001210B8">
        <w:rPr>
          <w:rFonts w:eastAsia="Times New Roman"/>
          <w:b/>
          <w:bCs/>
          <w:i/>
          <w:iCs/>
          <w:color w:val="000000"/>
          <w:u w:val="single"/>
        </w:rPr>
        <w:t xml:space="preserve">spatial negotiations </w:t>
      </w:r>
      <w:r w:rsidRPr="001210B8">
        <w:rPr>
          <w:rFonts w:eastAsia="Times New Roman"/>
          <w:b/>
          <w:bCs/>
          <w:color w:val="000000"/>
          <w:u w:val="single"/>
        </w:rPr>
        <w:t>with those who are already recognised as either familiar or strange.</w:t>
      </w:r>
      <w:r w:rsidRPr="001210B8">
        <w:rPr>
          <w:rFonts w:eastAsia="Times New Roman"/>
          <w:color w:val="000000"/>
        </w:rPr>
        <w:t xml:space="preserve"> For Schutz, the stranger is always approaching – coming closer to those who are at home (1944: 499). In the sociological analysis of strangers offered by Simmel, the stranger is understood, paradoxically, as both near and far (1991: 146). In the next section, I consider how the determination of social space and imagined forms of belonging takes place through the differentiation between strangers and neighbours in relationships of proximity and distance. </w:t>
      </w:r>
    </w:p>
    <w:p xmlns:wp14="http://schemas.microsoft.com/office/word/2010/wordml" w:rsidRPr="00F72F13" w:rsidR="0082799E" w:rsidP="0082799E" w:rsidRDefault="0082799E" w14:paraId="0E27B00A" wp14:textId="77777777"/>
    <w:p xmlns:wp14="http://schemas.microsoft.com/office/word/2010/wordml" w:rsidRPr="00F72F13" w:rsidR="0082799E" w:rsidP="0082799E" w:rsidRDefault="0082799E" w14:paraId="6D237389" wp14:textId="77777777">
      <w:pPr>
        <w:pStyle w:val="Heading4"/>
        <w:rPr>
          <w:sz w:val="28"/>
        </w:rPr>
      </w:pPr>
      <w:r w:rsidRPr="00F72F13">
        <w:rPr>
          <w:sz w:val="28"/>
        </w:rPr>
        <w:t>The war on graffiti is posed as an endless war against an infinitely proliferating enemy. Rather than a war on a concrete set of codified criteria for citizenship, the war on graffiti wars against concepts and sets of practices that refuse proper inhabitation of public space. The war on graffiti, like the war on terror, blurs the line between policing and warfare, making the neighborhood into a war zone.</w:t>
      </w:r>
    </w:p>
    <w:p xmlns:wp14="http://schemas.microsoft.com/office/word/2010/wordml" w:rsidRPr="00F72F13" w:rsidR="0082799E" w:rsidP="0082799E" w:rsidRDefault="0082799E" w14:paraId="3C78F8E2" wp14:textId="77777777">
      <w:r w:rsidRPr="00F72F13">
        <w:rPr>
          <w:rStyle w:val="Style13ptBold"/>
          <w:sz w:val="28"/>
        </w:rPr>
        <w:t>Iveson 10</w:t>
      </w:r>
      <w:r w:rsidRPr="00F72F13">
        <w:t xml:space="preserve"> [Kurt -- lecturer in Urban Geography at the University of Sydney, Australia. “The Wars on Graffiti and the New Military Urbanism,” in City: analysis of urban trends, culture, theory, policy, action. March 19 2010. Volume 14:1-2, p 115-134 //tjb]</w:t>
      </w:r>
    </w:p>
    <w:p xmlns:wp14="http://schemas.microsoft.com/office/word/2010/wordml" w:rsidRPr="00404762" w:rsidR="0082799E" w:rsidP="0082799E" w:rsidRDefault="0082799E" w14:paraId="24FCC227" wp14:textId="77777777">
      <w:pPr>
        <w:rPr>
          <w:sz w:val="12"/>
          <w:szCs w:val="16"/>
        </w:rPr>
      </w:pPr>
      <w:r w:rsidRPr="00F72F13">
        <w:rPr>
          <w:rStyle w:val="StyleUnderline"/>
        </w:rPr>
        <w:t>Fear of crime and war have acquired a new political affinity.</w:t>
      </w:r>
      <w:r w:rsidRPr="00404762">
        <w:rPr>
          <w:sz w:val="12"/>
          <w:szCs w:val="16"/>
        </w:rPr>
        <w:t xml:space="preserve">’ (Steinert, 2003, p. 267) Is it reasonable to make any connection between the language of war in graffiti policy and the new military urbanism described above? </w:t>
      </w:r>
      <w:r w:rsidRPr="00F72F13">
        <w:rPr>
          <w:rStyle w:val="StyleUnderline"/>
          <w:highlight w:val="green"/>
        </w:rPr>
        <w:t>The use of the word ‘war’ to describe policy responses to graffiti</w:t>
      </w:r>
      <w:r w:rsidRPr="00404762">
        <w:rPr>
          <w:sz w:val="12"/>
        </w:rPr>
        <w:t xml:space="preserve"> (and other things)</w:t>
      </w:r>
      <w:r w:rsidRPr="00F72F13">
        <w:rPr>
          <w:u w:val="single"/>
        </w:rPr>
        <w:t xml:space="preserve"> </w:t>
      </w:r>
      <w:r w:rsidRPr="00F72F13">
        <w:rPr>
          <w:rStyle w:val="StyleUnderline"/>
          <w:highlight w:val="green"/>
        </w:rPr>
        <w:t>is significant.</w:t>
      </w:r>
      <w:r w:rsidRPr="00404762">
        <w:rPr>
          <w:sz w:val="12"/>
        </w:rPr>
        <w:t xml:space="preserve"> </w:t>
      </w:r>
      <w:r w:rsidRPr="00404762">
        <w:rPr>
          <w:sz w:val="12"/>
          <w:szCs w:val="16"/>
        </w:rPr>
        <w:t>As Steinert (2003, p. 266) has argued: ‘Metaphors have consequences.’ He goes on to argue that in the case of wars on crime, ‘the most important effect is that</w:t>
      </w:r>
      <w:r w:rsidRPr="00404762">
        <w:rPr>
          <w:sz w:val="12"/>
        </w:rPr>
        <w:t xml:space="preserve"> </w:t>
      </w:r>
      <w:r w:rsidRPr="00F72F13">
        <w:rPr>
          <w:rStyle w:val="StyleUnderline"/>
          <w:highlight w:val="green"/>
        </w:rPr>
        <w:t>the line between warfare and police work becomes blurred</w:t>
      </w:r>
      <w:r w:rsidRPr="00F72F13">
        <w:rPr>
          <w:rStyle w:val="StyleUnderline"/>
        </w:rPr>
        <w:t>’</w:t>
      </w:r>
      <w:r w:rsidRPr="00404762">
        <w:rPr>
          <w:sz w:val="12"/>
        </w:rPr>
        <w:t xml:space="preserve">. </w:t>
      </w:r>
      <w:r w:rsidRPr="00404762">
        <w:rPr>
          <w:sz w:val="12"/>
          <w:szCs w:val="16"/>
        </w:rPr>
        <w:t xml:space="preserve">Steinert is not alone in claiming that </w:t>
      </w:r>
      <w:r w:rsidRPr="00F72F13">
        <w:rPr>
          <w:sz w:val="16"/>
          <w:szCs w:val="16"/>
          <w:u w:val="single"/>
        </w:rPr>
        <w:t>these metaphorical ‘wars’ are becoming more like real wars</w:t>
      </w:r>
      <w:r w:rsidRPr="00404762">
        <w:rPr>
          <w:sz w:val="12"/>
          <w:szCs w:val="16"/>
        </w:rPr>
        <w:t xml:space="preserve">. For Hardt and Negri, </w:t>
      </w:r>
      <w:r w:rsidRPr="00F72F13">
        <w:rPr>
          <w:rStyle w:val="StyleUnderline"/>
        </w:rPr>
        <w:t xml:space="preserve">the </w:t>
      </w:r>
      <w:r w:rsidRPr="00F72F13">
        <w:rPr>
          <w:rStyle w:val="StyleUnderline"/>
          <w:highlight w:val="green"/>
        </w:rPr>
        <w:t>wars on crime, on drugs and on terror are not simply metaphorical ‘because like war traditionally conceived they involve armed combat and lethal force</w:t>
      </w:r>
      <w:r w:rsidRPr="00F72F13">
        <w:rPr>
          <w:rStyle w:val="StyleUnderline"/>
        </w:rPr>
        <w:t>’</w:t>
      </w:r>
      <w:r w:rsidRPr="00404762">
        <w:rPr>
          <w:sz w:val="12"/>
        </w:rPr>
        <w:t xml:space="preserve"> </w:t>
      </w:r>
      <w:r w:rsidRPr="00404762">
        <w:rPr>
          <w:sz w:val="12"/>
          <w:szCs w:val="16"/>
        </w:rPr>
        <w:t>(2004, p. 14). And</w:t>
      </w:r>
      <w:r w:rsidRPr="00404762">
        <w:rPr>
          <w:sz w:val="12"/>
        </w:rPr>
        <w:t xml:space="preserve"> </w:t>
      </w:r>
      <w:r w:rsidRPr="00F72F13">
        <w:rPr>
          <w:b/>
          <w:highlight w:val="green"/>
          <w:u w:val="single"/>
        </w:rPr>
        <w:t xml:space="preserve">yet, </w:t>
      </w:r>
      <w:r w:rsidRPr="00F72F13">
        <w:rPr>
          <w:b/>
          <w:highlight w:val="green"/>
          <w:u w:val="single"/>
        </w:rPr>
        <w:lastRenderedPageBreak/>
        <w:t>such wars are different from traditional wars in that ‘the limits of war are rendered indeterminate, both spatially and temporally’ because the enemy is a concept or a set of practices rather than a hostile nation-state</w:t>
      </w:r>
      <w:r w:rsidRPr="00404762">
        <w:rPr>
          <w:sz w:val="12"/>
          <w:highlight w:val="green"/>
        </w:rPr>
        <w:t>: ‘</w:t>
      </w:r>
      <w:r w:rsidRPr="00F72F13">
        <w:rPr>
          <w:b/>
          <w:highlight w:val="green"/>
          <w:u w:val="single"/>
        </w:rPr>
        <w:t>A war to create and maintain social order can have no end. It must involve the continuous, uninterrupted exercise of power and violence. In other words, one cannot win such a war, or, rather, it has to be won again every day. War has thus become virtually indistinguishable from police activity</w:t>
      </w:r>
      <w:r w:rsidRPr="00404762">
        <w:rPr>
          <w:sz w:val="12"/>
        </w:rPr>
        <w:t xml:space="preserve">.’ </w:t>
      </w:r>
      <w:r w:rsidRPr="00404762">
        <w:rPr>
          <w:sz w:val="12"/>
          <w:szCs w:val="16"/>
        </w:rPr>
        <w:t>(Hardt and Negri, 2004, p. 14) This analysis is supported by others who are more specifically concerned with changes in urban social control regimes. Body-Gendrot (2000, p. 26) has argued that</w:t>
      </w:r>
      <w:r w:rsidRPr="00404762">
        <w:rPr>
          <w:sz w:val="12"/>
        </w:rPr>
        <w:t xml:space="preserve"> </w:t>
      </w:r>
      <w:r w:rsidRPr="00F72F13">
        <w:rPr>
          <w:rStyle w:val="StyleUnderline"/>
          <w:highlight w:val="green"/>
        </w:rPr>
        <w:t>new urban social control efforts involve a ‘militarization of the police and a policization of the army’</w:t>
      </w:r>
      <w:r w:rsidRPr="00404762">
        <w:rPr>
          <w:sz w:val="12"/>
          <w:highlight w:val="green"/>
        </w:rPr>
        <w:t>.</w:t>
      </w:r>
      <w:r w:rsidRPr="00404762">
        <w:rPr>
          <w:sz w:val="12"/>
        </w:rPr>
        <w:t xml:space="preserve"> </w:t>
      </w:r>
      <w:r w:rsidRPr="00404762">
        <w:rPr>
          <w:sz w:val="12"/>
          <w:szCs w:val="16"/>
        </w:rPr>
        <w:t>Like- wise, Kraska (2001a, p. 18) has claimed that ‘the line between waging actual war against external enemies and metaphorical wars waged against internal enemies is becoming increasingly blurred’, creating what he calls a ‘military–criminal justice blur’.</w:t>
      </w:r>
      <w:r w:rsidRPr="00404762">
        <w:rPr>
          <w:sz w:val="12"/>
        </w:rPr>
        <w:t xml:space="preserve"> </w:t>
      </w:r>
      <w:r w:rsidRPr="00F72F13">
        <w:rPr>
          <w:rStyle w:val="StyleUnderline"/>
          <w:highlight w:val="green"/>
        </w:rPr>
        <w:t>Since the 1970s, the wars on graffiti have made a significant contribution to this blurring of war and policing, preparing the ground for a further intensification for the new military urbanism in the wake of the declaration of the ‘war on terror’</w:t>
      </w:r>
      <w:r w:rsidRPr="00404762">
        <w:rPr>
          <w:sz w:val="12"/>
        </w:rPr>
        <w:t xml:space="preserve">. </w:t>
      </w:r>
      <w:r w:rsidRPr="00404762">
        <w:rPr>
          <w:sz w:val="12"/>
          <w:szCs w:val="16"/>
        </w:rPr>
        <w:t xml:space="preserve">The wars on graffiti have typically involved a combination of the following four strategies: a search for new technologies and weaponry; the use of intelli- gence and counterintelligence operations; propaganda; and the increasing role of the private sector. </w:t>
      </w:r>
      <w:r w:rsidRPr="00404762">
        <w:rPr>
          <w:i/>
          <w:sz w:val="12"/>
          <w:szCs w:val="16"/>
        </w:rPr>
        <w:t xml:space="preserve">Technology </w:t>
      </w:r>
      <w:r w:rsidRPr="00404762">
        <w:rPr>
          <w:rStyle w:val="StyleUnderline"/>
        </w:rPr>
        <w:t>Both the wars on graffiti and the new military urbanism are characterized by techno- philiac discourses in which technological innovation is seen as key in providing new (and hopefully decisive) weapons designed for urban terrain</w:t>
      </w:r>
      <w:r w:rsidRPr="00F72F13">
        <w:rPr>
          <w:sz w:val="16"/>
          <w:szCs w:val="16"/>
          <w:u w:val="single"/>
        </w:rPr>
        <w:t>.</w:t>
      </w:r>
      <w:r w:rsidRPr="00404762">
        <w:rPr>
          <w:sz w:val="12"/>
          <w:szCs w:val="16"/>
        </w:rPr>
        <w:t xml:space="preserve"> Nunn (2001, p. 13) has charted the ‘movement of technologies from defense to law enforcement’, and argued that this technology transfer ‘alters the interaction of criminal justice agencies with cities and citizens at large’.</w:t>
      </w:r>
      <w:r w:rsidRPr="00404762">
        <w:rPr>
          <w:sz w:val="12"/>
        </w:rPr>
        <w:t xml:space="preserve"> </w:t>
      </w:r>
      <w:r w:rsidRPr="00F72F13">
        <w:rPr>
          <w:rStyle w:val="StyleUnderline"/>
          <w:highlight w:val="green"/>
        </w:rPr>
        <w:t>The wars on graffiti have contributed to the diffusion of several military technologies into everyday urban systems and spaces</w:t>
      </w:r>
      <w:r w:rsidRPr="00F72F13">
        <w:rPr>
          <w:rStyle w:val="StyleUnderline"/>
        </w:rPr>
        <w:t>.</w:t>
      </w:r>
      <w:r w:rsidRPr="00404762">
        <w:rPr>
          <w:sz w:val="12"/>
        </w:rPr>
        <w:t xml:space="preserve"> </w:t>
      </w:r>
      <w:r w:rsidRPr="00404762">
        <w:rPr>
          <w:sz w:val="12"/>
          <w:szCs w:val="16"/>
        </w:rPr>
        <w:t xml:space="preserve">Perhaps the first and most ubiquitous technology deployed in the war on graffiti is </w:t>
      </w:r>
      <w:r w:rsidRPr="00F72F13">
        <w:rPr>
          <w:sz w:val="16"/>
          <w:szCs w:val="16"/>
          <w:u w:val="single"/>
        </w:rPr>
        <w:t>barbed/razor wire</w:t>
      </w:r>
      <w:r w:rsidRPr="00404762">
        <w:rPr>
          <w:sz w:val="12"/>
          <w:szCs w:val="16"/>
        </w:rPr>
        <w:t>. In September 1981, shortly after the Koch administration declared the City of New York’s second ‘war on graffiti’ (see Austin, 2001, pp. 134–166), US</w:t>
      </w:r>
      <w:r w:rsidRPr="00F72F13">
        <w:rPr>
          <w:highlight w:val="green"/>
          <w:u w:val="single"/>
        </w:rPr>
        <w:t>$</w:t>
      </w:r>
      <w:r w:rsidRPr="00F72F13">
        <w:rPr>
          <w:rStyle w:val="StyleUnderline"/>
          <w:highlight w:val="green"/>
        </w:rPr>
        <w:t>1.5 million was spent to install double rows of fences topped with razor wire around one of the subway storage yards, with attack dogs patrolling in between the rows of fencing.</w:t>
      </w:r>
      <w:r w:rsidRPr="00404762">
        <w:rPr>
          <w:sz w:val="12"/>
        </w:rPr>
        <w:t xml:space="preserve"> </w:t>
      </w:r>
      <w:r w:rsidRPr="00404762">
        <w:rPr>
          <w:sz w:val="12"/>
          <w:szCs w:val="16"/>
        </w:rPr>
        <w:t xml:space="preserve">Declaring this trial a success, in Decem- ber Koch allocated a further $22.4 million for more razor wire fences. ‘City to use pits of barbed wire in graffiti wars’, said the </w:t>
      </w:r>
      <w:r w:rsidRPr="00404762">
        <w:rPr>
          <w:i/>
          <w:sz w:val="12"/>
          <w:szCs w:val="16"/>
        </w:rPr>
        <w:t xml:space="preserve">New York Times </w:t>
      </w:r>
      <w:r w:rsidRPr="00404762">
        <w:rPr>
          <w:sz w:val="12"/>
          <w:szCs w:val="16"/>
        </w:rPr>
        <w:t xml:space="preserve">headline (quoted in Castleman, 2004, p. 27), evoking a link between the subway lines and the trench lines of the First World War. Fast forward nearly 40 years, and </w:t>
      </w:r>
      <w:r w:rsidRPr="00F72F13">
        <w:rPr>
          <w:rStyle w:val="StyleUnderline"/>
        </w:rPr>
        <w:t>the sight of urban infrastructure— especially railway corridors—being protected against graffiti and other forms of vandalism by long stretches of barbed and/or razor wire is commonplace across countless cities.</w:t>
      </w:r>
      <w:r w:rsidRPr="00404762">
        <w:rPr>
          <w:sz w:val="12"/>
          <w:szCs w:val="16"/>
        </w:rPr>
        <w:t xml:space="preserve"> A technology developed for herding animals on the American frontier, and subse- quently deployed in a range of military contexts including the battlefields and camps of both world wars (Razac, 2003), is now thoroughly urbanized, and the graffiti wars have played a significant role in this process (Austin, 2001, pp. 209–210) (see Figure 1). Chemical weapons have also played a significant role in the long war on graffiti. The Metropolitan Transit Authority (MTA) in New York was the first to experiment with chemicals, concocting a chemical wash to (partially) remove graffiti from the exte-rior of subway carriages (Austin, 2001, p. 130). Graffiti writers in New York initially referred to this chemical wash as ‘Orange Crush’, referencing both a soft drink and Agent Orange. From these initial efforts in New York, more sophisticated</w:t>
      </w:r>
      <w:r w:rsidRPr="00404762">
        <w:rPr>
          <w:sz w:val="12"/>
        </w:rPr>
        <w:t xml:space="preserve"> </w:t>
      </w:r>
      <w:r w:rsidRPr="00F72F13">
        <w:rPr>
          <w:rStyle w:val="StyleUnderline"/>
          <w:highlight w:val="green"/>
        </w:rPr>
        <w:t>chemical weapons have been developed designed to make surfaces and materials graffiti-resistant and easier to clean.</w:t>
      </w:r>
      <w:r w:rsidRPr="00404762">
        <w:rPr>
          <w:sz w:val="12"/>
        </w:rPr>
        <w:t xml:space="preserve"> </w:t>
      </w:r>
      <w:r w:rsidRPr="00404762">
        <w:rPr>
          <w:sz w:val="12"/>
          <w:szCs w:val="16"/>
        </w:rPr>
        <w:t>Among many others, NASA has even played a role in helping to devise these graffiti-resistant materials (Austin, 2001, p. 91) (see Figure 2). In the face of such technologies, some writers remained defiant. New York writer DAZE boasted that: ‘All the fences will do is keep most of us out of the yards. We’ll still be able to hit the trains in the lay-ups, and we’ll bomb the insides and the outsides of in-service trains with tags—big spray-paint tags like nobody’s ever seen. The MTA can’t stop us from doing that unless they put a cop on every car.’ (quoted in Castleman, 2004, p. 27)</w:t>
      </w:r>
      <w:r w:rsidRPr="00404762">
        <w:rPr>
          <w:sz w:val="12"/>
        </w:rPr>
        <w:t xml:space="preserve"> </w:t>
      </w:r>
      <w:r w:rsidRPr="00F72F13">
        <w:rPr>
          <w:rStyle w:val="StyleUnderline"/>
          <w:highlight w:val="green"/>
        </w:rPr>
        <w:t>The fantasy (or nightmare) of a ‘cop on every car’ gradually became a (kind of) reality with the widespread introduction of CCTV surveillance, another technology which has been widely deployed in efforts to combat graffiti and other forms of so-called ‘anti- social behaviour’ in urban areas</w:t>
      </w:r>
      <w:r w:rsidRPr="00404762">
        <w:rPr>
          <w:sz w:val="12"/>
        </w:rPr>
        <w:t xml:space="preserve"> </w:t>
      </w:r>
      <w:r w:rsidRPr="00404762">
        <w:rPr>
          <w:sz w:val="12"/>
          <w:szCs w:val="16"/>
        </w:rPr>
        <w:t xml:space="preserve">(see, for example, European Conference of Ministers of Transport, 2003; Morgon and Smith, 2006; Offler </w:t>
      </w:r>
      <w:r w:rsidRPr="00404762">
        <w:rPr>
          <w:i/>
          <w:sz w:val="12"/>
          <w:szCs w:val="16"/>
        </w:rPr>
        <w:t>et al</w:t>
      </w:r>
      <w:r w:rsidRPr="00404762">
        <w:rPr>
          <w:sz w:val="12"/>
          <w:szCs w:val="16"/>
        </w:rPr>
        <w:t xml:space="preserve">., 2009). At best, conventional CCTV offers a visual deterrent and an ‘after the fact’ documentation of graffiti that might assist in convicting a graf- fiti writer who has been apprehended. </w:t>
      </w:r>
      <w:r w:rsidRPr="00F72F13">
        <w:rPr>
          <w:rStyle w:val="StyleUnderline"/>
        </w:rPr>
        <w:t xml:space="preserve">New surveillance technologies are being developed which promise to assist with the ‘real-time’ detection and apprehension of graffiti writers. </w:t>
      </w:r>
      <w:r w:rsidRPr="00F72F13">
        <w:rPr>
          <w:rStyle w:val="StyleUnderline"/>
          <w:highlight w:val="green"/>
        </w:rPr>
        <w:t xml:space="preserve">These latest technologies to be deployed in the war on graffiti share some key features with the advancing technologies of urban warfare, which place a strong emphasis on real-time monitoring and analysis of behaviour in urban battlespaces </w:t>
      </w:r>
      <w:r w:rsidRPr="00404762">
        <w:rPr>
          <w:sz w:val="12"/>
          <w:szCs w:val="16"/>
        </w:rPr>
        <w:t>(Graham, 2009). Tripwire Systems, a joint US–Australian company, have developed a new covert and mobile surveillance camera designed to be deployed in graffiti ‘hot spots’. Upon detecting motion,</w:t>
      </w:r>
      <w:r w:rsidRPr="00404762">
        <w:rPr>
          <w:sz w:val="12"/>
        </w:rPr>
        <w:t xml:space="preserve"> </w:t>
      </w:r>
      <w:r w:rsidRPr="00F72F13">
        <w:rPr>
          <w:rStyle w:val="StyleUnderline"/>
          <w:highlight w:val="green"/>
        </w:rPr>
        <w:t>the Tripwire camera sends an alert and real- time images directly to the smartphones of security agents</w:t>
      </w:r>
      <w:r w:rsidRPr="00F72F13">
        <w:rPr>
          <w:rStyle w:val="StyleUnderline"/>
        </w:rPr>
        <w:t xml:space="preserve">, who (it is hoped) will be able to catch a writer in the act. </w:t>
      </w:r>
      <w:r w:rsidRPr="00404762">
        <w:rPr>
          <w:sz w:val="12"/>
          <w:szCs w:val="16"/>
        </w:rPr>
        <w:t>According to the marketing material, ‘Tripwire gives you the edge, and puts you back in control! ... The perpetrator will ask you “How the heck did you know we were here?????”’2 New surveillance systems are not restricted to visual surveillance. In the USA, TrapTec have patented</w:t>
      </w:r>
      <w:r w:rsidRPr="00404762">
        <w:rPr>
          <w:sz w:val="12"/>
        </w:rPr>
        <w:t xml:space="preserve"> </w:t>
      </w:r>
      <w:r w:rsidRPr="00F72F13">
        <w:rPr>
          <w:rStyle w:val="StyleUnderline"/>
          <w:highlight w:val="green"/>
        </w:rPr>
        <w:t xml:space="preserve">the Tagger </w:t>
      </w:r>
      <w:r w:rsidRPr="00F72F13">
        <w:rPr>
          <w:rStyle w:val="StyleUnderline"/>
          <w:highlight w:val="green"/>
        </w:rPr>
        <w:lastRenderedPageBreak/>
        <w:t>Trap system</w:t>
      </w:r>
      <w:r w:rsidRPr="00F72F13">
        <w:rPr>
          <w:rStyle w:val="StyleUnderline"/>
        </w:rPr>
        <w:t xml:space="preserve">. This system </w:t>
      </w:r>
      <w:r w:rsidRPr="00F72F13">
        <w:rPr>
          <w:rStyle w:val="StyleUnderline"/>
          <w:highlight w:val="green"/>
        </w:rPr>
        <w:t>combines acoustic sensors able to detect the ultrasonic frequencies emitted by spray cans, directional surveillance cameras for verification and recording of graffiti-writing activity, GPS locators and real-time alerts sent to security agencies</w:t>
      </w:r>
      <w:r w:rsidRPr="00F72F13">
        <w:rPr>
          <w:rStyle w:val="StyleUnderline"/>
        </w:rPr>
        <w:t>.</w:t>
      </w:r>
      <w:r w:rsidRPr="00404762">
        <w:rPr>
          <w:sz w:val="12"/>
        </w:rPr>
        <w:t xml:space="preserve"> </w:t>
      </w:r>
      <w:r w:rsidRPr="00F72F13">
        <w:rPr>
          <w:rStyle w:val="StyleUnderline"/>
        </w:rPr>
        <w:t xml:space="preserve">Like Tripwire, Tagger Trap prom- ises to enable security agencies to ‘stop the crime in progress’. The </w:t>
      </w:r>
      <w:r w:rsidRPr="00F72F13">
        <w:rPr>
          <w:rStyle w:val="StyleUnderline"/>
          <w:highlight w:val="green"/>
        </w:rPr>
        <w:t>acoustic surveillance technologies developed by TrapTec</w:t>
      </w:r>
      <w:r w:rsidRPr="00F72F13">
        <w:rPr>
          <w:rStyle w:val="StyleUnderline"/>
        </w:rPr>
        <w:t xml:space="preserve"> for Tagger Trap </w:t>
      </w:r>
      <w:r w:rsidRPr="00F72F13">
        <w:rPr>
          <w:rStyle w:val="StyleUnderline"/>
          <w:highlight w:val="green"/>
        </w:rPr>
        <w:t>are now being applied across a range of domains, including military and homeland security operations.</w:t>
      </w:r>
      <w:r w:rsidRPr="00F72F13">
        <w:rPr>
          <w:rStyle w:val="StyleUnderline"/>
        </w:rPr>
        <w:t xml:space="preserve"> As TrapTec proudly boast: ‘With security concerns on the rise and a burgeoning graffiti repair market, TrapTec is confident that the potential market for its technology is nearly limitless. </w:t>
      </w:r>
      <w:r w:rsidRPr="00F72F13">
        <w:rPr>
          <w:rStyle w:val="StyleUnderline"/>
          <w:highlight w:val="green"/>
        </w:rPr>
        <w:t>National borders, military installations, police cars, taxi cabs, convenience stores, prisons, airports, banks, universities, and other community or commercial interests are all expected to avail themselves</w:t>
      </w:r>
      <w:r w:rsidRPr="00F72F13">
        <w:rPr>
          <w:rStyle w:val="StyleUnderline"/>
        </w:rPr>
        <w:t xml:space="preserve"> of one or more of the Company’s detection systems.’ In Australia, the E-Nose company have invented the </w:t>
      </w:r>
      <w:r w:rsidRPr="00F72F13">
        <w:rPr>
          <w:rStyle w:val="StyleUnderline"/>
          <w:highlight w:val="green"/>
        </w:rPr>
        <w:t>graffiti-e-nose</w:t>
      </w:r>
      <w:r w:rsidRPr="00F72F13">
        <w:rPr>
          <w:rStyle w:val="StyleUnderline"/>
        </w:rPr>
        <w:t xml:space="preserve">, which </w:t>
      </w:r>
      <w:r w:rsidRPr="00F72F13">
        <w:rPr>
          <w:rStyle w:val="StyleUnderline"/>
          <w:highlight w:val="green"/>
        </w:rPr>
        <w:t>can detect aerosol paint fumes at a distance of 45 metres, and then sends real-time alerts to security agencies via SMS</w:t>
      </w:r>
      <w:r w:rsidRPr="00404762">
        <w:rPr>
          <w:sz w:val="12"/>
        </w:rPr>
        <w:t xml:space="preserve">. </w:t>
      </w:r>
      <w:r w:rsidRPr="00404762">
        <w:rPr>
          <w:sz w:val="12"/>
          <w:szCs w:val="16"/>
        </w:rPr>
        <w:t xml:space="preserve">The smell sensor technologies on the </w:t>
      </w:r>
      <w:r w:rsidRPr="00404762">
        <w:rPr>
          <w:i/>
          <w:sz w:val="12"/>
          <w:szCs w:val="16"/>
        </w:rPr>
        <w:t xml:space="preserve">graffiti-e-nose </w:t>
      </w:r>
      <w:r w:rsidRPr="00404762">
        <w:rPr>
          <w:sz w:val="12"/>
          <w:szCs w:val="16"/>
        </w:rPr>
        <w:t xml:space="preserve">were first developed by NASA, and then adapted for use against graffiti by its university-based inventors, who have now established a consortium to commercialize e-nose tech- nologies for further security and military purposes.3 This is a textbook example of the increasingly well-travelled route of a tech- nological innovation from initial military development via university research into use for urban law enforcement (Nunn, 2001, pp. 11–12). </w:t>
      </w:r>
      <w:r w:rsidRPr="00404762">
        <w:rPr>
          <w:i/>
          <w:sz w:val="12"/>
          <w:szCs w:val="16"/>
        </w:rPr>
        <w:t xml:space="preserve">Intelligence and counterintelligence operations </w:t>
      </w:r>
      <w:r w:rsidRPr="00404762">
        <w:rPr>
          <w:sz w:val="12"/>
          <w:szCs w:val="16"/>
        </w:rPr>
        <w:t xml:space="preserve">In many jurisdictions around the world, </w:t>
      </w:r>
      <w:r w:rsidRPr="00F72F13">
        <w:rPr>
          <w:rStyle w:val="StyleUnderline"/>
        </w:rPr>
        <w:t>specialist anti-graffiti squad</w:t>
      </w:r>
      <w:r w:rsidRPr="00F72F13">
        <w:rPr>
          <w:sz w:val="16"/>
          <w:szCs w:val="16"/>
          <w:u w:val="single"/>
        </w:rPr>
        <w:t>s</w:t>
      </w:r>
      <w:r w:rsidRPr="00404762">
        <w:rPr>
          <w:sz w:val="12"/>
          <w:szCs w:val="16"/>
        </w:rPr>
        <w:t xml:space="preserve"> have been estab- lished within police services. These </w:t>
      </w:r>
      <w:r w:rsidRPr="00F72F13">
        <w:rPr>
          <w:rStyle w:val="StyleUnderline"/>
        </w:rPr>
        <w:t>squads are typically tasked with advancing the war on graffiti by gathering higher quality intelligence about both the graffiti-writing culture and individual graffiti writers, and occasionally with running counterintelligence operations within graffiti-writing scenes. This police adoption of military techniques and organizational structures designed for guerrilla warfare is another instance of the military–criminal justice blur</w:t>
      </w:r>
      <w:r w:rsidRPr="00404762">
        <w:rPr>
          <w:sz w:val="12"/>
          <w:szCs w:val="16"/>
        </w:rPr>
        <w:t xml:space="preserve"> (Kraska, 2001b; Nunn, 2001). There is also evidence of a feed- back loop emerging as military theorists and practitioners concerned with urban opera- tions look to the police experience in combat- ing graffiti and other gangs for inspiration. Intelligence about graffiti writing and writ- ers has been gathered and deployed in a vari- ety of ways.</w:t>
      </w:r>
      <w:r w:rsidRPr="00404762">
        <w:rPr>
          <w:sz w:val="12"/>
        </w:rPr>
        <w:t xml:space="preserve"> </w:t>
      </w:r>
      <w:r w:rsidRPr="00F72F13">
        <w:rPr>
          <w:rStyle w:val="StyleUnderline"/>
          <w:highlight w:val="green"/>
        </w:rPr>
        <w:t>Sometimes, authorities have tried to ‘win the peace’, by shifting a graffiti- writing scene towards legal rather than illegal graffiti writing.</w:t>
      </w:r>
      <w:r w:rsidRPr="00404762">
        <w:rPr>
          <w:sz w:val="12"/>
        </w:rPr>
        <w:t xml:space="preserve"> </w:t>
      </w:r>
      <w:r w:rsidRPr="00404762">
        <w:rPr>
          <w:sz w:val="12"/>
          <w:szCs w:val="16"/>
        </w:rPr>
        <w:t>So, for instance, in Newcastle (Australia), a legal graffiti program run through a Police Citizens Youth Club was used to engage with graffiti writers in an effort to ‘modify crew behaviour to reorient the focus of an individual from traditional [illegal] to modern [legal]’ (Collins, 1997). After engaging with writers, project workers helped police in the arrest of the ‘traditionalists’, and promoted opportunities for ‘modernists’, so that they rapidly ‘infiltrated’ the ranks ‘until an entirely modernist hierarchy existed’</w:t>
      </w:r>
      <w:r w:rsidRPr="00404762">
        <w:rPr>
          <w:sz w:val="12"/>
        </w:rPr>
        <w:t xml:space="preserve">. </w:t>
      </w:r>
      <w:r w:rsidRPr="00F72F13">
        <w:rPr>
          <w:rStyle w:val="StyleUnderline"/>
          <w:highlight w:val="green"/>
        </w:rPr>
        <w:t>The lead officer in this program argued that ‘strategies run through arts bodies or youth organizations provide an ideal intelligence source for law enforcement bodies’</w:t>
      </w:r>
      <w:r w:rsidRPr="00404762">
        <w:rPr>
          <w:sz w:val="12"/>
        </w:rPr>
        <w:t xml:space="preserve"> </w:t>
      </w:r>
      <w:r w:rsidRPr="00404762">
        <w:rPr>
          <w:sz w:val="12"/>
          <w:szCs w:val="16"/>
        </w:rPr>
        <w:t xml:space="preserve">(Collins, 1997). Arrests of prolific writers were also the aim in a covert operation in Phoenix, where undercover police posed as film-producers making a documentary about graffiti, expertly deploying their knowledge of the graffiti- writing scene to entrap writers eager to have their work publicized (Sorenson, 1997). As in military urban operations, </w:t>
      </w:r>
      <w:r w:rsidRPr="00F72F13">
        <w:rPr>
          <w:rStyle w:val="StyleUnderline"/>
        </w:rPr>
        <w:t xml:space="preserve">intelligence efforts in the wars on graffiti are also making increasing use of digital data systems. </w:t>
      </w:r>
      <w:r w:rsidRPr="00F72F13">
        <w:rPr>
          <w:rStyle w:val="StyleUnderline"/>
          <w:highlight w:val="green"/>
        </w:rPr>
        <w:t>Databases of GPS-encoded digital photographs are designed to help authorities detect both ‘hot spots’ for graffiti-writing activity and active graffiti writers</w:t>
      </w:r>
      <w:r w:rsidRPr="00F72F13">
        <w:rPr>
          <w:rStyle w:val="StyleUnderline"/>
        </w:rPr>
        <w:t>.</w:t>
      </w:r>
      <w:r w:rsidRPr="00404762">
        <w:rPr>
          <w:sz w:val="12"/>
        </w:rPr>
        <w:t xml:space="preserve"> </w:t>
      </w:r>
      <w:r w:rsidRPr="00404762">
        <w:rPr>
          <w:sz w:val="12"/>
          <w:szCs w:val="16"/>
        </w:rPr>
        <w:t xml:space="preserve">For instance, the graffiti mapping database developed by GRIP Systems </w:t>
      </w:r>
      <w:r w:rsidRPr="00F72F13">
        <w:rPr>
          <w:rStyle w:val="StyleUnderline"/>
        </w:rPr>
        <w:t xml:space="preserve">(Graffiti Reduction and Interception Programs) is </w:t>
      </w:r>
      <w:r w:rsidRPr="00F72F13">
        <w:rPr>
          <w:rStyle w:val="StyleUnderline"/>
          <w:highlight w:val="green"/>
        </w:rPr>
        <w:t>now used by over 35 urban authorities across the USA, UK and Australia.</w:t>
      </w:r>
      <w:r w:rsidRPr="00404762">
        <w:rPr>
          <w:sz w:val="12"/>
        </w:rPr>
        <w:t xml:space="preserve"> </w:t>
      </w:r>
      <w:r w:rsidRPr="00404762">
        <w:rPr>
          <w:sz w:val="12"/>
          <w:szCs w:val="16"/>
        </w:rPr>
        <w:t>The software is designed to enable coordinated data entry by a variety of ‘victim groups’ (i.e. property owners and managers) about graffiti activity, thereby building a spatially and temporally referenced profile of individual graffiti writers which can provide evidence against apprehended writers.4</w:t>
      </w:r>
      <w:r w:rsidRPr="00404762">
        <w:rPr>
          <w:sz w:val="12"/>
        </w:rPr>
        <w:t xml:space="preserve"> </w:t>
      </w:r>
      <w:r w:rsidRPr="00F72F13">
        <w:rPr>
          <w:rStyle w:val="StyleUnderline"/>
          <w:highlight w:val="green"/>
        </w:rPr>
        <w:t>Rumours have also circulated in several cities about police anti-graffiti squads engaging in their own brand of ‘psychological operations’, attempting to stir conflict and mistrust within the graffiti-writing scene by crossing out work with their own tags</w:t>
      </w:r>
      <w:r w:rsidRPr="00404762">
        <w:rPr>
          <w:sz w:val="12"/>
        </w:rPr>
        <w:t xml:space="preserve">. </w:t>
      </w:r>
      <w:r w:rsidRPr="00404762">
        <w:rPr>
          <w:sz w:val="12"/>
          <w:szCs w:val="16"/>
        </w:rPr>
        <w:t xml:space="preserve">In New York City during the 1970s, many writers believed THE CROSS OUTS crew who frequently wrote over pieces was actu- ally the vandal squad (Austin, 2001, p. 129). In Melbourne, similar claims were made during the 1990s about the involvement of police in the CTSA crew, widely believed to stand for CITY TRANSITS SLASHING ART (Thornley, 1995). </w:t>
      </w:r>
      <w:r w:rsidRPr="00F72F13">
        <w:rPr>
          <w:rStyle w:val="StyleUnderline"/>
        </w:rPr>
        <w:t>These types of intelligence and counterintelligence work undertaken by specialist anti- graffiti squads in the name of the war on graffiti are, according to some military analysts, directly applicable to urban combat operations on foreign soil.</w:t>
      </w:r>
      <w:r w:rsidRPr="00404762">
        <w:rPr>
          <w:sz w:val="12"/>
          <w:szCs w:val="16"/>
        </w:rPr>
        <w:t xml:space="preserve"> Lieutenant Colonel Fred Renzi, a US psychological operations specialist, has argued that the military needs to develop better ‘ethno- graphic intelligence’ in order to combat the ‘dark networks’ which ‘come in forms with which we are not culturally familiar; and ... are impossible to “see” or monitor, let alone map, without consistent attention and the right training’ (Renzi, 2006, p. 181). </w:t>
      </w:r>
      <w:r w:rsidRPr="00F72F13">
        <w:rPr>
          <w:rStyle w:val="StyleUnderline"/>
        </w:rPr>
        <w:t xml:space="preserve">Drawing directly on Wilson and Kelling’s ‘broken windows’ theory of crime control (1982), which has been one of the foundational texts for the wars on graffiti, Renzi argues that military ethnographic </w:t>
      </w:r>
      <w:r w:rsidRPr="00F72F13">
        <w:rPr>
          <w:rStyle w:val="StyleUnderline"/>
        </w:rPr>
        <w:lastRenderedPageBreak/>
        <w:t>intelligence operations ought to take a leaf out of the contemporary criminologists’ handbook. This perspective is reflected in a review of US Army 21st Century Counterinsurgency operations, which argues that armed forces could learn from law enforcement agencies, such as the LAPD, who have specialist units set up to deal with criminal scenes involving graffiti writers and drug gangs</w:t>
      </w:r>
      <w:r w:rsidRPr="00404762">
        <w:rPr>
          <w:sz w:val="12"/>
          <w:szCs w:val="16"/>
        </w:rPr>
        <w:t xml:space="preserve"> (Milstein, 2008). In an interesting twist</w:t>
      </w:r>
      <w:r w:rsidRPr="00404762">
        <w:rPr>
          <w:sz w:val="12"/>
        </w:rPr>
        <w:t xml:space="preserve">, </w:t>
      </w:r>
      <w:r w:rsidRPr="00F72F13">
        <w:rPr>
          <w:rStyle w:val="StyleUnderline"/>
          <w:highlight w:val="green"/>
        </w:rPr>
        <w:t>the presence of graffiti in occupied cities has also come to be a matter of strategic interest to the US military and its allies. In the emerging urban operations doctrines being developed in the USA and elsewhere, graffiti has been identified as one of the forms of insurgent communication which can make occupation forces vulnerable.</w:t>
      </w:r>
      <w:r w:rsidRPr="00404762">
        <w:rPr>
          <w:sz w:val="12"/>
        </w:rPr>
        <w:t xml:space="preserve"> </w:t>
      </w:r>
      <w:r w:rsidRPr="00404762">
        <w:rPr>
          <w:sz w:val="12"/>
          <w:szCs w:val="16"/>
        </w:rPr>
        <w:t xml:space="preserve">Leaning to interpret this graffiti is one of the tasks for the US military if it is to become more </w:t>
      </w:r>
      <w:r w:rsidRPr="00404762">
        <w:rPr>
          <w:i/>
          <w:sz w:val="12"/>
          <w:szCs w:val="16"/>
        </w:rPr>
        <w:t xml:space="preserve">Street Smart </w:t>
      </w:r>
      <w:r w:rsidRPr="00404762">
        <w:rPr>
          <w:sz w:val="12"/>
          <w:szCs w:val="16"/>
        </w:rPr>
        <w:t>(to use the title of a report for the US Army about intelli- gence preparation for urban operations—see Medby and Glenn, 2002).</w:t>
      </w:r>
      <w:r w:rsidRPr="00404762">
        <w:rPr>
          <w:sz w:val="12"/>
        </w:rPr>
        <w:t xml:space="preserve"> </w:t>
      </w:r>
      <w:r w:rsidRPr="00F72F13">
        <w:rPr>
          <w:b/>
          <w:highlight w:val="green"/>
          <w:u w:val="single"/>
        </w:rPr>
        <w:t>Colonel Ralph Baker, who commanded a Combat Team in Bagdad during the US occupation, suggested that the density of anti-Coalition graffiti can be used reliably as one of the indicators of insurgent activity</w:t>
      </w:r>
      <w:r w:rsidRPr="00404762">
        <w:rPr>
          <w:sz w:val="12"/>
        </w:rPr>
        <w:t xml:space="preserve"> (Baker, 2006). </w:t>
      </w:r>
      <w:r w:rsidRPr="00F72F13">
        <w:rPr>
          <w:rStyle w:val="StyleUnderline"/>
          <w:highlight w:val="green"/>
        </w:rPr>
        <w:t>In order to approximate these conditions, the Israel Defence Force’s urban operations training ground is covered with Arabic graffiti</w:t>
      </w:r>
      <w:r w:rsidRPr="00F72F13">
        <w:rPr>
          <w:u w:val="single"/>
        </w:rPr>
        <w:t xml:space="preserve"> </w:t>
      </w:r>
      <w:r w:rsidRPr="00404762">
        <w:rPr>
          <w:sz w:val="12"/>
          <w:szCs w:val="16"/>
        </w:rPr>
        <w:t xml:space="preserve">(Broomberg and Chanarin, 2007). In one of the Australian army’s urban operations train- ing exercises, soldiers were confronted with the following scenarios to help them prepare for the specific demands of urban warfare and domestic security: ‘Fancy facing a group of angry protestors? What about spotting a graffiti artist inside a cordon? And exactly how do you tell the difference between a harmless couple walking along, and two insurgents up to no good?’ (Thomson, 2007). The South Australian Police Special Tasks and Rescue Officers were on hand to help them out. In Iraq, the US Army have even used similar psy-ops tactics to those allegedly deployed by specialist graffiti squads, cross-ing out and/or modifying graffiti by insurgent groups in order to stir up conflict and mistrust among them (Lord, 2007) (Figure 3).5 </w:t>
      </w:r>
      <w:r w:rsidRPr="00404762">
        <w:rPr>
          <w:i/>
          <w:sz w:val="12"/>
          <w:szCs w:val="16"/>
        </w:rPr>
        <w:t>Propaganda and censorship</w:t>
      </w:r>
      <w:r w:rsidRPr="00404762">
        <w:rPr>
          <w:i/>
          <w:sz w:val="12"/>
        </w:rPr>
        <w:t xml:space="preserve"> </w:t>
      </w:r>
      <w:r w:rsidRPr="00F72F13">
        <w:rPr>
          <w:rStyle w:val="StyleUnderline"/>
          <w:highlight w:val="green"/>
        </w:rPr>
        <w:t>Public relations and war propaganda</w:t>
      </w:r>
      <w:r w:rsidRPr="00F72F13">
        <w:rPr>
          <w:rStyle w:val="StyleUnderline"/>
        </w:rPr>
        <w:t xml:space="preserve"> have also been features of the wars on graffiti. A variety of campaigns </w:t>
      </w:r>
      <w:r w:rsidRPr="00F72F13">
        <w:rPr>
          <w:rStyle w:val="StyleUnderline"/>
          <w:highlight w:val="green"/>
        </w:rPr>
        <w:t>have sought to deter young people from writing graffiti</w:t>
      </w:r>
      <w:r w:rsidRPr="00F72F13">
        <w:rPr>
          <w:rStyle w:val="StyleUnderline"/>
        </w:rPr>
        <w:t>, and to mobilize community support for anti-graffiti efforts.</w:t>
      </w:r>
      <w:r w:rsidRPr="00404762">
        <w:rPr>
          <w:sz w:val="12"/>
          <w:szCs w:val="16"/>
        </w:rPr>
        <w:t xml:space="preserve"> A militarized ‘with us or against us’ rhetoric infuses many of these campaigns. Once again, New York was the pioneer here, with its now infamous ‘make your mark in society, not on society’ multimedia campaign in the 1980s (Austin, 2001). More recently, the UK Home Office established their ‘Name That Tag’ poster campaign, offering £500 rewards for information about the identity of prolific taggers (as well as free fame for those whose tags appeared on the posters) (Home Office (UK), 2003). In Western Australia, the State Government has recently launched its ‘Goodbye Graffiti’ campaign, which involved a letterbox drop to all residents in the city of a leaflet informing them of new measures designed to curb graffiti, and the role they could play in defeating graffiti writers (along with a complementary fridge magnet ...).6 The NSW State Government has resurrected a New York City policy from the 1970s, with the announcement of an annual ‘Graffiti Action Day’ on which residents are invited to dob in a graffiti writer or clean up some graffiti. Anti-graffiti propagandists constantly worry that graffiti is tacitly endorsed in the marketplace, through the widespread use of graffiti-style art in advertising campaigns, music videos and other media. Graffiti writers have also established their own media, through ‘zines and websites in particular, and there now exists a burgeoning industry publishing glossy books on graffiti writers, styles and scenes (see Austin, this issue). Occasionally, </w:t>
      </w:r>
      <w:r w:rsidRPr="00F72F13">
        <w:rPr>
          <w:rStyle w:val="StyleUnderline"/>
        </w:rPr>
        <w:t>police and other authorities have responded to this situation with censorship. Graffiti website magazines have been shut down, art and record shops have been raided and graffiti magazines have been confiscated by police anti-graffiti squads</w:t>
      </w:r>
      <w:r w:rsidRPr="00404762">
        <w:rPr>
          <w:sz w:val="12"/>
          <w:szCs w:val="16"/>
        </w:rPr>
        <w:t xml:space="preserve"> (Iveson, 2007, p. 143). In Australia, the Commonwealth Censor refused classification for </w:t>
      </w:r>
      <w:r w:rsidRPr="00404762">
        <w:rPr>
          <w:i/>
          <w:sz w:val="12"/>
          <w:szCs w:val="16"/>
        </w:rPr>
        <w:t>Mark Ecko’s Getting Up</w:t>
      </w:r>
      <w:r w:rsidRPr="00404762">
        <w:rPr>
          <w:sz w:val="12"/>
          <w:szCs w:val="16"/>
        </w:rPr>
        <w:t>, a first-person graffiti-writing game, in which the player’s goal is to acquire paint, bomb the city, and evade the police and other graffiti writers.7 Of course, hundreds of violent first-person shooter games have not suffered the same fate. Efforts to make graffiti less ‘cool’ by publicly shaming graffiti writers as a form of punishment have also been a feature of propa- ganda efforts in some jurisdictions. In Well- ington (NZ), convicted graffiti writers are forced to clean up graffiti while wearing pink vests, in the hope that the associated ‘terror of humiliation’ will stop others writing graffiti.8 One critical local councillor likened the vests to the pink triangles used by the Nazis to mark out homosexuals. Her criticism was dismissed by a newspaper editorialist as a ‘barmy criticism’ that had at least ‘done the war on graffiti a power of good publicity’ (</w:t>
      </w:r>
      <w:r w:rsidRPr="00404762">
        <w:rPr>
          <w:i/>
          <w:sz w:val="12"/>
          <w:szCs w:val="16"/>
        </w:rPr>
        <w:t>Daily Post (NZ)</w:t>
      </w:r>
      <w:r w:rsidRPr="00404762">
        <w:rPr>
          <w:sz w:val="12"/>
          <w:szCs w:val="16"/>
        </w:rPr>
        <w:t>, 2008), but perhaps it was not so far off the mark. Only six months before this,</w:t>
      </w:r>
      <w:r w:rsidRPr="00404762">
        <w:rPr>
          <w:sz w:val="12"/>
        </w:rPr>
        <w:t xml:space="preserve"> </w:t>
      </w:r>
      <w:r w:rsidRPr="00F72F13">
        <w:rPr>
          <w:rStyle w:val="StyleUnderline"/>
          <w:highlight w:val="green"/>
        </w:rPr>
        <w:t>in January 2008, 15-year-old South Aucklander Pihema Campbell was chased and stabbed by a property owner whose fence he tagged.</w:t>
      </w:r>
      <w:r w:rsidRPr="00F72F13">
        <w:rPr>
          <w:rStyle w:val="StyleUnderline"/>
        </w:rPr>
        <w:t xml:space="preserve"> </w:t>
      </w:r>
      <w:r w:rsidRPr="00404762">
        <w:rPr>
          <w:sz w:val="12"/>
          <w:szCs w:val="16"/>
        </w:rPr>
        <w:t>Campbell died on the scene. His killer was arrested and prosecuted (and eventually convicted of manslaughter). However</w:t>
      </w:r>
      <w:r w:rsidRPr="00404762">
        <w:rPr>
          <w:sz w:val="12"/>
        </w:rPr>
        <w:t xml:space="preserve">, </w:t>
      </w:r>
      <w:r w:rsidRPr="00F72F13">
        <w:rPr>
          <w:rStyle w:val="StyleUnderline"/>
        </w:rPr>
        <w:t xml:space="preserve">the fact that in this case the victim was a tagger generated an alarming degree of sympathy for his killer’s actions in the wider public sphere. </w:t>
      </w:r>
      <w:r w:rsidRPr="00404762">
        <w:rPr>
          <w:sz w:val="12"/>
          <w:szCs w:val="16"/>
        </w:rPr>
        <w:t xml:space="preserve">As Chris Barton (2008) reported for the </w:t>
      </w:r>
      <w:r w:rsidRPr="00404762">
        <w:rPr>
          <w:i/>
          <w:sz w:val="12"/>
          <w:szCs w:val="16"/>
        </w:rPr>
        <w:t>New Zealand Herald</w:t>
      </w:r>
      <w:r w:rsidRPr="00404762">
        <w:rPr>
          <w:sz w:val="12"/>
          <w:szCs w:val="16"/>
        </w:rPr>
        <w:t xml:space="preserve">: ‘The day after the fatal stabbing, Mayor Len Brown was more concerned about the defacement than the death: “Tagging is a starting point for a lot of youngsters getting on to the criminal treadmill. Graffiti in our city is an issue we absolutely want to get on top of.” ... Brown wasn’t alone in his apparent lack of compassion for the victim. Letters to this newspaper seemed callous: “I personally have absolutely no sympathy for the tagger!” And: “The tagger wasn’t murdered. He was killed. The word murder should be used to define only an innocent person’s death at the hands of someone else.” Christchurch City councillor Barry Corbett jumped into the fray, saying the alleged murderer should be set free. “If I was on the jury, I’d let him get away with it, but that’s just me.”’ Campbell is certainly not the first graffiti writer to die in violent circumstances at the hands of vigilantes or police. Writing of these deaths, Jeff Chang (2002) has observed: </w:t>
      </w:r>
      <w:r w:rsidRPr="00404762">
        <w:rPr>
          <w:sz w:val="12"/>
        </w:rPr>
        <w:t>‘</w:t>
      </w:r>
      <w:r w:rsidRPr="00F72F13">
        <w:rPr>
          <w:rStyle w:val="StyleUnderline"/>
          <w:highlight w:val="green"/>
        </w:rPr>
        <w:t>Make no mistake: “quality of life” campaigns have had a body count.’</w:t>
      </w:r>
      <w:r w:rsidRPr="00404762">
        <w:rPr>
          <w:sz w:val="12"/>
        </w:rPr>
        <w:t xml:space="preserve"> </w:t>
      </w:r>
      <w:r w:rsidRPr="00404762">
        <w:rPr>
          <w:i/>
          <w:sz w:val="12"/>
          <w:szCs w:val="16"/>
        </w:rPr>
        <w:t xml:space="preserve">Profiting from the war </w:t>
      </w:r>
      <w:r w:rsidRPr="00404762">
        <w:rPr>
          <w:sz w:val="12"/>
          <w:szCs w:val="16"/>
        </w:rPr>
        <w:t xml:space="preserve">The wars on graffiti, like all wars, are good for business. </w:t>
      </w:r>
      <w:r w:rsidRPr="00F72F13">
        <w:rPr>
          <w:sz w:val="16"/>
          <w:szCs w:val="16"/>
          <w:u w:val="single"/>
        </w:rPr>
        <w:t>The wars on graffiti have contributed to ‘the massive growth of civilian markets for “security” technologies and services’ which are now ‘blurring into military–industrial ones</w:t>
      </w:r>
      <w:r w:rsidRPr="00404762">
        <w:rPr>
          <w:sz w:val="12"/>
          <w:szCs w:val="16"/>
        </w:rPr>
        <w:t>’ (Graham, 2004, p. 17). As we have seen above,</w:t>
      </w:r>
      <w:r w:rsidRPr="00404762">
        <w:rPr>
          <w:sz w:val="12"/>
        </w:rPr>
        <w:t xml:space="preserve"> </w:t>
      </w:r>
      <w:r w:rsidRPr="00F72F13">
        <w:rPr>
          <w:rStyle w:val="StyleUnderline"/>
          <w:highlight w:val="green"/>
        </w:rPr>
        <w:t>a range of companies are involved in developing new technologies designed to deter and capture graffiti writers and selling them to law enforcement agencies and property owners.</w:t>
      </w:r>
      <w:r w:rsidRPr="00404762">
        <w:rPr>
          <w:sz w:val="12"/>
        </w:rPr>
        <w:t xml:space="preserve"> Further, new businesses have sprung up to compete for graffiti removal and prevention contracts offered by municipal authorities and urban utilities. </w:t>
      </w:r>
      <w:r w:rsidRPr="00F72F13">
        <w:rPr>
          <w:rStyle w:val="StyleUnderline"/>
          <w:highlight w:val="green"/>
        </w:rPr>
        <w:t>In Los Angeles, a US$800,000 contract for graffiti removal along the LA River funded through the Federal stimulus package was awarded to BJD Resourcing, a commercial division of the US Army Corps of Engineers.</w:t>
      </w:r>
      <w:r w:rsidRPr="00404762">
        <w:rPr>
          <w:sz w:val="12"/>
        </w:rPr>
        <w:t xml:space="preserve"> </w:t>
      </w:r>
      <w:r w:rsidRPr="00404762">
        <w:rPr>
          <w:sz w:val="12"/>
          <w:szCs w:val="16"/>
        </w:rPr>
        <w:t xml:space="preserve">In September 2009, they buffed one of the world’s most famous pieces of graffiti—SABER’s huge football- field-sized masterpiece, originally painted in 1997 (Figures 4 and 5).9 One of the troubling developments in rela-tion to the burgeoning anti-graffiti industry is its role in policy development. Such companies have a vested interest in talking up their </w:t>
      </w:r>
      <w:r w:rsidRPr="00404762">
        <w:rPr>
          <w:sz w:val="12"/>
          <w:szCs w:val="16"/>
        </w:rPr>
        <w:lastRenderedPageBreak/>
        <w:t>successes, and in talking down alternative policy approaches to the issue of graffiti. However,</w:t>
      </w:r>
      <w:r w:rsidRPr="00404762">
        <w:rPr>
          <w:sz w:val="12"/>
        </w:rPr>
        <w:t xml:space="preserve"> </w:t>
      </w:r>
      <w:r w:rsidRPr="00F72F13">
        <w:rPr>
          <w:b/>
          <w:highlight w:val="green"/>
          <w:u w:val="single"/>
        </w:rPr>
        <w:t>while representatives of the anti-graffiti industry frequently claim local victories, they must also be careful to demonstrate that the ‘enemy within’ can still strike at any time, and that the war on graffiti requires constant vigilance (and resources). Here is a feature which the war on graffiti shares with the contemporary ‘war on terror’—by its very constitution, it is a war that can never be finally won, but is rather a ‘long war’ with no end in sight.</w:t>
      </w:r>
      <w:r w:rsidRPr="00404762">
        <w:rPr>
          <w:sz w:val="12"/>
        </w:rPr>
        <w:t xml:space="preserve"> </w:t>
      </w:r>
      <w:r w:rsidRPr="00404762">
        <w:rPr>
          <w:sz w:val="12"/>
          <w:szCs w:val="16"/>
        </w:rPr>
        <w:t xml:space="preserve">Any critique of the war effort is interpreted as a disho- nourable ‘giving up’, rather than a political claim (see Steinert, 2003, p. 267). The wars on graffiti and the war on terror ‘The biggest worry is that if the Government is unable to protect rolling stock from this sort of vandalism, it raises questions about attempts to secure it against other forms of threats.’ (Barry O’Farrell, Opposition Transport Spokesperson, New South Wales, 2005) Since the terrorist attacks in the USA in 2001, the threat of terror has played a key role in extending the militarization of urban space and urban policy (Steinert, 2003, p. 282; Graham, 2004, p. 17). The wars on graffiti have been subtly but significantly re-framed in light of the war on terror. In particular, </w:t>
      </w:r>
      <w:r w:rsidRPr="00F72F13">
        <w:rPr>
          <w:rStyle w:val="StyleUnderline"/>
          <w:highlight w:val="green"/>
        </w:rPr>
        <w:t>the stakes have been raised in urban social control efforts intended to protect communities from threats of ‘disorder’ such as graffiti—for the existence of even apparently ‘minor’ infractions is thought to send a message to both ‘the community’ and ‘enemies within’ that there are vulnerabilities to be exploited with potentially more devastating consequences</w:t>
      </w:r>
      <w:r w:rsidRPr="00F72F13">
        <w:rPr>
          <w:rStyle w:val="StyleUnderline"/>
        </w:rPr>
        <w:t>. This has translated into a convergence around the notion that situational crime prevention techniques (such as those embraced in the wars on graffiti) are crucial in combating both graffiti and terror threats, because even if graffiti writers and terrorists don’t share the same motivations, they do exploit the same urban vulnerabilities.</w:t>
      </w:r>
      <w:r w:rsidRPr="00F72F13">
        <w:rPr>
          <w:sz w:val="16"/>
          <w:szCs w:val="16"/>
          <w:u w:val="single"/>
        </w:rPr>
        <w:t xml:space="preserve"> </w:t>
      </w:r>
      <w:r w:rsidRPr="00404762">
        <w:rPr>
          <w:sz w:val="12"/>
          <w:szCs w:val="16"/>
        </w:rPr>
        <w:t xml:space="preserve">Recent discussions about vandalism and security on public transport illustrate this trend. Cornish and Smith (2006, pp. 195– 196), wrapping up their book </w:t>
      </w:r>
      <w:r w:rsidRPr="00404762">
        <w:rPr>
          <w:i/>
          <w:sz w:val="12"/>
          <w:szCs w:val="16"/>
        </w:rPr>
        <w:t>Secure and Tranquil Travel</w:t>
      </w:r>
      <w:r w:rsidRPr="00404762">
        <w:rPr>
          <w:sz w:val="12"/>
          <w:szCs w:val="16"/>
        </w:rPr>
        <w:t>, put it this way: ‘Its often shocking impact upon transit systems encourages the view that terrorist activity is unique and qualitatively different from other criminal behaviours. There are nevertheless many similarities between the different forms and methods of terrorist activity and the more mundane forms and methods of crime and disorder with which this manual has been concerned. The wide range of situational techniques available to deal with the different forms of public transport crime may, therefore, be equally apt for the prevention of terrorism.... The most prevalent forms of railway or bus terrorism—those that involve the exploding of bombs inside public transport vehicles or their planning for later detonation— ... involve some of the same crime-commission steps, and require the same types of responses as other forms of anti-social, disorderly and criminal behaviour in the vehicle setting.’ Similarly,</w:t>
      </w:r>
      <w:r w:rsidRPr="00404762">
        <w:rPr>
          <w:sz w:val="12"/>
        </w:rPr>
        <w:t xml:space="preserve"> </w:t>
      </w:r>
      <w:r w:rsidRPr="00F72F13">
        <w:rPr>
          <w:rStyle w:val="StyleUnderline"/>
          <w:highlight w:val="green"/>
        </w:rPr>
        <w:t xml:space="preserve">participants at the 2003 Round- table Discussion on Vandalism, Terrorism and Security in Urban Public Transport convened by the European Conference of Ministers of </w:t>
      </w:r>
      <w:r w:rsidRPr="00F72F13">
        <w:rPr>
          <w:rStyle w:val="StyleUnderline"/>
        </w:rPr>
        <w:t>Transport concluded that ‘there were clearly areas where terrorism and vandalism overlapped, one example being preventative measures, such as calls for public vigilance or the use of video surveillance cameras’</w:t>
      </w:r>
      <w:r w:rsidRPr="00F72F13">
        <w:rPr>
          <w:sz w:val="16"/>
          <w:szCs w:val="16"/>
          <w:u w:val="single"/>
        </w:rPr>
        <w:t xml:space="preserve"> </w:t>
      </w:r>
      <w:r w:rsidRPr="00404762">
        <w:rPr>
          <w:sz w:val="12"/>
          <w:szCs w:val="16"/>
        </w:rPr>
        <w:t xml:space="preserve">(European Conference of Ministers of Transport, 2003, p. 149). </w:t>
      </w:r>
      <w:r w:rsidRPr="00F72F13">
        <w:rPr>
          <w:rStyle w:val="StyleUnderline"/>
        </w:rPr>
        <w:t xml:space="preserve">They also </w:t>
      </w:r>
      <w:r w:rsidRPr="00F72F13">
        <w:rPr>
          <w:rStyle w:val="StyleUnderline"/>
          <w:highlight w:val="green"/>
        </w:rPr>
        <w:t>argued that the effects of terrorism and vandalism were ‘similar in that they result in a loss of confidence in public transport services and a loss of patronage that cannot be easily reversed’</w:t>
      </w:r>
      <w:r w:rsidRPr="00F72F13">
        <w:rPr>
          <w:highlight w:val="green"/>
          <w:u w:val="single"/>
        </w:rPr>
        <w:t xml:space="preserve"> </w:t>
      </w:r>
      <w:r w:rsidRPr="00404762">
        <w:rPr>
          <w:sz w:val="12"/>
          <w:szCs w:val="16"/>
        </w:rPr>
        <w:t>(European Conference of Ministers of Transport, 2003, p. 149). In such analyses, graffiti is increasingly caught up in the banal ‘terror talk’ which is so central to the war on terror (Katz, 2007).</w:t>
      </w:r>
      <w:r w:rsidRPr="00404762">
        <w:rPr>
          <w:sz w:val="12"/>
        </w:rPr>
        <w:t xml:space="preserve"> </w:t>
      </w:r>
      <w:r w:rsidRPr="00F72F13">
        <w:rPr>
          <w:rStyle w:val="StyleUnderline"/>
          <w:highlight w:val="green"/>
        </w:rPr>
        <w:t>The ever-present threat of terror reinforces the pre-existing notion that ‘the community’ is right to fear graffiti because it is a visible sign that the city is ‘out of control</w:t>
      </w:r>
      <w:r w:rsidRPr="00404762">
        <w:rPr>
          <w:sz w:val="12"/>
        </w:rPr>
        <w:t xml:space="preserve">’. </w:t>
      </w:r>
      <w:r w:rsidRPr="00404762">
        <w:rPr>
          <w:sz w:val="12"/>
          <w:szCs w:val="16"/>
        </w:rPr>
        <w:t>Graffiti writ- ers might not be terrorists, but they might as well be—</w:t>
      </w:r>
      <w:r w:rsidRPr="00F72F13">
        <w:rPr>
          <w:sz w:val="16"/>
          <w:szCs w:val="16"/>
          <w:u w:val="single"/>
        </w:rPr>
        <w:t>hence the troubling growth of passing references to graffiti as a kind of ‘visual terror’ perpetrated by the ‘enemy within</w:t>
      </w:r>
      <w:r w:rsidRPr="00404762">
        <w:rPr>
          <w:sz w:val="12"/>
          <w:szCs w:val="16"/>
        </w:rPr>
        <w:t>’ (e.g. Slahor, 1994; Rosewarne, 2004; Austra- lian Broadcasting Corporation, 2008). Indeed,</w:t>
      </w:r>
      <w:r w:rsidRPr="00404762">
        <w:rPr>
          <w:sz w:val="12"/>
        </w:rPr>
        <w:t xml:space="preserve"> </w:t>
      </w:r>
      <w:r w:rsidRPr="00F72F13">
        <w:rPr>
          <w:b/>
          <w:highlight w:val="green"/>
          <w:u w:val="single"/>
        </w:rPr>
        <w:t xml:space="preserve">the threat posed to </w:t>
      </w:r>
      <w:r w:rsidRPr="00F72F13">
        <w:rPr>
          <w:b/>
          <w:i/>
          <w:highlight w:val="green"/>
          <w:u w:val="single"/>
        </w:rPr>
        <w:t xml:space="preserve">local communities </w:t>
      </w:r>
      <w:r w:rsidRPr="00F72F13">
        <w:rPr>
          <w:b/>
          <w:highlight w:val="green"/>
          <w:u w:val="single"/>
        </w:rPr>
        <w:t xml:space="preserve">by ‘anti-social behaviour’ has sometimes been equated with the threat posed to the </w:t>
      </w:r>
      <w:r w:rsidRPr="00F72F13">
        <w:rPr>
          <w:b/>
          <w:i/>
          <w:highlight w:val="green"/>
          <w:u w:val="single"/>
        </w:rPr>
        <w:t xml:space="preserve">international community </w:t>
      </w:r>
      <w:r w:rsidRPr="00F72F13">
        <w:rPr>
          <w:b/>
          <w:highlight w:val="green"/>
          <w:u w:val="single"/>
        </w:rPr>
        <w:t>by failed/rogue states and transnational terror networks</w:t>
      </w:r>
      <w:r w:rsidRPr="00404762">
        <w:rPr>
          <w:sz w:val="12"/>
          <w:highlight w:val="green"/>
        </w:rPr>
        <w:t>.</w:t>
      </w:r>
      <w:r w:rsidRPr="00404762">
        <w:rPr>
          <w:sz w:val="12"/>
        </w:rPr>
        <w:t xml:space="preserve"> </w:t>
      </w:r>
      <w:r w:rsidRPr="00404762">
        <w:rPr>
          <w:sz w:val="12"/>
          <w:szCs w:val="16"/>
        </w:rPr>
        <w:t>UK Home Secretary David Blunkett drew quite explicit attention to the shared logics of his Government’s campaigns against ‘anti-social behaviour’ and Saddam Hussein’s regime in Iraq (both of which were launched in 2003): ‘There is a common theme running through Government policy at home and abroad—the need to ensure safety, stability and order. Worries about crime and safety and the insecurity and fear created by the international situation go hand in hand.... In providing reassurance at home, we also need to ensure that people are aware of why we have taken action in Iraq to tackle a cause of global insecurity; the presence of weapons of mass destruction. It is critical that we provide long-term stability and security in the world. The two strands of the approach, local and global, go together. The old slogan “think local, act global” could never be more relevant. We need to ensure that we live in a world where we have removed the threat of instability and chaos.’ (Home Office, 2003, Press release, 22 March)</w:t>
      </w:r>
      <w:r w:rsidRPr="00404762">
        <w:rPr>
          <w:sz w:val="12"/>
        </w:rPr>
        <w:t xml:space="preserve"> </w:t>
      </w:r>
      <w:r w:rsidRPr="00F72F13">
        <w:rPr>
          <w:b/>
          <w:highlight w:val="green"/>
          <w:u w:val="single"/>
        </w:rPr>
        <w:t>These efforts to ‘remove the threat of insta- bility and chaos’ involve not only the kinds of social and situational controls discussed at length above, but also a focus on self-control</w:t>
      </w:r>
      <w:r w:rsidRPr="00404762">
        <w:rPr>
          <w:sz w:val="12"/>
        </w:rPr>
        <w:t xml:space="preserve"> </w:t>
      </w:r>
      <w:r w:rsidRPr="00404762">
        <w:rPr>
          <w:sz w:val="12"/>
          <w:szCs w:val="16"/>
        </w:rPr>
        <w:t xml:space="preserve">(Garland, 2001, p. 15). Here, concepts of territorial sovereignty are being reconfigured at both the international and the urban scales where self-control is seen to be inadequate. </w:t>
      </w:r>
      <w:r w:rsidRPr="00F72F13">
        <w:rPr>
          <w:rStyle w:val="StyleUnderline"/>
        </w:rPr>
        <w:t>Just as one of the objectives of the ‘war on terror’ is to act on so-called ‘weak states’ who are accused of harbouring terror by failing to properly control their territory (Elden, 2007), so too one of the objectives of the war on graffiti has been to act on property owners who fail to protect their properties from graffiti, and/or who fail to remove graffiti when it occurs</w:t>
      </w:r>
      <w:r w:rsidRPr="00404762">
        <w:rPr>
          <w:sz w:val="12"/>
          <w:szCs w:val="16"/>
        </w:rPr>
        <w:t xml:space="preserve">. Such property owners are believed to have failed to take responsibility for preventing the spread of ‘instability and chaos’ represented by graffiti, and thereby forgo their sovereignty. Recent reforms to anti-graffiti legislation in New South Wales and Queensland in Australia, for instance, have given local governments new powers to remove graffiti from publicly accessible private property without obtaining </w:t>
      </w:r>
      <w:r w:rsidRPr="00404762">
        <w:rPr>
          <w:sz w:val="12"/>
          <w:szCs w:val="16"/>
        </w:rPr>
        <w:lastRenderedPageBreak/>
        <w:t xml:space="preserve">the permission of property owners (Iveson, 2009). The City of Sydney has used this power not only to remove uninvited graffiti, but even to remove murals that have been commissioned by property owners, on the grounds that they did not seek proper planning approval (Creagh, 2008). </w:t>
      </w:r>
    </w:p>
    <w:p xmlns:wp14="http://schemas.microsoft.com/office/word/2010/wordml" w:rsidRPr="00F72F13" w:rsidR="0082799E" w:rsidP="0082799E" w:rsidRDefault="0082799E" w14:paraId="56238711" wp14:textId="77777777">
      <w:pPr>
        <w:pStyle w:val="Heading4"/>
        <w:rPr>
          <w:sz w:val="28"/>
        </w:rPr>
      </w:pPr>
      <w:r w:rsidRPr="00F72F13">
        <w:rPr>
          <w:sz w:val="28"/>
        </w:rPr>
        <w:t>In every border dispute, what is really at stake is the border of the political. Improvisational performances of politics at a lower frequency challenge the proper citizen/subject, representing transnational, fugitive, and unthinkable positionalities.</w:t>
      </w:r>
    </w:p>
    <w:p xmlns:wp14="http://schemas.microsoft.com/office/word/2010/wordml" w:rsidRPr="00F72F13" w:rsidR="0082799E" w:rsidP="0082799E" w:rsidRDefault="0082799E" w14:paraId="269B37E3" wp14:textId="77777777">
      <w:pPr>
        <w:rPr>
          <w:rFonts w:ascii="Calibri" w:hAnsi="Calibri" w:eastAsia="Calibri" w:cs="Calibri"/>
          <w:sz w:val="20"/>
          <w:szCs w:val="20"/>
        </w:rPr>
      </w:pPr>
      <w:r w:rsidRPr="00F72F13">
        <w:rPr>
          <w:rStyle w:val="Style13ptBold"/>
          <w:sz w:val="28"/>
        </w:rPr>
        <w:t>Vourloumis 14</w:t>
      </w:r>
      <w:r w:rsidRPr="00F72F13">
        <w:rPr>
          <w:rFonts w:ascii="Calibri" w:hAnsi="Calibri" w:eastAsia="Calibri" w:cs="Calibri"/>
          <w:sz w:val="28"/>
          <w:szCs w:val="26"/>
        </w:rPr>
        <w:t xml:space="preserve"> </w:t>
      </w:r>
      <w:r w:rsidRPr="00F72F13">
        <w:rPr>
          <w:rFonts w:ascii="Calibri" w:hAnsi="Calibri" w:eastAsia="Calibri" w:cs="Calibri"/>
          <w:sz w:val="20"/>
          <w:szCs w:val="20"/>
        </w:rPr>
        <w:t>(Hypatia, Ph.D in performance studies from New York University, teaches at the International Center for Hellenic and Mediterranean Studies. Come and See What We Do: Contemporary Migrant Performances in Athens, Greece. Theatre Journal, Volume 66, Number 2, May 2014. pg 253-255)//ANH</w:t>
      </w:r>
    </w:p>
    <w:p xmlns:wp14="http://schemas.microsoft.com/office/word/2010/wordml" w:rsidRPr="00F72F13" w:rsidR="0082799E" w:rsidP="0082799E" w:rsidRDefault="0082799E" w14:paraId="70D52DD3" wp14:textId="77777777">
      <w:pPr>
        <w:rPr>
          <w:rStyle w:val="StyleUnderline"/>
        </w:rPr>
      </w:pPr>
      <w:r w:rsidRPr="00F72F13">
        <w:rPr>
          <w:rFonts w:ascii="Calibri" w:hAnsi="Calibri" w:eastAsia="Calibri" w:cs="Calibri"/>
          <w:sz w:val="16"/>
          <w:szCs w:val="16"/>
        </w:rPr>
        <w:t xml:space="preserve">Alongside with and forming an amalgamation with citizen-workers and activists by performing and working together within an illegally state- owned occupied theatre, </w:t>
      </w:r>
      <w:r w:rsidRPr="00F72F13">
        <w:rPr>
          <w:rStyle w:val="StyleUnderline"/>
          <w:highlight w:val="green"/>
        </w:rPr>
        <w:t>the undocumented participants of ELANADISTIKANOUME understood by the state as illegal presences themselves produced a performativity in plurality</w:t>
      </w:r>
      <w:r w:rsidRPr="00F72F13">
        <w:rPr>
          <w:rFonts w:ascii="Calibri" w:hAnsi="Calibri" w:eastAsia="Calibri" w:cs="Calibri"/>
        </w:rPr>
        <w:t xml:space="preserve">. </w:t>
      </w:r>
      <w:r w:rsidRPr="00F72F13">
        <w:rPr>
          <w:rFonts w:ascii="Calibri" w:hAnsi="Calibri" w:eastAsia="Calibri" w:cs="Calibri"/>
          <w:sz w:val="16"/>
          <w:szCs w:val="16"/>
        </w:rPr>
        <w:t xml:space="preserve">47 Together, </w:t>
      </w:r>
      <w:r w:rsidRPr="00F72F13">
        <w:rPr>
          <w:rFonts w:ascii="Calibri" w:hAnsi="Calibri" w:eastAsia="Calibri" w:cs="Calibri"/>
        </w:rPr>
        <w:t xml:space="preserve">they formed an embodied and staged multiplication of labor </w:t>
      </w:r>
      <w:r w:rsidRPr="00F72F13">
        <w:rPr>
          <w:rFonts w:ascii="Calibri" w:hAnsi="Calibri" w:eastAsia="Calibri" w:cs="Calibri"/>
          <w:sz w:val="16"/>
          <w:szCs w:val="16"/>
        </w:rPr>
        <w:t xml:space="preserve">that, despite sharing a certain sentiment and struggle, did not share a common nation or language. Yet, at the same time, together </w:t>
      </w:r>
      <w:r w:rsidRPr="00F72F13">
        <w:rPr>
          <w:rStyle w:val="StyleUnderline"/>
          <w:highlight w:val="green"/>
        </w:rPr>
        <w:t>they created a platform within an occupied space that itself refused representational politics.</w:t>
      </w:r>
      <w:r w:rsidRPr="00F72F13">
        <w:rPr>
          <w:rFonts w:ascii="Calibri" w:hAnsi="Calibri" w:eastAsia="Calibri" w:cs="Calibri"/>
          <w:u w:val="single"/>
        </w:rPr>
        <w:t xml:space="preserve"> </w:t>
      </w:r>
      <w:r w:rsidRPr="00F72F13">
        <w:rPr>
          <w:rStyle w:val="StyleUnderline"/>
        </w:rPr>
        <w:t>Sharing the stage with the politics of crisis, austerity, and the terror of the police state, the activism</w:t>
      </w:r>
      <w:r w:rsidRPr="00F72F13">
        <w:rPr>
          <w:rFonts w:ascii="Calibri" w:hAnsi="Calibri" w:eastAsia="Calibri" w:cs="Calibri"/>
        </w:rPr>
        <w:t xml:space="preserve"> </w:t>
      </w:r>
      <w:r w:rsidRPr="00F72F13">
        <w:rPr>
          <w:rFonts w:ascii="Calibri" w:hAnsi="Calibri" w:eastAsia="Calibri" w:cs="Calibri"/>
          <w:sz w:val="16"/>
          <w:szCs w:val="16"/>
        </w:rPr>
        <w:t xml:space="preserve">of both ELANADISTIKANOUME and the occupying-theatre practitioners </w:t>
      </w:r>
      <w:r w:rsidRPr="00F72F13">
        <w:rPr>
          <w:rStyle w:val="StyleUnderline"/>
        </w:rPr>
        <w:t>is where performance branches out into poesis of resistance and critique,</w:t>
      </w:r>
      <w:r w:rsidRPr="00F72F13">
        <w:rPr>
          <w:rFonts w:ascii="Calibri" w:hAnsi="Calibri" w:eastAsia="Calibri" w:cs="Calibri"/>
          <w:sz w:val="16"/>
          <w:szCs w:val="16"/>
        </w:rPr>
        <w:t xml:space="preserve"> and in so doing reveals contemporary Greek artistic production s changes of presence, to use Raymond Williams s term.48 These </w:t>
      </w:r>
      <w:r w:rsidRPr="00F72F13">
        <w:rPr>
          <w:rStyle w:val="StyleUnderline"/>
        </w:rPr>
        <w:t>different activisms and actions gesture to one another and, at times, merge where [t]he heterogeneity of precarious bodies, actions, frameworks and affective states invites and requires continuous political work of engagement, translation, and alliance, work that veers away from essentialized understandings of identity and representation.</w:t>
      </w:r>
      <w:r w:rsidRPr="00F72F13">
        <w:rPr>
          <w:rFonts w:ascii="Calibri" w:hAnsi="Calibri" w:eastAsia="Calibri" w:cs="Calibri"/>
        </w:rPr>
        <w:t xml:space="preserve"> </w:t>
      </w:r>
      <w:r w:rsidRPr="00F72F13">
        <w:rPr>
          <w:rFonts w:ascii="Calibri" w:hAnsi="Calibri" w:eastAsia="Calibri" w:cs="Calibri"/>
          <w:sz w:val="16"/>
          <w:szCs w:val="16"/>
        </w:rPr>
        <w:t xml:space="preserve">49 This occupation of a theatre that in its effort to take over the means of production is a vital space for living labor; the </w:t>
      </w:r>
      <w:r w:rsidRPr="00F72F13">
        <w:rPr>
          <w:rStyle w:val="StyleUnderline"/>
          <w:highlight w:val="green"/>
        </w:rPr>
        <w:t>performance practices</w:t>
      </w:r>
      <w:r w:rsidRPr="00F72F13">
        <w:rPr>
          <w:rFonts w:ascii="Calibri" w:hAnsi="Calibri" w:eastAsia="Calibri" w:cs="Calibri"/>
        </w:rPr>
        <w:t xml:space="preserve"> </w:t>
      </w:r>
      <w:r w:rsidRPr="00F72F13">
        <w:rPr>
          <w:rFonts w:ascii="Calibri" w:hAnsi="Calibri" w:eastAsia="Calibri" w:cs="Calibri"/>
          <w:sz w:val="16"/>
          <w:szCs w:val="16"/>
        </w:rPr>
        <w:t xml:space="preserve">examined in this essay </w:t>
      </w:r>
      <w:r w:rsidRPr="00F72F13">
        <w:rPr>
          <w:rStyle w:val="StyleUnderline"/>
          <w:highlight w:val="green"/>
        </w:rPr>
        <w:t>demonstrate how the autonomy of movement through engagement, translation, and alliance happens not through an exit, but through immersively breaching the nation-state’s spaces and signs</w:t>
      </w:r>
      <w:r w:rsidRPr="00F72F13">
        <w:rPr>
          <w:rFonts w:ascii="Calibri" w:hAnsi="Calibri" w:eastAsia="Calibri" w:cs="Calibri"/>
        </w:rPr>
        <w:t xml:space="preserve">. </w:t>
      </w:r>
      <w:r w:rsidRPr="00F72F13">
        <w:rPr>
          <w:rFonts w:ascii="Calibri" w:hAnsi="Calibri" w:eastAsia="Calibri" w:cs="Calibri"/>
          <w:sz w:val="16"/>
          <w:szCs w:val="16"/>
        </w:rPr>
        <w:t xml:space="preserve">Moreover, ELANADISTIKANOUME s contestations, matched by the occupiers assertion of their activist presence through their respective performance work, do not promote simplistic notions of political identification and visibility; rather, </w:t>
      </w:r>
      <w:r w:rsidRPr="00F72F13">
        <w:rPr>
          <w:rFonts w:ascii="Calibri" w:hAnsi="Calibri" w:eastAsia="Calibri" w:cs="Calibri"/>
        </w:rPr>
        <w:t>the company demonstrates a process of disidentification</w:t>
      </w:r>
      <w:r w:rsidRPr="00F72F13">
        <w:rPr>
          <w:rFonts w:ascii="Calibri" w:hAnsi="Calibri" w:eastAsia="Calibri" w:cs="Calibri"/>
          <w:sz w:val="16"/>
          <w:szCs w:val="16"/>
        </w:rPr>
        <w:t xml:space="preserve">. José Esteban Muñoz has shown how </w:t>
      </w:r>
      <w:r w:rsidRPr="00F72F13">
        <w:rPr>
          <w:rStyle w:val="StyleUnderline"/>
          <w:highlight w:val="green"/>
        </w:rPr>
        <w:t>disidentifying practitioners do not align themselves with or merely oppose majority culture, but instead metamorphose exclusionary works for their own cultural purposes.</w:t>
      </w:r>
      <w:r w:rsidRPr="00F72F13">
        <w:rPr>
          <w:rFonts w:ascii="Calibri" w:hAnsi="Calibri" w:eastAsia="Calibri" w:cs="Calibri"/>
          <w:sz w:val="16"/>
          <w:szCs w:val="16"/>
        </w:rPr>
        <w:t xml:space="preserve"> As a modality of performance, 50 disidentification is the third mode of dealing with dominant ideology, one that neither opts to assimilate within such a structure nor strictly opposes it. Therefore, </w:t>
      </w:r>
      <w:r w:rsidRPr="00F72F13">
        <w:rPr>
          <w:rStyle w:val="StyleUnderline"/>
        </w:rPr>
        <w:t xml:space="preserve">by working on and against dominant ideology, these disidentificatory performances strategically attempt </w:t>
      </w:r>
      <w:r w:rsidRPr="00F72F13">
        <w:rPr>
          <w:rStyle w:val="StyleUnderline"/>
          <w:highlight w:val="green"/>
        </w:rPr>
        <w:t>to transform a cultural logic from within.</w:t>
      </w:r>
      <w:r w:rsidRPr="00F72F13">
        <w:rPr>
          <w:rFonts w:ascii="Calibri" w:hAnsi="Calibri" w:eastAsia="Calibri" w:cs="Calibri"/>
        </w:rPr>
        <w:t xml:space="preserve"> </w:t>
      </w:r>
      <w:r w:rsidRPr="00F72F13">
        <w:rPr>
          <w:rFonts w:ascii="Calibri" w:hAnsi="Calibri" w:eastAsia="Calibri" w:cs="Calibri"/>
          <w:sz w:val="16"/>
          <w:szCs w:val="16"/>
        </w:rPr>
        <w:t xml:space="preserve">51 Engaging in disidentificatory acts </w:t>
      </w:r>
      <w:r w:rsidRPr="00F72F13">
        <w:rPr>
          <w:rStyle w:val="StyleUnderline"/>
          <w:highlight w:val="green"/>
        </w:rPr>
        <w:t>by way of recycling and rethinking encoded meaning, these acts use this code as raw material for representing a disempowered politics or positionality that has been rendered unthinkable by the dominant culture.</w:t>
      </w:r>
      <w:r w:rsidRPr="00F72F13">
        <w:rPr>
          <w:rFonts w:ascii="Calibri" w:hAnsi="Calibri" w:eastAsia="Calibri" w:cs="Calibri"/>
          <w:highlight w:val="green"/>
        </w:rPr>
        <w:t xml:space="preserve"> </w:t>
      </w:r>
      <w:r w:rsidRPr="00F72F13">
        <w:rPr>
          <w:rFonts w:ascii="Calibri" w:hAnsi="Calibri" w:eastAsia="Calibri" w:cs="Calibri"/>
          <w:sz w:val="16"/>
          <w:szCs w:val="16"/>
        </w:rPr>
        <w:t xml:space="preserve">52 </w:t>
      </w:r>
      <w:r w:rsidRPr="00F72F13">
        <w:rPr>
          <w:rStyle w:val="StyleUnderline"/>
        </w:rPr>
        <w:t>Spoken from within, outside, through, and against institutional spaces, these disidentifying appropriations and saturations produce newly performed transferences and transfigurations</w:t>
      </w:r>
      <w:r w:rsidRPr="00F72F13">
        <w:rPr>
          <w:rFonts w:ascii="Calibri" w:hAnsi="Calibri" w:eastAsia="Calibri" w:cs="Calibri"/>
        </w:rPr>
        <w:t xml:space="preserve">, </w:t>
      </w:r>
      <w:r w:rsidRPr="00F72F13">
        <w:rPr>
          <w:rFonts w:ascii="Calibri" w:hAnsi="Calibri" w:eastAsia="Calibri" w:cs="Calibri"/>
          <w:sz w:val="16"/>
          <w:szCs w:val="16"/>
        </w:rPr>
        <w:t>whether through the revisioning of Greek cultural traditions by an ethnically heterogeneous group of migrant undocumented laborers or the illegal occupation of a state-owned theatre. Following Muñoz,</w:t>
      </w:r>
      <w:r w:rsidRPr="00F72F13">
        <w:rPr>
          <w:rFonts w:ascii="Calibri" w:hAnsi="Calibri" w:eastAsia="Calibri" w:cs="Calibri"/>
          <w:sz w:val="16"/>
          <w:szCs w:val="16"/>
          <w:u w:val="single"/>
        </w:rPr>
        <w:t xml:space="preserve"> </w:t>
      </w:r>
      <w:r w:rsidRPr="00F72F13">
        <w:rPr>
          <w:rStyle w:val="StyleUnderline"/>
          <w:highlight w:val="green"/>
        </w:rPr>
        <w:t>these decidedly queer practices</w:t>
      </w:r>
      <w:r w:rsidRPr="00F72F13">
        <w:rPr>
          <w:rFonts w:ascii="Calibri" w:hAnsi="Calibri" w:eastAsia="Calibri" w:cs="Calibri"/>
        </w:rPr>
        <w:t xml:space="preserve"> </w:t>
      </w:r>
      <w:r w:rsidRPr="00F72F13">
        <w:rPr>
          <w:rFonts w:ascii="Calibri" w:hAnsi="Calibri" w:eastAsia="Calibri" w:cs="Calibri"/>
          <w:sz w:val="16"/>
          <w:szCs w:val="16"/>
        </w:rPr>
        <w:t xml:space="preserve">simultaneously occupy while at the same time </w:t>
      </w:r>
      <w:r w:rsidRPr="00F72F13">
        <w:rPr>
          <w:rStyle w:val="StyleUnderline"/>
          <w:highlight w:val="green"/>
        </w:rPr>
        <w:t>put pressure on and alter hegemonic contexts and conventions</w:t>
      </w:r>
      <w:r w:rsidRPr="00F72F13">
        <w:rPr>
          <w:rFonts w:ascii="Calibri" w:hAnsi="Calibri" w:eastAsia="Calibri" w:cs="Calibri"/>
          <w:sz w:val="16"/>
          <w:szCs w:val="16"/>
          <w:u w:val="single"/>
        </w:rPr>
        <w:t>.</w:t>
      </w:r>
      <w:r w:rsidRPr="00F72F13">
        <w:rPr>
          <w:rFonts w:ascii="Calibri" w:hAnsi="Calibri" w:eastAsia="Calibri" w:cs="Calibri"/>
          <w:sz w:val="16"/>
          <w:szCs w:val="16"/>
        </w:rPr>
        <w:t xml:space="preserve"> Noting that current European discourses around national and continental identities are more often than not centered on the trope of the threatening migrant, Fatima el-Tayeb also evokes Muñoz s theory of disidentification in her analysis of European minority performances as queer practices. For her, </w:t>
      </w:r>
      <w:r w:rsidRPr="00F72F13">
        <w:rPr>
          <w:rStyle w:val="StyleUnderline"/>
        </w:rPr>
        <w:t xml:space="preserve">these queer interventions by minority activists insist that </w:t>
      </w:r>
      <w:r w:rsidRPr="00F72F13">
        <w:rPr>
          <w:rStyle w:val="StyleUnderline"/>
          <w:highlight w:val="green"/>
        </w:rPr>
        <w:t xml:space="preserve">identity is unstable, strategic, shifting, and always performative. . . . Their survival strategies—largely invisible in dominant discourses—are forms of resistance that </w:t>
      </w:r>
      <w:r w:rsidRPr="00F72F13">
        <w:rPr>
          <w:rStyle w:val="StyleUnderline"/>
          <w:highlight w:val="green"/>
        </w:rPr>
        <w:lastRenderedPageBreak/>
        <w:t>destabilize the ascribed essentialist identities</w:t>
      </w:r>
      <w:r w:rsidRPr="00F72F13">
        <w:rPr>
          <w:rStyle w:val="StyleUnderline"/>
        </w:rPr>
        <w:t xml:space="preserve"> not only by rejecting them, but also </w:t>
      </w:r>
      <w:r w:rsidRPr="00F72F13">
        <w:rPr>
          <w:rStyle w:val="StyleUnderline"/>
          <w:highlight w:val="green"/>
        </w:rPr>
        <w:t>through a strategic and creative (mis)use, rearranging a variety of concepts and their interrelations, among them time, space, memory, as well as race, class, nation, gender, and sexuality</w:t>
      </w:r>
      <w:r w:rsidRPr="00F72F13">
        <w:rPr>
          <w:rFonts w:ascii="Calibri" w:hAnsi="Calibri" w:eastAsia="Calibri" w:cs="Calibri"/>
          <w:sz w:val="16"/>
          <w:szCs w:val="16"/>
        </w:rPr>
        <w:t>.53 The discrepant engagements that are the queer rearrangements of space, memory, concepts, and their interrelations expressed in ELANADISTIKANOUME s movements, as well as in the occupied theatre, are sites where performances of political autonomy emerge precisely through a theatrical agency.54 Their performances of indeterminate positionality and presence can happen because their theatrical strategic and creative (mis)use cites difference in commonality. All three of ELANADISTIKANOUME s performances analyzed in this essay speak to Mitropoulos s notion that working-class struggles can occur independently of any given form and level of representation</w:t>
      </w:r>
      <w:r w:rsidRPr="00F72F13">
        <w:t xml:space="preserve">. </w:t>
      </w:r>
      <w:r w:rsidRPr="00F72F13">
        <w:rPr>
          <w:rStyle w:val="StyleUnderline"/>
          <w:highlight w:val="green"/>
        </w:rPr>
        <w:t>Their reworking of rebetika, their interrogation of the figure of the border, and their dissonant Internationale</w:t>
      </w:r>
      <w:r w:rsidRPr="00F72F13">
        <w:rPr>
          <w:rFonts w:ascii="Calibri" w:hAnsi="Calibri" w:eastAsia="Calibri" w:cs="Calibri"/>
        </w:rPr>
        <w:t xml:space="preserve"> —</w:t>
      </w:r>
      <w:r w:rsidRPr="00F72F13">
        <w:rPr>
          <w:rFonts w:ascii="Calibri" w:hAnsi="Calibri" w:eastAsia="Calibri" w:cs="Calibri"/>
          <w:sz w:val="16"/>
          <w:szCs w:val="16"/>
        </w:rPr>
        <w:t xml:space="preserve">performed by an internationally diverse group struggling with the practice of translation— </w:t>
      </w:r>
      <w:r w:rsidRPr="00F72F13">
        <w:rPr>
          <w:rStyle w:val="StyleUnderline"/>
        </w:rPr>
        <w:t>u</w:t>
      </w:r>
      <w:r w:rsidRPr="00F72F13">
        <w:rPr>
          <w:rStyle w:val="StyleUnderline"/>
          <w:highlight w:val="green"/>
        </w:rPr>
        <w:t>ndermine fixed understandings of the seemingly intransigent confines of sovereign states, political organizations, and ideological representations. ELANADISTIKANOUME s beckoning</w:t>
      </w:r>
      <w:r w:rsidRPr="00F72F13">
        <w:rPr>
          <w:rStyle w:val="StyleUnderline"/>
        </w:rPr>
        <w:t>,</w:t>
      </w:r>
      <w:r w:rsidRPr="00F72F13">
        <w:rPr>
          <w:rFonts w:ascii="Calibri" w:hAnsi="Calibri" w:eastAsia="Calibri" w:cs="Calibri"/>
        </w:rPr>
        <w:t xml:space="preserve"> </w:t>
      </w:r>
      <w:r w:rsidRPr="00F72F13">
        <w:rPr>
          <w:rFonts w:ascii="Calibri" w:hAnsi="Calibri" w:eastAsia="Calibri" w:cs="Calibri"/>
          <w:sz w:val="16"/>
          <w:szCs w:val="16"/>
        </w:rPr>
        <w:t xml:space="preserve">with its citing and breaking of custom, </w:t>
      </w:r>
      <w:r w:rsidRPr="00F72F13">
        <w:rPr>
          <w:rStyle w:val="StyleUnderline"/>
          <w:highlight w:val="green"/>
        </w:rPr>
        <w:t>represent[s] a cruising, migrant, improvisational mode of subjectivity, where its expressions and movements can be read as emergence</w:t>
      </w:r>
      <w:r w:rsidRPr="00F72F13">
        <w:rPr>
          <w:rFonts w:ascii="Calibri" w:hAnsi="Calibri" w:eastAsia="Calibri" w:cs="Calibri"/>
        </w:rPr>
        <w:t xml:space="preserve">, as rites of passage, but also a “right” of passage </w:t>
      </w:r>
      <w:r w:rsidRPr="00F72F13">
        <w:rPr>
          <w:rStyle w:val="StyleUnderline"/>
          <w:highlight w:val="green"/>
        </w:rPr>
        <w:t>across borders and spaces of contingency.</w:t>
      </w:r>
      <w:r w:rsidRPr="00F72F13">
        <w:t>5</w:t>
      </w:r>
      <w:r w:rsidRPr="00F72F13">
        <w:rPr>
          <w:rFonts w:ascii="Calibri" w:hAnsi="Calibri" w:eastAsia="Calibri" w:cs="Calibri"/>
        </w:rPr>
        <w:t xml:space="preserve">5 </w:t>
      </w:r>
      <w:r w:rsidRPr="00F72F13">
        <w:rPr>
          <w:rStyle w:val="StyleUnderline"/>
        </w:rPr>
        <w:t>The group’s imaginative mediations of categorical boundaries</w:t>
      </w:r>
      <w:r w:rsidRPr="00F72F13">
        <w:rPr>
          <w:rFonts w:ascii="Calibri" w:hAnsi="Calibri" w:eastAsia="Calibri" w:cs="Calibri"/>
        </w:rPr>
        <w:t xml:space="preserve"> </w:t>
      </w:r>
      <w:r w:rsidRPr="00F72F13">
        <w:rPr>
          <w:rFonts w:ascii="Calibri" w:hAnsi="Calibri" w:eastAsia="Calibri" w:cs="Calibri"/>
          <w:sz w:val="16"/>
          <w:szCs w:val="16"/>
        </w:rPr>
        <w:t xml:space="preserve">and intrinsicalities </w:t>
      </w:r>
      <w:r w:rsidRPr="00F72F13">
        <w:rPr>
          <w:rStyle w:val="StyleUnderline"/>
        </w:rPr>
        <w:t xml:space="preserve">express how the </w:t>
      </w:r>
      <w:r w:rsidRPr="00F72F13">
        <w:rPr>
          <w:rStyle w:val="StyleUnderline"/>
          <w:highlight w:val="green"/>
        </w:rPr>
        <w:t>fluctuations and constraints of time, space, movement, and identity are negotiated</w:t>
      </w:r>
      <w:r w:rsidRPr="00F72F13">
        <w:rPr>
          <w:rFonts w:ascii="Calibri" w:hAnsi="Calibri" w:eastAsia="Calibri" w:cs="Calibri"/>
        </w:rPr>
        <w:t xml:space="preserve"> </w:t>
      </w:r>
      <w:r w:rsidRPr="00F72F13">
        <w:rPr>
          <w:rFonts w:ascii="Calibri" w:hAnsi="Calibri" w:eastAsia="Calibri" w:cs="Calibri"/>
          <w:sz w:val="16"/>
          <w:szCs w:val="16"/>
        </w:rPr>
        <w:t xml:space="preserve">less by static senses of being and knowing and </w:t>
      </w:r>
      <w:r w:rsidRPr="00F72F13">
        <w:rPr>
          <w:rFonts w:ascii="Calibri" w:hAnsi="Calibri" w:eastAsia="Calibri" w:cs="Calibri"/>
        </w:rPr>
        <w:t xml:space="preserve">more </w:t>
      </w:r>
      <w:r w:rsidRPr="00F72F13">
        <w:rPr>
          <w:rStyle w:val="StyleUnderline"/>
          <w:highlight w:val="green"/>
        </w:rPr>
        <w:t>by modes of doing</w:t>
      </w:r>
      <w:r w:rsidRPr="00F72F13">
        <w:rPr>
          <w:rStyle w:val="StyleUnderline"/>
        </w:rPr>
        <w:t>.</w:t>
      </w:r>
      <w:r w:rsidRPr="00F72F13">
        <w:rPr>
          <w:rFonts w:ascii="Calibri" w:hAnsi="Calibri" w:eastAsia="Calibri" w:cs="Calibri"/>
          <w:sz w:val="16"/>
          <w:szCs w:val="16"/>
        </w:rPr>
        <w:t xml:space="preserve"> Therefore, </w:t>
      </w:r>
      <w:r w:rsidRPr="00F72F13">
        <w:rPr>
          <w:rFonts w:ascii="Calibri" w:hAnsi="Calibri" w:eastAsia="Calibri" w:cs="Calibri"/>
        </w:rPr>
        <w:t xml:space="preserve">it becomes profoundly significant that this group calls itself “Come and see what we do.” </w:t>
      </w:r>
      <w:r w:rsidRPr="00F72F13">
        <w:rPr>
          <w:rFonts w:ascii="Calibri" w:hAnsi="Calibri" w:eastAsia="Calibri" w:cs="Calibri"/>
          <w:sz w:val="16"/>
          <w:szCs w:val="16"/>
        </w:rPr>
        <w:t xml:space="preserve">The politics of such performativity is revealed in the performances discussed here, which show, by way of versioning, other ways of being in the world. By way of its doing, </w:t>
      </w:r>
      <w:r w:rsidRPr="00F72F13">
        <w:rPr>
          <w:rFonts w:ascii="Calibri" w:hAnsi="Calibri" w:eastAsia="Calibri" w:cs="Calibri"/>
        </w:rPr>
        <w:t>ELANADISTIKANOUME lives and unleashes those struggles, potentialities, and hopes that proliferating and simultaneously connecting and separating real and imagined borders provoke and make possible</w:t>
      </w:r>
      <w:r w:rsidRPr="00F72F13">
        <w:rPr>
          <w:rFonts w:ascii="Calibri" w:hAnsi="Calibri" w:eastAsia="Calibri" w:cs="Calibri"/>
          <w:sz w:val="16"/>
          <w:szCs w:val="16"/>
        </w:rPr>
        <w:t xml:space="preserve">. </w:t>
      </w:r>
      <w:r w:rsidRPr="00404762">
        <w:rPr>
          <w:rStyle w:val="StyleUnderline"/>
          <w:highlight w:val="green"/>
        </w:rPr>
        <w:t>Taking place in makeshift and improvised rehearsal spaces—community-managed, antiracist, and occupied</w:t>
      </w:r>
      <w:r w:rsidRPr="00F72F13">
        <w:rPr>
          <w:rFonts w:ascii="Calibri" w:hAnsi="Calibri" w:eastAsia="Calibri" w:cs="Calibri"/>
        </w:rPr>
        <w:t xml:space="preserve"> </w:t>
      </w:r>
      <w:r w:rsidRPr="00F72F13">
        <w:rPr>
          <w:rFonts w:ascii="Calibri" w:hAnsi="Calibri" w:eastAsia="Calibri" w:cs="Calibri"/>
          <w:sz w:val="16"/>
          <w:szCs w:val="16"/>
        </w:rPr>
        <w:t xml:space="preserve">Athenian </w:t>
      </w:r>
      <w:r w:rsidRPr="00404762">
        <w:rPr>
          <w:rStyle w:val="StyleUnderline"/>
          <w:highlight w:val="green"/>
        </w:rPr>
        <w:t>sites</w:t>
      </w:r>
      <w:r w:rsidRPr="00404762">
        <w:rPr>
          <w:rStyle w:val="StyleUnderline"/>
        </w:rPr>
        <w:t>—the</w:t>
      </w:r>
      <w:r w:rsidRPr="00404762">
        <w:rPr>
          <w:rStyle w:val="StyleUnderline"/>
          <w:highlight w:val="green"/>
        </w:rPr>
        <w:t xml:space="preserve"> instances of migrant intercultural production</w:t>
      </w:r>
      <w:r w:rsidRPr="00404762">
        <w:rPr>
          <w:rStyle w:val="StyleUnderline"/>
        </w:rPr>
        <w:t xml:space="preserve"> studied can be understood as forcible new phases where improvisations with tight places and possibility necessarily </w:t>
      </w:r>
      <w:r w:rsidRPr="00404762">
        <w:rPr>
          <w:rStyle w:val="StyleUnderline"/>
          <w:highlight w:val="green"/>
        </w:rPr>
        <w:t>unleash and embody transformative rights to the city.</w:t>
      </w:r>
      <w:r w:rsidRPr="00F72F13">
        <w:rPr>
          <w:rFonts w:ascii="Calibri" w:hAnsi="Calibri" w:eastAsia="Calibri" w:cs="Calibri"/>
          <w:sz w:val="16"/>
          <w:szCs w:val="16"/>
        </w:rPr>
        <w:t xml:space="preserve"> These practices allude to those spatial and temporal borderscapes and performancescapes where </w:t>
      </w:r>
      <w:r w:rsidRPr="00F72F13">
        <w:rPr>
          <w:rStyle w:val="StyleUnderline"/>
          <w:highlight w:val="green"/>
        </w:rPr>
        <w:t>the labor of performance makes visible the labor of politics</w:t>
      </w:r>
      <w:r w:rsidRPr="00F72F13">
        <w:rPr>
          <w:rFonts w:ascii="Calibri" w:hAnsi="Calibri" w:eastAsia="Calibri" w:cs="Calibri"/>
          <w:sz w:val="16"/>
          <w:szCs w:val="16"/>
          <w:highlight w:val="green"/>
        </w:rPr>
        <w:t>.</w:t>
      </w:r>
      <w:r w:rsidRPr="00F72F13">
        <w:rPr>
          <w:rFonts w:ascii="Calibri" w:hAnsi="Calibri" w:eastAsia="Calibri" w:cs="Calibri"/>
          <w:sz w:val="16"/>
          <w:szCs w:val="16"/>
        </w:rPr>
        <w:t xml:space="preserve"> For, as Mitropoulos reminds us, </w:t>
      </w:r>
      <w:r w:rsidRPr="00F72F13">
        <w:rPr>
          <w:rStyle w:val="StyleUnderline"/>
          <w:highlight w:val="green"/>
        </w:rPr>
        <w:t>[a]t stake in every politics of border controls is control over the border of the political.</w:t>
      </w:r>
      <w:r w:rsidRPr="00F72F13">
        <w:rPr>
          <w:rFonts w:ascii="Calibri" w:hAnsi="Calibri" w:eastAsia="Calibri" w:cs="Calibri"/>
        </w:rPr>
        <w:t xml:space="preserve"> </w:t>
      </w:r>
      <w:r w:rsidRPr="00F72F13">
        <w:rPr>
          <w:rFonts w:ascii="Calibri" w:hAnsi="Calibri" w:eastAsia="Calibri" w:cs="Calibri"/>
          <w:sz w:val="16"/>
          <w:szCs w:val="16"/>
        </w:rPr>
        <w:t xml:space="preserve">In presenting the act of migration as outside the field of politics, the very definition of what a movement and politics is remains tied to the organisation of dem ocratic representation in a very precise sense, and so, in turn, the terrain in which migration appears as that which must of necessity be controlled, regulated and mediated.56 By attending to Mitropoulos s contribution and paying attention to ELANADISTIKANOUME s performances against the backdrop of rising fascism and nationalism, as well as countering social movements within Greek public and private spheres, I have argued for an inclusive heterogeneous understanding of an antagonistic common manifested through multiple resistances that undermine limited understandings of what constitutes contemporary Greek cultural production, workers and social movements, art and activism. </w:t>
      </w:r>
      <w:r w:rsidRPr="00F72F13">
        <w:rPr>
          <w:rStyle w:val="StyleUnderline"/>
        </w:rPr>
        <w:t>The efforts, courage, and profound risks taken by the people whose work I have examined materialize imaginations emanating from the streets, in the squares, in the occupation of spaces, in the setup of alternative exchanges, in assemblies small and large.</w:t>
      </w:r>
      <w:r w:rsidRPr="00F72F13">
        <w:rPr>
          <w:rFonts w:ascii="Calibri" w:hAnsi="Calibri" w:eastAsia="Calibri" w:cs="Calibri"/>
        </w:rPr>
        <w:t xml:space="preserve"> As economic and humanitarian crises </w:t>
      </w:r>
      <w:r w:rsidRPr="00F72F13">
        <w:rPr>
          <w:rFonts w:ascii="Calibri" w:hAnsi="Calibri" w:eastAsia="Calibri" w:cs="Calibri"/>
          <w:sz w:val="16"/>
          <w:szCs w:val="16"/>
        </w:rPr>
        <w:t xml:space="preserve">in Greece </w:t>
      </w:r>
      <w:r w:rsidRPr="00F72F13">
        <w:rPr>
          <w:rFonts w:ascii="Calibri" w:hAnsi="Calibri" w:eastAsia="Calibri" w:cs="Calibri"/>
        </w:rPr>
        <w:t>deepen</w:t>
      </w:r>
      <w:r w:rsidRPr="00F72F13">
        <w:rPr>
          <w:rFonts w:ascii="Calibri" w:hAnsi="Calibri" w:eastAsia="Calibri" w:cs="Calibri"/>
          <w:sz w:val="16"/>
          <w:szCs w:val="16"/>
        </w:rPr>
        <w:t xml:space="preserve">, </w:t>
      </w:r>
      <w:r w:rsidRPr="00F72F13">
        <w:rPr>
          <w:rStyle w:val="StyleUnderline"/>
          <w:highlight w:val="green"/>
        </w:rPr>
        <w:t>emergent spatial organizations, embodiments, and beings together negotiate with and refuse the state and its discourse through fugitive performances that grapple with the politics and aesthetics of difference, the production of illegality, and political action. As rearrangements in the world, ELANADISTIKANOUME s organizing and disorganizing performances improvise multiple arts and activisms of the uncategorizable possible.</w:t>
      </w:r>
      <w:r w:rsidRPr="00F72F13">
        <w:rPr>
          <w:rStyle w:val="StyleUnderline"/>
        </w:rPr>
        <w:t xml:space="preserve"> </w:t>
      </w:r>
    </w:p>
    <w:p xmlns:wp14="http://schemas.microsoft.com/office/word/2010/wordml" w:rsidRPr="00F72F13" w:rsidR="0082799E" w:rsidP="0082799E" w:rsidRDefault="0082799E" w14:paraId="60061E4C" wp14:textId="77777777">
      <w:r w:rsidRPr="00F72F13">
        <w:tab/>
      </w:r>
      <w:r w:rsidRPr="00F72F13">
        <w:tab/>
      </w:r>
      <w:r w:rsidRPr="00F72F13">
        <w:tab/>
      </w:r>
      <w:r w:rsidRPr="00F72F13">
        <w:tab/>
      </w:r>
    </w:p>
    <w:p xmlns:wp14="http://schemas.microsoft.com/office/word/2010/wordml" w:rsidRPr="00F72F13" w:rsidR="0082799E" w:rsidP="0082799E" w:rsidRDefault="0082799E" w14:paraId="45A3DE30" wp14:textId="77777777">
      <w:pPr>
        <w:pStyle w:val="Heading4"/>
        <w:rPr>
          <w:sz w:val="28"/>
        </w:rPr>
      </w:pPr>
      <w:r w:rsidRPr="00F72F13">
        <w:rPr>
          <w:sz w:val="28"/>
        </w:rPr>
        <w:lastRenderedPageBreak/>
        <w:t>Thus, we affirm border art as a challenge to the machinations of border militarization.</w:t>
      </w:r>
    </w:p>
    <w:p xmlns:wp14="http://schemas.microsoft.com/office/word/2010/wordml" w:rsidRPr="00F72F13" w:rsidR="0082799E" w:rsidP="0082799E" w:rsidRDefault="0082799E" w14:paraId="44EAFD9C" wp14:textId="77777777"/>
    <w:p xmlns:wp14="http://schemas.microsoft.com/office/word/2010/wordml" w:rsidRPr="00F72F13" w:rsidR="0082799E" w:rsidP="0082799E" w:rsidRDefault="0082799E" w14:paraId="18D84FA0" wp14:textId="77777777">
      <w:pPr>
        <w:pStyle w:val="Heading4"/>
        <w:rPr>
          <w:sz w:val="28"/>
        </w:rPr>
      </w:pPr>
      <w:r w:rsidRPr="00F72F13">
        <w:rPr>
          <w:sz w:val="28"/>
        </w:rPr>
        <w:t>The 1ac signifies an infrapolitical act of resistance-- below the threshold of politics as usual, we graffiti on the resolution, subverting it to make room for oppositional meanings.</w:t>
      </w:r>
    </w:p>
    <w:p xmlns:wp14="http://schemas.microsoft.com/office/word/2010/wordml" w:rsidRPr="00F72F13" w:rsidR="0082799E" w:rsidP="0082799E" w:rsidRDefault="0082799E" w14:paraId="1C1EC2AE" wp14:textId="77777777">
      <w:pPr>
        <w:spacing w:line="240" w:lineRule="auto"/>
      </w:pPr>
      <w:r w:rsidRPr="00F72F13">
        <w:rPr>
          <w:rStyle w:val="Style13ptBold"/>
          <w:sz w:val="28"/>
          <w:highlight w:val="white"/>
        </w:rPr>
        <w:t>Marche 12</w:t>
      </w:r>
      <w:r w:rsidRPr="00F72F13">
        <w:rPr>
          <w:color w:val="323232"/>
          <w:highlight w:val="white"/>
        </w:rPr>
        <w:t xml:space="preserve"> [Guillaume. -- associate professor of American Studies at Universite Paris-Est Creteil who specializes in contemporary social movements. «Why Infrapolitics Matters», </w:t>
      </w:r>
      <w:r w:rsidRPr="00F72F13">
        <w:rPr>
          <w:i/>
          <w:color w:val="323232"/>
          <w:highlight w:val="white"/>
        </w:rPr>
        <w:t>Revue française d’études américaines</w:t>
      </w:r>
      <w:r w:rsidRPr="00F72F13">
        <w:rPr>
          <w:color w:val="323232"/>
          <w:highlight w:val="white"/>
        </w:rPr>
        <w:t>, vol. 131, no. 1, 2012, pp. 3-18.]</w:t>
      </w:r>
    </w:p>
    <w:p xmlns:wp14="http://schemas.microsoft.com/office/word/2010/wordml" w:rsidRPr="00404762" w:rsidR="0082799E" w:rsidP="0082799E" w:rsidRDefault="0082799E" w14:paraId="1C530B56" wp14:textId="77777777">
      <w:pPr>
        <w:spacing w:line="240" w:lineRule="auto"/>
        <w:rPr>
          <w:color w:val="1F1F1F"/>
          <w:sz w:val="14"/>
        </w:rPr>
      </w:pPr>
      <w:r w:rsidRPr="00404762">
        <w:rPr>
          <w:color w:val="1F1F1F"/>
          <w:sz w:val="14"/>
        </w:rPr>
        <w:t xml:space="preserve">The concept of infrapolitics was most clearly articulated by anthropologist James C. Scott in his 1990 </w:t>
      </w:r>
      <w:r w:rsidRPr="00404762">
        <w:rPr>
          <w:i/>
          <w:color w:val="1F1F1F"/>
          <w:sz w:val="14"/>
        </w:rPr>
        <w:t>Domination and the Arts of Resistance: Hidden Transcripts</w:t>
      </w:r>
      <w:r w:rsidRPr="00404762">
        <w:rPr>
          <w:color w:val="1F1F1F"/>
          <w:sz w:val="14"/>
        </w:rPr>
        <w:t>, which defines the infrapolitical as the cultural and structural substratum of those more visible forms of action that attract most scholarly attention. “</w:t>
      </w:r>
      <w:r w:rsidRPr="00404762">
        <w:rPr>
          <w:rStyle w:val="StyleUnderline"/>
          <w:highlight w:val="green"/>
        </w:rPr>
        <w:t>So long as we confine our conception of the political to activity that is openly declared</w:t>
      </w:r>
      <w:r w:rsidRPr="00404762">
        <w:rPr>
          <w:color w:val="1F1F1F"/>
          <w:sz w:val="14"/>
        </w:rPr>
        <w:t>,” Scott asserts, “</w:t>
      </w:r>
      <w:r w:rsidRPr="00404762">
        <w:rPr>
          <w:rStyle w:val="StyleUnderline"/>
          <w:highlight w:val="green"/>
        </w:rPr>
        <w:t>we are driven to conclude that subordinate groups essentially lack a political life or that what political life they do have is restricted to those exceptional moments of popular explosion</w:t>
      </w:r>
      <w:r w:rsidRPr="00404762">
        <w:rPr>
          <w:rStyle w:val="StyleUnderline"/>
        </w:rPr>
        <w:t xml:space="preserve">” </w:t>
      </w:r>
      <w:r w:rsidRPr="00404762">
        <w:rPr>
          <w:color w:val="1F1F1F"/>
          <w:sz w:val="14"/>
        </w:rPr>
        <w:t xml:space="preserve">(1990, 199). </w:t>
      </w:r>
      <w:r w:rsidRPr="00404762">
        <w:rPr>
          <w:rStyle w:val="StyleUnderline"/>
        </w:rPr>
        <w:t>By focusing on subaltern people Scott has challenged scholarship on dissent and protest to reassess the definition of interventions in the public sphere.</w:t>
      </w:r>
      <w:r w:rsidRPr="00404762">
        <w:rPr>
          <w:color w:val="1F1F1F"/>
          <w:sz w:val="14"/>
        </w:rPr>
        <w:t xml:space="preserve"> One of his contributions to an understanding of not quite political forms of action is his critique of the “safety valve” theory—the notion, for instance, that carnivals offer opportunities for cathartic representations of rebellion, which in turn deflect the possibility of actual rebellion. On the contrary, Scott claims, </w:t>
      </w:r>
      <w:r w:rsidRPr="00404762">
        <w:rPr>
          <w:rStyle w:val="StyleUnderline"/>
          <w:highlight w:val="green"/>
        </w:rPr>
        <w:t>historical records document the occurrence of slave, peasant, and serf rebellions during carnivals</w:t>
      </w:r>
      <w:r w:rsidRPr="00404762">
        <w:rPr>
          <w:rStyle w:val="StyleUnderline"/>
        </w:rPr>
        <w:t xml:space="preserve"> </w:t>
      </w:r>
      <w:r w:rsidRPr="00404762">
        <w:rPr>
          <w:color w:val="1F1F1F"/>
          <w:sz w:val="14"/>
        </w:rPr>
        <w:t xml:space="preserve">(1990 172-182, 188). </w:t>
      </w:r>
      <w:r w:rsidRPr="00404762">
        <w:rPr>
          <w:rStyle w:val="StyleUnderline"/>
          <w:highlight w:val="green"/>
        </w:rPr>
        <w:t>Subaltern forms of resistance produce “hidden transcripts,” that is to say critiques of power that escape the notice of the dominant and contrast with the “public transcripts” of power relations, which may contain no record of opposition. Such discretion allows the dominated to covertly resist being symbolically appropriated by the dominant. “[T]heft, pilfering, feigned ignorance, shirking or careless labor, foot-dragging, secret trade and production for sale, sabotage of crops, livestock, and machinery, arson, flight” are among the stratagems through which the dominated surreptitiously counter or minimize their material appropriation</w:t>
      </w:r>
      <w:r w:rsidRPr="00404762">
        <w:rPr>
          <w:color w:val="1F1F1F"/>
          <w:sz w:val="14"/>
        </w:rPr>
        <w:t xml:space="preserve"> (1990 188). Not only do these hidden transcripts </w:t>
      </w:r>
      <w:r w:rsidRPr="00404762">
        <w:rPr>
          <w:i/>
          <w:color w:val="1F1F1F"/>
          <w:sz w:val="14"/>
        </w:rPr>
        <w:t xml:space="preserve">not </w:t>
      </w:r>
      <w:r w:rsidRPr="00404762">
        <w:rPr>
          <w:color w:val="1F1F1F"/>
          <w:sz w:val="14"/>
        </w:rPr>
        <w:t xml:space="preserve">hamper actual resistance, Scott argues, they “sustain resistance in the same way in which the informal peer pressure of factory workers discourage any individual worker from exceeding work norms and becoming a rate-buster” (1990 191). </w:t>
      </w:r>
      <w:r w:rsidRPr="00F72F13">
        <w:rPr>
          <w:b/>
          <w:color w:val="1F1F1F"/>
          <w:highlight w:val="green"/>
          <w:u w:val="single"/>
        </w:rPr>
        <w:t>Infrapolitical acts thus operate insidiously, beneath the threshold of political detectability, which makes them all the more reliable vehicles of resistance: the less detectable they are, the more efficiently they conceal the resistance they inspire in the dominated</w:t>
      </w:r>
      <w:r w:rsidRPr="00404762">
        <w:rPr>
          <w:color w:val="1F1F1F"/>
          <w:sz w:val="14"/>
        </w:rPr>
        <w:t xml:space="preserve">. </w:t>
      </w:r>
      <w:r w:rsidRPr="00F72F13">
        <w:rPr>
          <w:color w:val="1F1F1F"/>
          <w:u w:val="single"/>
        </w:rPr>
        <w:t xml:space="preserve">Infrapolitical forms of resistance thus do matter politically, because these </w:t>
      </w:r>
      <w:r w:rsidRPr="00404762">
        <w:rPr>
          <w:rStyle w:val="StyleUnderline"/>
        </w:rPr>
        <w:t>“</w:t>
      </w:r>
      <w:r w:rsidRPr="00404762">
        <w:rPr>
          <w:rStyle w:val="StyleUnderline"/>
          <w:highlight w:val="green"/>
        </w:rPr>
        <w:t>offstage” discursive practices are “continually pressing against the limit of what is permitted onstage</w:t>
      </w:r>
      <w:r w:rsidRPr="00404762">
        <w:rPr>
          <w:rStyle w:val="StyleUnderline"/>
        </w:rPr>
        <w:t>, much as a body of water might press against a dam”</w:t>
      </w:r>
      <w:r w:rsidRPr="00404762">
        <w:rPr>
          <w:color w:val="1F1F1F"/>
          <w:sz w:val="14"/>
        </w:rPr>
        <w:t xml:space="preserve"> (Scott, 1990 196). </w:t>
      </w:r>
      <w:r w:rsidRPr="00404762">
        <w:rPr>
          <w:rStyle w:val="StyleUnderline"/>
          <w:highlight w:val="green"/>
        </w:rPr>
        <w:t>Unobtrusive acts of insubordination not only exact a cost on the dominant, but they represent a threat if they are not held under check—and they cannot be held under check for lack of being noticed</w:t>
      </w:r>
      <w:r w:rsidRPr="00F72F13">
        <w:rPr>
          <w:color w:val="1F1F1F"/>
          <w:u w:val="single"/>
        </w:rPr>
        <w:t>,</w:t>
      </w:r>
      <w:r w:rsidRPr="00404762">
        <w:rPr>
          <w:color w:val="1F1F1F"/>
          <w:sz w:val="14"/>
        </w:rPr>
        <w:t xml:space="preserve"> as Scott shows in his 1985 study of a small village in Malaysia, </w:t>
      </w:r>
      <w:r w:rsidRPr="00404762">
        <w:rPr>
          <w:i/>
          <w:color w:val="1F1F1F"/>
          <w:sz w:val="14"/>
        </w:rPr>
        <w:t>Weapons of the Weak: Everyday Forms of Peasant Resistance</w:t>
      </w:r>
      <w:r w:rsidRPr="00404762">
        <w:rPr>
          <w:color w:val="1F1F1F"/>
          <w:sz w:val="14"/>
        </w:rPr>
        <w:t xml:space="preserve">, which is also reminiscent of Eric Hobsbawm’s work on marginal rebellions in Europe in the nineteenth and twentieth centuries. Scott’s work thus raises crucial questions for this edited issue on infrapolitics and mobilizations, especially whether or not—or under which historical or social circumstances—actors go below the political radar for lack of opportunities to use institutional channels or conventional vehicles of collective action. This is, in part, why some analysts have characterized the 2005 urban riots in France as infrapolitical: the upsurge of rebellion expressed a sense of exasperation and outrage at being denied recognition and respect, on the part of youths of immigrant origin living in impoverished neighborhoods, whether it is to be regarded as a form of collective action unto itself despite its unorthodox form (Lapeyronnie), or as the nascent stage of a more distinctly political mobilization via elections or advocacy (Kokoreff). This issue of the </w:t>
      </w:r>
      <w:r w:rsidRPr="00404762">
        <w:rPr>
          <w:i/>
          <w:color w:val="1F1F1F"/>
          <w:sz w:val="14"/>
        </w:rPr>
        <w:t>Revue française d’études américaines</w:t>
      </w:r>
      <w:r w:rsidRPr="00404762">
        <w:rPr>
          <w:color w:val="1F1F1F"/>
          <w:sz w:val="14"/>
        </w:rPr>
        <w:t xml:space="preserve"> partly corroborates this view. Sandrine Baudry shows how disenfranchised urban populations use “greening”—i.e. urban horticulture and agriculture—in order to stake out their legitimate position as city denizens, in the face of a for-profit, privatized model of urbanism. Aline Macke presents young American Muslims’ use of punk-rock music as a way of shaping a collective identity in a social and political environment that pigeonholes them into categories with which they do not identify. To some extent, Jean-Baptiste Velut concurs with this view in his analysis of the student anti-sweatshop movement’s use of extra-governmental strategies, which argues that consumption-related means of action allow organizers to keep collective mobilization closer to their target audience’s biographical experience. But Scott’s definition of </w:t>
      </w:r>
      <w:r w:rsidRPr="00404762">
        <w:rPr>
          <w:rStyle w:val="StyleUnderline"/>
        </w:rPr>
        <w:t>infrapolitics is also an invitation to pay attention to the relationship between the medium and the signification of infrapolitical protest, resistance, and mobilization:</w:t>
      </w:r>
      <w:r w:rsidRPr="00F72F13">
        <w:rPr>
          <w:color w:val="1F1F1F"/>
          <w:u w:val="single"/>
        </w:rPr>
        <w:t xml:space="preserve"> </w:t>
      </w:r>
      <w:r w:rsidRPr="00404762">
        <w:rPr>
          <w:color w:val="1F1F1F"/>
          <w:sz w:val="14"/>
        </w:rPr>
        <w:t>we may hypothesize that</w:t>
      </w:r>
      <w:r w:rsidRPr="00F72F13">
        <w:rPr>
          <w:color w:val="1F1F1F"/>
          <w:u w:val="single"/>
        </w:rPr>
        <w:t xml:space="preserve"> </w:t>
      </w:r>
      <w:r w:rsidRPr="00F72F13">
        <w:rPr>
          <w:color w:val="1F1F1F"/>
          <w:highlight w:val="green"/>
          <w:u w:val="single"/>
        </w:rPr>
        <w:t xml:space="preserve">certain significations can </w:t>
      </w:r>
      <w:r w:rsidRPr="00F72F13">
        <w:rPr>
          <w:color w:val="1F1F1F"/>
          <w:highlight w:val="green"/>
          <w:u w:val="single"/>
        </w:rPr>
        <w:lastRenderedPageBreak/>
        <w:t xml:space="preserve">only or will best be expressed in stealthy or discredited ways, and that the </w:t>
      </w:r>
      <w:r w:rsidRPr="00404762">
        <w:rPr>
          <w:rStyle w:val="StyleUnderline"/>
          <w:highlight w:val="green"/>
        </w:rPr>
        <w:t>choice of informal or marginal channels may be the condition for the reception of certain meanings.</w:t>
      </w:r>
      <w:r w:rsidRPr="00404762">
        <w:rPr>
          <w:rStyle w:val="StyleUnderline"/>
        </w:rPr>
        <w:t xml:space="preserve"> </w:t>
      </w:r>
      <w:r w:rsidRPr="00404762">
        <w:rPr>
          <w:color w:val="1F1F1F"/>
          <w:sz w:val="14"/>
        </w:rPr>
        <w:t xml:space="preserve">This is what some of the following essays emphasize. In his piece on the 1943 zoot-suit riots in Los Angeles, Luis Alvarez shows social actors who forcefully challenged the contours of the national polity. Rather than compensating for lack of opportunities, my own contribution argues, </w:t>
      </w:r>
      <w:r w:rsidRPr="00F72F13">
        <w:rPr>
          <w:b/>
          <w:color w:val="1F1F1F"/>
          <w:highlight w:val="green"/>
          <w:u w:val="single"/>
        </w:rPr>
        <w:t>protest graffiti can constitute powerful forms of infrapolitical mobilization because they have the potential to convey alternative oppositional meanings.</w:t>
      </w:r>
      <w:r w:rsidRPr="00404762">
        <w:rPr>
          <w:color w:val="1F1F1F"/>
          <w:sz w:val="14"/>
        </w:rPr>
        <w:t xml:space="preserve"> Benjamin Shepard also insists that the Church Ladies for Choice contribute to an LGBT mobilization for abortion rights by deploying play, humor, and emotions such as friendship and mutual support. More generally, Baudry, Shepard, and I all refer to the legacy of situationist strategies of “</w:t>
      </w:r>
      <w:r w:rsidRPr="00404762">
        <w:rPr>
          <w:i/>
          <w:color w:val="1F1F1F"/>
          <w:sz w:val="14"/>
        </w:rPr>
        <w:t>détournement</w:t>
      </w:r>
      <w:r w:rsidRPr="00404762">
        <w:rPr>
          <w:color w:val="1F1F1F"/>
          <w:sz w:val="14"/>
        </w:rPr>
        <w:t xml:space="preserve">” whereby conventional signs are subverted to articulate oppositional messages. In this way, too, </w:t>
      </w:r>
      <w:r w:rsidRPr="00F72F13">
        <w:rPr>
          <w:rStyle w:val="StyleUnderline"/>
          <w:highlight w:val="green"/>
        </w:rPr>
        <w:t>infrapolitical forms of mobilization</w:t>
      </w:r>
      <w:r w:rsidRPr="00404762">
        <w:rPr>
          <w:sz w:val="14"/>
        </w:rPr>
        <w:t xml:space="preserve"> </w:t>
      </w:r>
      <w:r w:rsidRPr="00404762">
        <w:rPr>
          <w:color w:val="1F1F1F"/>
          <w:sz w:val="14"/>
        </w:rPr>
        <w:t xml:space="preserve">are akin to the “tactics” which Michel de Certeau contrasts with “strategies”: these “apparently meaningless” practices </w:t>
      </w:r>
      <w:r w:rsidRPr="00404762">
        <w:rPr>
          <w:rStyle w:val="StyleUnderline"/>
        </w:rPr>
        <w:t xml:space="preserve">can </w:t>
      </w:r>
      <w:r w:rsidRPr="00404762">
        <w:rPr>
          <w:rStyle w:val="StyleUnderline"/>
          <w:highlight w:val="green"/>
        </w:rPr>
        <w:t>express resistance, since “they remain heterogeneous to the systems they infiltrate and in which they sketch out the guileful ruses of different interests and desires”</w:t>
      </w:r>
      <w:r w:rsidRPr="00404762">
        <w:rPr>
          <w:rStyle w:val="StyleUnderline"/>
        </w:rPr>
        <w:t xml:space="preserve"> </w:t>
      </w:r>
      <w:r w:rsidRPr="00404762">
        <w:rPr>
          <w:color w:val="1F1F1F"/>
          <w:sz w:val="14"/>
        </w:rPr>
        <w:t>(34).</w:t>
      </w:r>
    </w:p>
    <w:p xmlns:wp14="http://schemas.microsoft.com/office/word/2010/wordml" w:rsidRPr="00F72F13" w:rsidR="0082799E" w:rsidP="0082799E" w:rsidRDefault="0082799E" w14:paraId="4B94D5A5" wp14:textId="77777777"/>
    <w:p xmlns:wp14="http://schemas.microsoft.com/office/word/2010/wordml" w:rsidR="0082799E" w:rsidP="0082799E" w:rsidRDefault="0082799E" w14:paraId="3069C51B" wp14:textId="77777777">
      <w:pPr>
        <w:pStyle w:val="Heading2"/>
      </w:pPr>
      <w:r>
        <w:lastRenderedPageBreak/>
        <w:t>AFF Extensions</w:t>
      </w:r>
    </w:p>
    <w:p xmlns:wp14="http://schemas.microsoft.com/office/word/2010/wordml" w:rsidR="0082799E" w:rsidP="0082799E" w:rsidRDefault="0082799E" w14:paraId="243D43E7" wp14:textId="77777777">
      <w:pPr>
        <w:pStyle w:val="Heading3"/>
      </w:pPr>
      <w:r>
        <w:lastRenderedPageBreak/>
        <w:t>Framing: Trump</w:t>
      </w:r>
    </w:p>
    <w:p xmlns:wp14="http://schemas.microsoft.com/office/word/2010/wordml" w:rsidRPr="00033B7D" w:rsidR="0082799E" w:rsidP="0082799E" w:rsidRDefault="0082799E" w14:paraId="6CA8EA79" wp14:textId="77777777">
      <w:pPr>
        <w:pStyle w:val="Heading4"/>
        <w:rPr>
          <w:rFonts w:cs="Arial"/>
        </w:rPr>
      </w:pPr>
      <w:r w:rsidRPr="00033B7D">
        <w:rPr>
          <w:rFonts w:cs="Arial"/>
        </w:rPr>
        <w:t>Art on the US-Mexico border wall has massive historical and political significance and the wall that trump wants to build would erase that by destroying the art then building a wall with new government sponsored art.</w:t>
      </w:r>
    </w:p>
    <w:p xmlns:wp14="http://schemas.microsoft.com/office/word/2010/wordml" w:rsidRPr="00033B7D" w:rsidR="0082799E" w:rsidP="0082799E" w:rsidRDefault="0082799E" w14:paraId="38330312" wp14:textId="77777777">
      <w:r w:rsidRPr="00033B7D">
        <w:rPr>
          <w:rStyle w:val="Style13ptBold"/>
        </w:rPr>
        <w:t>Kirchhoff 2012</w:t>
      </w:r>
      <w:r w:rsidRPr="00033B7D">
        <w:t xml:space="preserve"> [Kirchhoff, Natalie. </w:t>
      </w:r>
      <w:r w:rsidRPr="00033B7D">
        <w:rPr>
          <w:i/>
        </w:rPr>
        <w:t>Art As Resistance On The Mexican-American Border</w:t>
      </w:r>
      <w:r w:rsidRPr="00033B7D">
        <w:t>. Washington University Political Review, 2012]//MMS</w:t>
      </w:r>
    </w:p>
    <w:p xmlns:wp14="http://schemas.microsoft.com/office/word/2010/wordml" w:rsidRPr="00033B7D" w:rsidR="0082799E" w:rsidP="0082799E" w:rsidRDefault="0082799E" w14:paraId="1D5BB483" wp14:textId="77777777">
      <w:pPr>
        <w:pStyle w:val="NormalWeb"/>
        <w:rPr>
          <w:rStyle w:val="StyleUnderline"/>
          <w:rFonts w:ascii="Arial" w:hAnsi="Arial" w:cs="Arial"/>
        </w:rPr>
      </w:pPr>
      <w:r w:rsidRPr="00033B7D">
        <w:rPr>
          <w:rFonts w:ascii="Arial" w:hAnsi="Arial" w:cs="Arial"/>
          <w:sz w:val="16"/>
        </w:rPr>
        <w:t xml:space="preserve">At a press conference in September, Republican presidential hopeful </w:t>
      </w:r>
      <w:r w:rsidRPr="00033B7D">
        <w:rPr>
          <w:rStyle w:val="StyleUnderline"/>
          <w:rFonts w:ascii="Arial" w:hAnsi="Arial" w:cs="Arial"/>
        </w:rPr>
        <w:t>Donald Trump announced his desire to build a wall comparable</w:t>
      </w:r>
      <w:r w:rsidRPr="00033B7D">
        <w:rPr>
          <w:rFonts w:ascii="Arial" w:hAnsi="Arial" w:cs="Arial"/>
          <w:sz w:val="16"/>
        </w:rPr>
        <w:t xml:space="preserve"> to the Great Wall of China </w:t>
      </w:r>
      <w:r w:rsidRPr="00033B7D">
        <w:rPr>
          <w:rStyle w:val="StyleUnderline"/>
          <w:rFonts w:ascii="Arial" w:hAnsi="Arial" w:cs="Arial"/>
        </w:rPr>
        <w:t>along the Mexican-American border</w:t>
      </w:r>
      <w:r w:rsidRPr="00033B7D">
        <w:rPr>
          <w:rFonts w:ascii="Arial" w:hAnsi="Arial" w:cs="Arial"/>
          <w:sz w:val="16"/>
        </w:rPr>
        <w:t xml:space="preserve">. Aptly referred to as the “Greater Wall,” </w:t>
      </w:r>
      <w:r w:rsidRPr="00033B7D">
        <w:rPr>
          <w:rStyle w:val="StyleUnderline"/>
          <w:rFonts w:ascii="Arial" w:hAnsi="Arial" w:cs="Arial"/>
        </w:rPr>
        <w:t xml:space="preserve">Trump described the endeavor not just as a physical demarcation between the two countries, but as an exhibition of art. Claiming that thousands of artists would be commissioned to work on the wall, Trump declared that the project would be “the biggest and best piece of art ever made about the issues surrounding immigration, or about anything else, for that matter.” </w:t>
      </w:r>
      <w:r w:rsidRPr="00033B7D">
        <w:rPr>
          <w:rFonts w:ascii="Arial" w:hAnsi="Arial" w:cs="Arial"/>
          <w:sz w:val="16"/>
        </w:rPr>
        <w:t xml:space="preserve">As a highly politicized location, the Mexican- American border is commonly regarded as a physical representation of a polarizing debate over immigration, holding significance for residents within both countries. As presented in media-driven political discourse, </w:t>
      </w:r>
      <w:r w:rsidRPr="00033B7D">
        <w:rPr>
          <w:rStyle w:val="StyleUnderline"/>
          <w:rFonts w:ascii="Arial" w:hAnsi="Arial" w:cs="Arial"/>
        </w:rPr>
        <w:t>the border is often reduced to a spatial representation of unequal power dynamics and contentious policy debates</w:t>
      </w:r>
      <w:r w:rsidRPr="00033B7D">
        <w:rPr>
          <w:rFonts w:ascii="Arial" w:hAnsi="Arial" w:cs="Arial"/>
          <w:sz w:val="16"/>
        </w:rPr>
        <w:t xml:space="preserve">. In a similarly reductive fashion, </w:t>
      </w:r>
      <w:r w:rsidRPr="00033B7D">
        <w:rPr>
          <w:rStyle w:val="StyleUnderline"/>
          <w:rFonts w:ascii="Arial" w:hAnsi="Arial" w:cs="Arial"/>
        </w:rPr>
        <w:t xml:space="preserve">Trump’s aforementioned proposal of transforming the border into an art exhibition woefully ignores the reality of this 1,989-mile stretch. In actuality, the border has artistic integrity within Mexican and American communities alike that transcends its simplistic mainstream media portrayal. Art along the Mexican-American border reveals the politicization of immigration and other intersectional issues, demonstrating how these concerns affect people living on both sides of the divide. </w:t>
      </w:r>
      <w:r w:rsidRPr="00033B7D">
        <w:rPr>
          <w:rFonts w:ascii="Arial" w:hAnsi="Arial" w:cs="Arial"/>
          <w:sz w:val="16"/>
        </w:rPr>
        <w:t xml:space="preserve">The Mexican-American border has become a central location for artistic expression that invokes Mexico’s storied history of muralism, which extends to the country’s postrevolutionary period. Starting in the 1920s, there was an emergence of muralist work in Mexico that conveyed social and political messages of the era. Spearheaded by renowned artists like Diego Rivera, José Clemente Orozco, and David Alfaro Siqueiros, </w:t>
      </w:r>
      <w:r w:rsidRPr="00033B7D">
        <w:rPr>
          <w:rStyle w:val="StyleUnderline"/>
          <w:rFonts w:ascii="Arial" w:hAnsi="Arial" w:cs="Arial"/>
        </w:rPr>
        <w:t>Mexican muralism was a way to express political commentary through publically accessible art. This movement remains influential to this day</w:t>
      </w:r>
      <w:r w:rsidRPr="00033B7D">
        <w:rPr>
          <w:rFonts w:ascii="Arial" w:hAnsi="Arial" w:cs="Arial"/>
          <w:sz w:val="16"/>
        </w:rPr>
        <w:t>, as evidenced by the modern day creation of murals both on and off the border that reveal personal reflections on immigration and other social or political concerns. In the neomuralist movement reflected in art along the border, there has been a shift away from murals commissioned by the government towards art that is created by and for the public.</w:t>
      </w:r>
      <w:r w:rsidRPr="00033B7D">
        <w:rPr>
          <w:rStyle w:val="StyleUnderline"/>
          <w:rFonts w:ascii="Arial" w:hAnsi="Arial" w:cs="Arial"/>
        </w:rPr>
        <w:t xml:space="preserve"> The art along the border is a representation of this current muralism that embraces the modern day street art movement and provokes social commentary through publicly accessible works. The artwork on either side of the border offers a social and political commentary on issues of immigration and individual lives, and seeks to both represent and include the populations that not only are affected by these issues, but also those who physically occupy spaces along the border. Artwork along the border can serve a dual purpose of not just conveying a political or social message, but also unifying communities through its creation</w:t>
      </w:r>
      <w:r w:rsidRPr="00033B7D">
        <w:rPr>
          <w:rFonts w:ascii="Arial" w:hAnsi="Arial" w:cs="Arial"/>
          <w:sz w:val="16"/>
        </w:rPr>
        <w:t xml:space="preserve">. One such example of this were efforts by people on both sides of the border in 2011 to save a mural painted on the border in Nogales, Arizona. The work in question, </w:t>
      </w:r>
      <w:r w:rsidRPr="00033B7D">
        <w:rPr>
          <w:rStyle w:val="Emphasis"/>
          <w:rFonts w:eastAsiaTheme="majorEastAsia"/>
          <w:b w:val="0"/>
        </w:rPr>
        <w:t>Vida y Sueños de la Cañada Perla</w:t>
      </w:r>
      <w:r w:rsidRPr="00033B7D">
        <w:rPr>
          <w:rStyle w:val="StyleUnderline"/>
          <w:rFonts w:ascii="Arial" w:hAnsi="Arial" w:cs="Arial"/>
        </w:rPr>
        <w:t>, is a replica of a 1998 mural by Tzetzal Indians that was created after they declared their allegiance with the Zapatistas, an indigenous revolutionary group</w:t>
      </w:r>
      <w:r w:rsidRPr="00033B7D">
        <w:rPr>
          <w:rFonts w:ascii="Arial" w:hAnsi="Arial" w:cs="Arial"/>
          <w:sz w:val="16"/>
        </w:rPr>
        <w:t xml:space="preserve">. The original 1998 mural featured images of revolutionary figures like Emiliano Zapata and Ricardo Flores Mago and was considered an expression of autonomy and rebellion against the Mexican government. However, </w:t>
      </w:r>
      <w:r w:rsidRPr="00033B7D">
        <w:rPr>
          <w:rStyle w:val="StyleUnderline"/>
          <w:rFonts w:ascii="Arial" w:hAnsi="Arial" w:cs="Arial"/>
        </w:rPr>
        <w:t xml:space="preserve">shortly after its creation, Mexican troops invaded the village, leading to its destruction. </w:t>
      </w:r>
      <w:r w:rsidRPr="00033B7D">
        <w:rPr>
          <w:rFonts w:ascii="Arial" w:hAnsi="Arial" w:cs="Arial"/>
          <w:sz w:val="16"/>
        </w:rPr>
        <w:t xml:space="preserve">As a response to the destruction of the original </w:t>
      </w:r>
      <w:r w:rsidRPr="00033B7D">
        <w:rPr>
          <w:rStyle w:val="Emphasis"/>
          <w:rFonts w:eastAsiaTheme="majorEastAsia"/>
          <w:b w:val="0"/>
          <w:sz w:val="16"/>
          <w:u w:val="none"/>
        </w:rPr>
        <w:t>Vida y Sueños de la Cañada Perla</w:t>
      </w:r>
      <w:r w:rsidRPr="00033B7D">
        <w:rPr>
          <w:rFonts w:ascii="Arial" w:hAnsi="Arial" w:cs="Arial"/>
          <w:sz w:val="16"/>
        </w:rPr>
        <w:t xml:space="preserve">, replicas of the mural were created as symbols of solidarity in Barcelona, Madrid, Florence, and Mexico City, among other cities. In 2005, </w:t>
      </w:r>
      <w:r w:rsidRPr="00033B7D">
        <w:rPr>
          <w:rStyle w:val="StyleUnderline"/>
          <w:rFonts w:ascii="Arial" w:hAnsi="Arial" w:cs="Arial"/>
        </w:rPr>
        <w:t xml:space="preserve">people from Mexico and the United States joined forces to replicate the sixty-foot long mural along the border wall in Nogales. Although the political origins of the mural did not address the same issues found in the modern day debate over immigration, the original intention takes on a new life on the border wall. For example, one part of the mural features the words </w:t>
      </w:r>
      <w:r w:rsidRPr="00033B7D">
        <w:rPr>
          <w:rStyle w:val="Emphasis"/>
          <w:rFonts w:eastAsiaTheme="majorEastAsia"/>
          <w:b w:val="0"/>
        </w:rPr>
        <w:t xml:space="preserve">La tierra es </w:t>
      </w:r>
      <w:r w:rsidRPr="00033B7D">
        <w:rPr>
          <w:rStyle w:val="Emphasis"/>
          <w:rFonts w:eastAsiaTheme="majorEastAsia"/>
          <w:b w:val="0"/>
        </w:rPr>
        <w:lastRenderedPageBreak/>
        <w:t>de quien la trabaja</w:t>
      </w:r>
      <w:r w:rsidRPr="00033B7D">
        <w:rPr>
          <w:rStyle w:val="StyleUnderline"/>
          <w:rFonts w:ascii="Arial" w:hAnsi="Arial" w:cs="Arial"/>
        </w:rPr>
        <w:t xml:space="preserve">, which roughly translates to “The land belongs to those who work it.” While this was originally used in reference to indigenous villagers rebelling against the Mexican government, these words take on new meaning in the context of migrant workers crossing the border. </w:t>
      </w:r>
      <w:r w:rsidRPr="00033B7D">
        <w:rPr>
          <w:rFonts w:ascii="Arial" w:hAnsi="Arial" w:cs="Arial"/>
          <w:sz w:val="16"/>
        </w:rPr>
        <w:t xml:space="preserve">In 2011, the Nogales replica of </w:t>
      </w:r>
      <w:r w:rsidRPr="00033B7D">
        <w:rPr>
          <w:rStyle w:val="Emphasis"/>
          <w:rFonts w:eastAsiaTheme="majorEastAsia"/>
          <w:b w:val="0"/>
        </w:rPr>
        <w:t>Vida y Sueños de la Cañada Perla</w:t>
      </w:r>
      <w:r w:rsidRPr="00033B7D">
        <w:rPr>
          <w:rStyle w:val="Emphasis"/>
          <w:rFonts w:eastAsiaTheme="majorEastAsia"/>
        </w:rPr>
        <w:t xml:space="preserve"> </w:t>
      </w:r>
      <w:r w:rsidRPr="00033B7D">
        <w:rPr>
          <w:rStyle w:val="StyleUnderline"/>
          <w:rFonts w:ascii="Arial" w:hAnsi="Arial" w:cs="Arial"/>
        </w:rPr>
        <w:t>was threatened with removal when a new barrier replaced the original fence that the mural was created on</w:t>
      </w:r>
      <w:r w:rsidRPr="00033B7D">
        <w:rPr>
          <w:rFonts w:ascii="Arial" w:hAnsi="Arial" w:cs="Arial"/>
          <w:sz w:val="16"/>
        </w:rPr>
        <w:t xml:space="preserve">. However, </w:t>
      </w:r>
      <w:r w:rsidRPr="00033B7D">
        <w:rPr>
          <w:rStyle w:val="StyleUnderline"/>
          <w:rFonts w:ascii="Arial" w:hAnsi="Arial" w:cs="Arial"/>
        </w:rPr>
        <w:t>when it appeared that this mural would be destroyed, people in both Arizona and Mexico worked together to preserve not only this mural, but to save other art and graffiti from the fence</w:t>
      </w:r>
      <w:r w:rsidRPr="00033B7D">
        <w:rPr>
          <w:rFonts w:ascii="Arial" w:hAnsi="Arial" w:cs="Arial"/>
          <w:sz w:val="16"/>
        </w:rPr>
        <w:t xml:space="preserve">. Through a community effort, the mural was saved with the intention of eventually restoring the mural back to the border wall. </w:t>
      </w:r>
      <w:r w:rsidRPr="00033B7D">
        <w:rPr>
          <w:rStyle w:val="StyleUnderline"/>
          <w:rFonts w:ascii="Arial" w:hAnsi="Arial" w:cs="Arial"/>
        </w:rPr>
        <w:t>Because both the creation and preservation of art along the border is a form of resistance and solidarity, these efforts were critical for protecting the integrity of these works as cultural artifacts.</w:t>
      </w:r>
      <w:r w:rsidRPr="00033B7D">
        <w:rPr>
          <w:rFonts w:ascii="Arial" w:hAnsi="Arial" w:cs="Arial"/>
          <w:sz w:val="16"/>
        </w:rPr>
        <w:t xml:space="preserve"> Another border artist, Ana Teresa Fernandez, freely admits, “Political art is a risky business.” Fernandez focuses on the intersection of gender and immigration in her art, purposely creating her work while wearing a dress and heels. Rather than creating a mural in the traditional sense, her project, </w:t>
      </w:r>
      <w:r w:rsidRPr="00033B7D">
        <w:rPr>
          <w:rStyle w:val="StyleUnderline"/>
          <w:rFonts w:ascii="Arial" w:hAnsi="Arial" w:cs="Arial"/>
        </w:rPr>
        <w:t xml:space="preserve">Borrando la Frontera, focuses on painting the border fence in Playas de Tijuana so that it blends in with the scenery on the adjacent San Diego side. Her art constitutes a form of erasure; rather than accepting the omnipresence of a barrier that symbolizes division and limitation, Fernandez creates her work with the intention of artistically rebelling against the physical and mental boundary. </w:t>
      </w:r>
      <w:r w:rsidRPr="00033B7D">
        <w:rPr>
          <w:rFonts w:ascii="Arial" w:hAnsi="Arial" w:cs="Arial"/>
          <w:sz w:val="16"/>
        </w:rPr>
        <w:t xml:space="preserve">Work like this demonstrates how issues of gender and immigration at the border are not mutually exclusive and political art can be used to express this critical intersection. This type of border art demonstrates how immigration, like so many issues with pressing political and social effects, is multidimensional. Art, therefore, becomes a way to express issues like gender, which may be marginalized or ignored in mainstream discussions. It is also important to note that not all art along the border is mural work. Artistic expression in this space takes many forms, including works in mediums of sculpture, spoken word, and performance art. Furthermore, there are recent modernist works that combine technological developments and social messages in order to create unique forms of art. One example of this type of modern art project is </w:t>
      </w:r>
      <w:r w:rsidRPr="00033B7D">
        <w:rPr>
          <w:rStyle w:val="StyleUnderline"/>
          <w:rFonts w:ascii="Arial" w:hAnsi="Arial" w:cs="Arial"/>
        </w:rPr>
        <w:t>Border Memorial: Frontera de los Muertos</w:t>
      </w:r>
      <w:r w:rsidRPr="00033B7D">
        <w:rPr>
          <w:rFonts w:ascii="Arial" w:hAnsi="Arial" w:cs="Arial"/>
          <w:sz w:val="16"/>
        </w:rPr>
        <w:t xml:space="preserve">. Border Memorial </w:t>
      </w:r>
      <w:r w:rsidRPr="00033B7D">
        <w:rPr>
          <w:rStyle w:val="StyleUnderline"/>
          <w:rFonts w:ascii="Arial" w:hAnsi="Arial" w:cs="Arial"/>
        </w:rPr>
        <w:t xml:space="preserve">is a smartphone app that uses geospatial software to project images of skeletons at the exact locations of recorded migrant deaths along the border. </w:t>
      </w:r>
      <w:r w:rsidRPr="00033B7D">
        <w:rPr>
          <w:rFonts w:ascii="Arial" w:hAnsi="Arial" w:cs="Arial"/>
          <w:sz w:val="16"/>
        </w:rPr>
        <w:t xml:space="preserve">Described as “an augmented reality public art project and memorial” by its creators, the smartphone application was created with the intention of reflecting the staggering mortality rate of those who have died attempting to cross the border. The app reflects a staggering mortality rate: according to the U.S. Border Patrol, over 6,000 migrants have died crossing into the United States from Mexico. Furthermore, this statistic only accounts for recorded mortalities, meaning that the number may be higher if it included the unknown number of migrants who lost their lives crossing the border whose deaths were not recorded. This art project is not only a critical way to help people visualize the number of lives lost crossing the border, but also helps impart the gravity of this loss. </w:t>
      </w:r>
      <w:r w:rsidRPr="00033B7D">
        <w:rPr>
          <w:rStyle w:val="StyleUnderline"/>
          <w:rFonts w:ascii="Arial" w:hAnsi="Arial" w:cs="Arial"/>
        </w:rPr>
        <w:t>While the border so obviously represents divide, the placement of art directly on the barrier represents a form of resistance that reflects the sentiments of those who live in these border spaces. Through the deliberate placement of art on the border, whether as a mural, graffiti, or projection, the border itself becomes a work of art that embodies resistance and unity. Recognizing the border as a piece of art in its own merit, reminds us that this is not just a passive divide, but also a communal space</w:t>
      </w:r>
      <w:r w:rsidRPr="00033B7D">
        <w:rPr>
          <w:rFonts w:ascii="Arial" w:hAnsi="Arial" w:cs="Arial"/>
          <w:sz w:val="16"/>
        </w:rPr>
        <w:t>. It would do us all well, politicians and laypeople alike, to remember that the border is more than just a divisive political debate. It is a representation of the politics of the individual, and the lives continually affected and lost on both sides of the border.</w:t>
      </w:r>
    </w:p>
    <w:p xmlns:wp14="http://schemas.microsoft.com/office/word/2010/wordml" w:rsidR="0082799E" w:rsidP="0082799E" w:rsidRDefault="0082799E" w14:paraId="71826258" wp14:textId="77777777">
      <w:pPr>
        <w:pStyle w:val="Heading3"/>
      </w:pPr>
      <w:r>
        <w:lastRenderedPageBreak/>
        <w:t>Framing: Affect</w:t>
      </w:r>
    </w:p>
    <w:p xmlns:wp14="http://schemas.microsoft.com/office/word/2010/wordml" w:rsidRPr="00A965EA" w:rsidR="0082799E" w:rsidP="0082799E" w:rsidRDefault="0082799E" w14:paraId="0AC81086" wp14:textId="77777777">
      <w:pPr>
        <w:pStyle w:val="Heading4"/>
        <w:rPr>
          <w:rFonts w:cs="Arial"/>
          <w:sz w:val="16"/>
        </w:rPr>
      </w:pPr>
      <w:r>
        <w:rPr>
          <w:rFonts w:cs="Arial"/>
        </w:rPr>
        <w:t>Border art transforms the aesthetic dimension of our life, transforming space, moving us towards a life beyond control</w:t>
      </w:r>
    </w:p>
    <w:p xmlns:wp14="http://schemas.microsoft.com/office/word/2010/wordml" w:rsidRPr="00A965EA" w:rsidR="0082799E" w:rsidP="0082799E" w:rsidRDefault="0082799E" w14:paraId="199AF1C6" wp14:textId="77777777">
      <w:pPr>
        <w:rPr>
          <w:sz w:val="20"/>
        </w:rPr>
      </w:pPr>
      <w:r w:rsidRPr="001B5F26">
        <w:rPr>
          <w:rStyle w:val="Style13ptBold"/>
        </w:rPr>
        <w:t>Innis 15</w:t>
      </w:r>
      <w:r w:rsidRPr="00A965EA">
        <w:rPr>
          <w:b/>
        </w:rPr>
        <w:t xml:space="preserve"> </w:t>
      </w:r>
      <w:r w:rsidRPr="00A965EA">
        <w:rPr>
          <w:sz w:val="20"/>
        </w:rPr>
        <w:t>(Robert E,. Professor Emeritus of Philisophy at the University of Massachusetts Lowell and Obel Foundation Visiting Professor at the Niels Bohr for Center for Cultural Psychology at Aalborg University.  Resisting Forms: Prolegomena to an Aesthetics of Resistance. (66-68)</w:t>
      </w:r>
      <w:r w:rsidRPr="00A965EA">
        <w:rPr>
          <w:b/>
          <w:sz w:val="20"/>
        </w:rPr>
        <w:t xml:space="preserve"> </w:t>
      </w:r>
      <w:r w:rsidRPr="00A965EA">
        <w:rPr>
          <w:sz w:val="20"/>
        </w:rPr>
        <w:t>Located in the book, Street Art of Resistance edited by Sarah H. Award and Brady Wagoner. 2015) /// ONW</w:t>
      </w:r>
    </w:p>
    <w:p xmlns:wp14="http://schemas.microsoft.com/office/word/2010/wordml" w:rsidRPr="00A965EA" w:rsidR="0082799E" w:rsidP="0082799E" w:rsidRDefault="0082799E" w14:paraId="4B178351" wp14:textId="77777777">
      <w:pPr>
        <w:rPr>
          <w:rStyle w:val="StyleUnderline"/>
        </w:rPr>
      </w:pPr>
      <w:r w:rsidRPr="00A965EA">
        <w:rPr>
          <w:sz w:val="16"/>
        </w:rPr>
        <w:t xml:space="preserve">Life consists, in many ways, of interruptions or dispersion into the commonplace, a state that does not and cannot be completely avoided. Our lives depend on the flywheel of habit. But experience, </w:t>
      </w:r>
      <w:r w:rsidRPr="00A965EA">
        <w:rPr>
          <w:rStyle w:val="StyleUnderline"/>
        </w:rPr>
        <w:t xml:space="preserve">Dewey argues in the normative mode, has to be fed, clearly not all the time, in such a way that there is a “sense of growing meaning conserved and accumulating toward an end that is felt as accomplishment of a process” </w:t>
      </w:r>
      <w:r w:rsidRPr="00A965EA">
        <w:rPr>
          <w:sz w:val="16"/>
        </w:rPr>
        <w:t xml:space="preserve">(p. 40). </w:t>
      </w:r>
      <w:r w:rsidRPr="00A965EA">
        <w:rPr>
          <w:rStyle w:val="StyleUnderline"/>
        </w:rPr>
        <w:t>This is the point of entry of the aesthetic into our lives.</w:t>
      </w:r>
      <w:r w:rsidRPr="00A965EA">
        <w:rPr>
          <w:sz w:val="16"/>
        </w:rPr>
        <w:t xml:space="preserve"> It encompasses a continuum from the supremely intellectual domains of science through art proper to the various forms of practical action. Dewey’s central claim is that “</w:t>
      </w:r>
      <w:r w:rsidRPr="00A965EA">
        <w:rPr>
          <w:rStyle w:val="StyleUnderline"/>
        </w:rPr>
        <w:t>no experience of whatever sort is a unity unless it has esthetic quality</w:t>
      </w:r>
      <w:r w:rsidRPr="00A965EA">
        <w:rPr>
          <w:sz w:val="16"/>
        </w:rPr>
        <w:t>” (p. 42), that is, a qualitative unity that is felt. Even our immersion in the ordinary is felt even if it is just the ever present somatic tonus that is the background of our lives, a kind of ground bass over against which our lives are composed. Dewey writes that in t</w:t>
      </w:r>
      <w:r w:rsidRPr="00A965EA">
        <w:rPr>
          <w:rStyle w:val="StyleUnderline"/>
        </w:rPr>
        <w:t>he aesthetic dimension “the perceived object or scene is emotionally pervaded throughout,” such that it touches us and we become receptive to it, surrendering ourselves to it by reason of its affective power</w:t>
      </w:r>
      <w:r w:rsidRPr="00A965EA">
        <w:rPr>
          <w:sz w:val="16"/>
        </w:rPr>
        <w:t xml:space="preserve"> (see Innis, 2016a). </w:t>
      </w:r>
      <w:r w:rsidRPr="00A965EA">
        <w:rPr>
          <w:rStyle w:val="StyleUnderline"/>
        </w:rPr>
        <w:t>Each art work demands of us an “adequate yielding of self</w:t>
      </w:r>
      <w:r w:rsidRPr="00A965EA">
        <w:rPr>
          <w:sz w:val="16"/>
        </w:rPr>
        <w:t xml:space="preserve">” (p. 55), </w:t>
      </w:r>
      <w:r w:rsidRPr="00A965EA">
        <w:rPr>
          <w:rStyle w:val="StyleUnderline"/>
        </w:rPr>
        <w:t>which is not something purely passive</w:t>
      </w:r>
      <w:r w:rsidRPr="00A965EA">
        <w:rPr>
          <w:sz w:val="16"/>
        </w:rPr>
        <w:t xml:space="preserve">. Dewey thinks of perception as “an act of going-out of energy in order to receive, not a withholding of energy…We must summon energy and pitch it at a responsive key in order to take in” (p. 55). Perception is creative, and, indeed, on the part of the aesthetic perceiver as opposed to the creator, re-creative. Just as the artist selects, simplifies, clarifies, abridges, and condenses, so the perceiver follows in the same way, performing acts of abstraction that extract what is significant. These are factors entering into “comprehension” in the literal sense of the word: “a gathering together of details and particulars physically scattered into an experienced whole” (p. 56). </w:t>
      </w:r>
      <w:r w:rsidRPr="00A965EA">
        <w:rPr>
          <w:rStyle w:val="StyleUnderline"/>
        </w:rPr>
        <w:t xml:space="preserve">The various forms of graffiti and street art, </w:t>
      </w:r>
      <w:r w:rsidRPr="00A965EA">
        <w:rPr>
          <w:sz w:val="16"/>
        </w:rPr>
        <w:t xml:space="preserve">to be sure, </w:t>
      </w:r>
      <w:r w:rsidRPr="00A965EA">
        <w:rPr>
          <w:rStyle w:val="StyleUnderline"/>
        </w:rPr>
        <w:t>are physically scattered but their evolving ensembles can become experienced wholes, with different kinds of unity of themes and purposes, as the following chapters illustrate</w:t>
      </w:r>
      <w:r w:rsidRPr="00A965EA">
        <w:rPr>
          <w:sz w:val="16"/>
        </w:rPr>
        <w:t xml:space="preserve">. Dewey foregrounds that in a “vital experience” the intellectual, the practical, the emotional–affective cannot be divided from one another, although they are not to be identified or confused with one another, being essential factors in the constitution of experience. An intellectual conclusion, a practical result, and the binding unity of a defining affective quality each have their own feel or tone. But </w:t>
      </w:r>
      <w:r w:rsidRPr="00A965EA">
        <w:rPr>
          <w:rStyle w:val="StyleUnderline"/>
        </w:rPr>
        <w:t>the distinctively aesthetic dimension, clearly delineated paradigmatically, but not exclusively, in a work of art, is not focused on conclusions or pragmatic results. “In a work of art there is no such single self-sufficient deposit</w:t>
      </w:r>
      <w:r w:rsidRPr="00A965EA">
        <w:rPr>
          <w:sz w:val="16"/>
        </w:rPr>
        <w:t xml:space="preserve">. The end, the terminus, is significant not by itself but as the integration of the parts. It has no other existence” (p. 57). The “meaning” of a work of art is found in the integration of all its parts, without which it could not exist. </w:t>
      </w:r>
      <w:r w:rsidRPr="00A965EA">
        <w:rPr>
          <w:rStyle w:val="StyleUnderline"/>
        </w:rPr>
        <w:t>The work of art comes alive in the experience of the perceiver in what Dewey calls an integral experience of form due to dynamic organization. But it is not just the work of art that comes alive. The perceiver becomes alive in encountering it and by being caught up in a “movement toward an inclusive and fulfilling close” (p. 58). The arts of resistance likewise aim toward such a moving enlivening of experience but with more than aesthetic intent.</w:t>
      </w:r>
    </w:p>
    <w:p xmlns:wp14="http://schemas.microsoft.com/office/word/2010/wordml" w:rsidR="0082799E" w:rsidP="0082799E" w:rsidRDefault="0082799E" w14:paraId="265CB9C5" wp14:textId="77777777">
      <w:pPr>
        <w:pStyle w:val="Heading3"/>
      </w:pPr>
      <w:r>
        <w:lastRenderedPageBreak/>
        <w:t>I: Criminalization</w:t>
      </w:r>
    </w:p>
    <w:p xmlns:wp14="http://schemas.microsoft.com/office/word/2010/wordml" w:rsidRPr="00E4023D" w:rsidR="0082799E" w:rsidP="0082799E" w:rsidRDefault="0082799E" w14:paraId="0C85A3D7" wp14:textId="77777777">
      <w:pPr>
        <w:pStyle w:val="Heading4"/>
      </w:pPr>
      <w:r>
        <w:t xml:space="preserve">Contestations over graffiti emblematic of a politics of purification – as racialized peoples and places are coded as criminal and polluted. </w:t>
      </w:r>
    </w:p>
    <w:p xmlns:wp14="http://schemas.microsoft.com/office/word/2010/wordml" w:rsidR="0082799E" w:rsidP="0082799E" w:rsidRDefault="0082799E" w14:paraId="2A72878C" wp14:textId="77777777">
      <w:pPr>
        <w:spacing w:after="0" w:line="240" w:lineRule="auto"/>
        <w:rPr>
          <w:rFonts w:ascii="Times New Roman" w:hAnsi="Times New Roman" w:eastAsia="Times New Roman" w:cs="Times New Roman"/>
          <w:sz w:val="24"/>
        </w:rPr>
      </w:pPr>
      <w:r w:rsidRPr="00A47DDC">
        <w:rPr>
          <w:rStyle w:val="Style13ptBold"/>
        </w:rPr>
        <w:t>Conklin 12</w:t>
      </w:r>
      <w:r>
        <w:rPr>
          <w:rFonts w:ascii="Times New Roman" w:hAnsi="Times New Roman" w:eastAsia="Times New Roman" w:cs="Times New Roman"/>
          <w:sz w:val="24"/>
        </w:rPr>
        <w:t xml:space="preserve"> (Tiffany </w:t>
      </w:r>
      <w:r w:rsidRPr="00C36527">
        <w:rPr>
          <w:rFonts w:ascii="Times New Roman" w:hAnsi="Times New Roman" w:eastAsia="Times New Roman" w:cs="Times New Roman"/>
          <w:sz w:val="24"/>
        </w:rPr>
        <w:t>Renée</w:t>
      </w:r>
      <w:r>
        <w:rPr>
          <w:rFonts w:ascii="Times New Roman" w:hAnsi="Times New Roman" w:eastAsia="Times New Roman" w:cs="Times New Roman"/>
          <w:sz w:val="24"/>
        </w:rPr>
        <w:t xml:space="preserve">, </w:t>
      </w:r>
      <w:r w:rsidRPr="00935AC5">
        <w:rPr>
          <w:rFonts w:ascii="Times New Roman" w:hAnsi="Times New Roman" w:eastAsia="Times New Roman" w:cs="Times New Roman"/>
          <w:sz w:val="24"/>
        </w:rPr>
        <w:t>Street Art, Ideology, and Public Space</w:t>
      </w:r>
      <w:r>
        <w:rPr>
          <w:rFonts w:ascii="Times New Roman" w:hAnsi="Times New Roman" w:eastAsia="Times New Roman" w:cs="Times New Roman"/>
          <w:sz w:val="24"/>
        </w:rPr>
        <w:t>. Works for Portland State University, Masters in Urban Studies and Planning. Pages 60-63)</w:t>
      </w:r>
    </w:p>
    <w:p xmlns:wp14="http://schemas.microsoft.com/office/word/2010/wordml" w:rsidR="0082799E" w:rsidP="0082799E" w:rsidRDefault="0082799E" w14:paraId="3DEEC669" wp14:textId="77777777">
      <w:pPr>
        <w:spacing w:after="0" w:line="240" w:lineRule="auto"/>
        <w:rPr>
          <w:rFonts w:ascii="Times New Roman" w:hAnsi="Times New Roman" w:eastAsia="Times New Roman" w:cs="Times New Roman"/>
          <w:sz w:val="24"/>
        </w:rPr>
      </w:pPr>
    </w:p>
    <w:p xmlns:wp14="http://schemas.microsoft.com/office/word/2010/wordml" w:rsidRPr="00E4023D" w:rsidR="0082799E" w:rsidP="0082799E" w:rsidRDefault="0082799E" w14:paraId="5372B73D" wp14:textId="77777777">
      <w:pPr>
        <w:spacing w:after="0" w:line="240" w:lineRule="auto"/>
        <w:rPr>
          <w:rFonts w:eastAsia="Times New Roman"/>
          <w:sz w:val="24"/>
        </w:rPr>
      </w:pPr>
      <w:r w:rsidRPr="00E4023D">
        <w:rPr>
          <w:rFonts w:eastAsia="Times New Roman"/>
          <w:sz w:val="24"/>
        </w:rPr>
        <w:t xml:space="preserve">In the 1970s, </w:t>
      </w:r>
      <w:r w:rsidRPr="00E4023D">
        <w:rPr>
          <w:rStyle w:val="StyleUnderline"/>
        </w:rPr>
        <w:t>when graffiti culture was first making its mark on</w:t>
      </w:r>
      <w:r w:rsidRPr="00E4023D">
        <w:rPr>
          <w:rFonts w:eastAsia="Times New Roman"/>
          <w:sz w:val="24"/>
        </w:rPr>
        <w:t xml:space="preserve"> modern society, </w:t>
      </w:r>
      <w:r w:rsidRPr="00E4023D">
        <w:rPr>
          <w:rStyle w:val="StyleUnderline"/>
        </w:rPr>
        <w:t>some people saw it as a much needed touch of color in the dreary city; but others equated it with the urban crisis that had gripped New York at this time</w:t>
      </w:r>
      <w:r w:rsidRPr="00E4023D">
        <w:rPr>
          <w:rFonts w:eastAsia="Times New Roman"/>
          <w:sz w:val="24"/>
        </w:rPr>
        <w:t xml:space="preserve"> (Wilson &amp; Kelling, 1982). Amidst this political and infrastructural chaos, </w:t>
      </w:r>
      <w:r w:rsidRPr="00E4023D">
        <w:rPr>
          <w:rStyle w:val="StyleUnderline"/>
        </w:rPr>
        <w:t>graffiti was deemed a visible sign of this deep disorder and was to be removed at all costs. Authorities and the media associated graffiti with dirt, decay, disease, and madness</w:t>
      </w:r>
      <w:r w:rsidRPr="00E4023D">
        <w:rPr>
          <w:rFonts w:eastAsia="Times New Roman"/>
          <w:sz w:val="24"/>
        </w:rPr>
        <w:t xml:space="preserve"> (Dickens, 2009; Cresswell, 1992). Graffiti did not belong in the city, it was out of place. Tim Cresswell (1992, 1996) has argued that </w:t>
      </w:r>
      <w:r w:rsidRPr="00E4023D">
        <w:rPr>
          <w:rStyle w:val="StyleUnderline"/>
        </w:rPr>
        <w:t>dominant ideologies define what is and is not appropriate in public spaces.</w:t>
      </w:r>
      <w:r w:rsidRPr="00E4023D">
        <w:rPr>
          <w:rFonts w:eastAsia="Times New Roman"/>
          <w:sz w:val="24"/>
        </w:rPr>
        <w:t xml:space="preserve"> Cresswell (1996) points out that </w:t>
      </w:r>
      <w:r w:rsidRPr="00E4023D">
        <w:rPr>
          <w:rStyle w:val="StyleUnderline"/>
        </w:rPr>
        <w:t>framing graffiti in this negative light acted to associate it with other places more amenable to disorder, particularly with the ―third world‖ and ultimately racist undertones</w:t>
      </w:r>
      <w:r w:rsidRPr="00E4023D">
        <w:rPr>
          <w:rFonts w:eastAsia="Times New Roman"/>
          <w:sz w:val="24"/>
        </w:rPr>
        <w:t xml:space="preserve"> (hooks, 1995). Mary Douglas‘s (1996) analysis of the concepts of pollution and taboo argues something similar, but from an anthropological perspective. Douglas examines the ―unclean and impure‖ parts of human society in order to better understand the ordering pattern that some societies strive to establish and maintain. Building upon this notion, David Sibley (1995) shows how </w:t>
      </w:r>
      <w:r w:rsidRPr="00E4023D">
        <w:rPr>
          <w:rStyle w:val="StyleUnderline"/>
        </w:rPr>
        <w:t>subcultures are excluded from space by powerful groups who tend to purify space. Outsiders are viewed as polluting and dangerous and thus systematically excluded from these spaces</w:t>
      </w:r>
      <w:r w:rsidRPr="00E4023D">
        <w:rPr>
          <w:rFonts w:eastAsia="Times New Roman"/>
          <w:sz w:val="24"/>
        </w:rPr>
        <w:t xml:space="preserve">. Kurt Iveson (2002) contextualizes </w:t>
      </w:r>
      <w:r w:rsidRPr="00E4023D">
        <w:rPr>
          <w:rStyle w:val="StyleUnderline"/>
        </w:rPr>
        <w:t>these ideas and suggests that graffiti is considered a major urban problem because it challenges the rights of property owners, and by extension, the whole system through which urban space is supposed to be defined. Taken together, these insights can explain some of the reasons why unauthorized art in public space has been perceived as a negative force in society. Arguments against graffiti and street art are often based on the notion that it is physically and morally harmful to society.</w:t>
      </w:r>
      <w:r w:rsidRPr="00E4023D">
        <w:rPr>
          <w:rFonts w:eastAsia="Times New Roman"/>
          <w:sz w:val="24"/>
        </w:rPr>
        <w:t xml:space="preserve"> Two things support this idea: the cost of graffiti removal to taxpayers and the putative feelings of fear that graffiti produces (Taylor, 2010). American society has been described as a ―culture of fear‖ by Barry Glassner (1996) who has made a convincing argument that Americans simply fear being victims of crime, regardless of the probability of actually becoming victims. For example, crime rates fell throughout the 1990s, but two-thirds of Americans believed they were soaring (Glassner, 1999). Glassner proposes that the reason so many </w:t>
      </w:r>
      <w:r w:rsidRPr="00E4023D">
        <w:rPr>
          <w:rStyle w:val="StyleUnderline"/>
        </w:rPr>
        <w:t>Americans harbor unrealistic fears is that immense power and money await those who tap into our moral insecurities and supply us with symbolic substitutes</w:t>
      </w:r>
      <w:r w:rsidRPr="00E4023D">
        <w:rPr>
          <w:rFonts w:eastAsia="Times New Roman"/>
          <w:sz w:val="24"/>
        </w:rPr>
        <w:t xml:space="preserve"> (Glassner, 1999). </w:t>
      </w:r>
      <w:r w:rsidRPr="00E4023D">
        <w:rPr>
          <w:rStyle w:val="StyleUnderline"/>
        </w:rPr>
        <w:t xml:space="preserve">The proliferation of graffiti has produced ―moral panics‖ and enforcement backlashes </w:t>
      </w:r>
      <w:r w:rsidRPr="00E4023D">
        <w:rPr>
          <w:rFonts w:eastAsia="Times New Roman"/>
          <w:sz w:val="24"/>
        </w:rPr>
        <w:t xml:space="preserve">(particularly in the US) that have been spurred by the ―fear of crime‖ (White, 2000). Anti-graffiti campaigns have often supported their actions by citing the broken windows theory of crime. 41 This theory argues that permitting minor misdemeanors encourages more serious crime. These minor forms of public disorder not only lead to worse crimes, but also cause a downward spiral of urban decay (Wilson &amp; Kelling, 1982; Kelling &amp; Coles, 1997). The presumed reason is that visual cues of disorder (e.g., graffiti, broken windows, public intoxication, trash, abandoned cars, etc.) create an atmosphere of lawlessness that </w:t>
      </w:r>
      <w:r w:rsidRPr="00E4023D">
        <w:rPr>
          <w:rFonts w:eastAsia="Times New Roman"/>
          <w:sz w:val="24"/>
        </w:rPr>
        <w:lastRenderedPageBreak/>
        <w:t xml:space="preserve">attracts criminal offenders, who assume that residents are indifferent and do not care about the neighborhood (Sampson &amp; Raudenbush, 2004). Some researchers have begun to question the broken windows theory. Bernard Harcourt (2001) argues that the theory has never been empirically verified. In fact, existing data suggest that the </w:t>
      </w:r>
      <w:r w:rsidRPr="00E4023D">
        <w:rPr>
          <w:rStyle w:val="StyleUnderline"/>
        </w:rPr>
        <w:t>broken windows theory</w:t>
      </w:r>
      <w:r w:rsidRPr="00E4023D">
        <w:rPr>
          <w:rFonts w:eastAsia="Times New Roman"/>
          <w:sz w:val="24"/>
        </w:rPr>
        <w:t xml:space="preserve"> may very well be false. Harcourt believes that the theory rests on unexamined groupings of ―law abiders‖ and ―disorderly people‖ and of ―order‖ and ―disorder,‖ which have no intrinsic reality independent of the techniques of punishment that we implement in our particular society (2001). Other critics contend that defensible space and broken windows constitute instrumentalist policing ideologies founded on environmental determinism that effectively </w:t>
      </w:r>
      <w:r w:rsidRPr="00E4023D">
        <w:rPr>
          <w:rStyle w:val="StyleUnderline"/>
        </w:rPr>
        <w:t>only relocate lawlessness rather than addressing longstanding social inequalities</w:t>
      </w:r>
      <w:r w:rsidRPr="00E4023D">
        <w:rPr>
          <w:rFonts w:eastAsia="Times New Roman"/>
          <w:sz w:val="24"/>
        </w:rPr>
        <w:t xml:space="preserve"> (Rentschler, 2003; Shaftoe, 2006; Vivoni, 2009). </w:t>
      </w:r>
      <w:r w:rsidRPr="00E4023D">
        <w:rPr>
          <w:rStyle w:val="StyleUnderline"/>
        </w:rPr>
        <w:t xml:space="preserve">Additionally, theoretical reflection and empirical evidence bearing on the actual meaning of disorder are remarkably thin </w:t>
      </w:r>
      <w:r w:rsidRPr="00E4023D">
        <w:rPr>
          <w:rFonts w:eastAsia="Times New Roman"/>
          <w:sz w:val="24"/>
        </w:rPr>
        <w:t>(Harcourt, 2001</w:t>
      </w:r>
      <w:r w:rsidRPr="00E4023D">
        <w:rPr>
          <w:rStyle w:val="StyleUnderline"/>
        </w:rPr>
        <w:t>). Research on implicit bias (the cultural stereotypes that operate beneath the radar in society) and cultural stereotyping suggests that Americans hold persistent beliefs linking blacks and poor minorities to crime, violence, disorder, graffiti, welfare, and undesirability as neighbors</w:t>
      </w:r>
      <w:r w:rsidRPr="00E4023D">
        <w:rPr>
          <w:rFonts w:eastAsia="Times New Roman"/>
          <w:sz w:val="24"/>
        </w:rPr>
        <w:t xml:space="preserve"> (Bobo, 2001; Quillian &amp; Pager, 2001). </w:t>
      </w:r>
      <w:r w:rsidRPr="00E4023D">
        <w:rPr>
          <w:rStyle w:val="StyleUnderline"/>
        </w:rPr>
        <w:t>Dark skin is an easily observable trait that has become a statistical marker in American society, one imbued with meanings and crime and disorder that stigmatize not only people but also the places in which they concentrate</w:t>
      </w:r>
      <w:r w:rsidRPr="00E4023D">
        <w:rPr>
          <w:rFonts w:eastAsia="Times New Roman"/>
          <w:sz w:val="24"/>
        </w:rPr>
        <w:t xml:space="preserve"> (Sampson &amp; Raudenbush, 2004). </w:t>
      </w:r>
    </w:p>
    <w:p xmlns:wp14="http://schemas.microsoft.com/office/word/2010/wordml" w:rsidRPr="00E4023D" w:rsidR="0082799E" w:rsidP="0082799E" w:rsidRDefault="0082799E" w14:paraId="3656B9AB" wp14:textId="77777777"/>
    <w:p xmlns:wp14="http://schemas.microsoft.com/office/word/2010/wordml" w:rsidR="0082799E" w:rsidP="0082799E" w:rsidRDefault="0082799E" w14:paraId="4BD93050" wp14:textId="77777777">
      <w:pPr>
        <w:pStyle w:val="Heading3"/>
      </w:pPr>
      <w:r>
        <w:lastRenderedPageBreak/>
        <w:t>I: Counter-insurgency</w:t>
      </w:r>
    </w:p>
    <w:p xmlns:wp14="http://schemas.microsoft.com/office/word/2010/wordml" w:rsidRPr="00A965EA" w:rsidR="0082799E" w:rsidP="0082799E" w:rsidRDefault="0082799E" w14:paraId="6FA84DAE" wp14:textId="77777777">
      <w:pPr>
        <w:pStyle w:val="Heading4"/>
        <w:rPr>
          <w:rFonts w:cs="Arial"/>
        </w:rPr>
      </w:pPr>
      <w:r>
        <w:rPr>
          <w:rFonts w:cs="Arial"/>
        </w:rPr>
        <w:t>Resistance precedes its policing – policing attempts to purify and control space, to repress resistance, but the arts of resistance intensify rebellion by transforming space as lived, facilitating intimate encounters that defy authority</w:t>
      </w:r>
    </w:p>
    <w:p xmlns:wp14="http://schemas.microsoft.com/office/word/2010/wordml" w:rsidRPr="00764601" w:rsidR="0082799E" w:rsidP="0082799E" w:rsidRDefault="0082799E" w14:paraId="2579DA96" wp14:textId="77777777">
      <w:r w:rsidRPr="00764601">
        <w:rPr>
          <w:rStyle w:val="Heading4Char"/>
        </w:rPr>
        <w:t>Innis 15</w:t>
      </w:r>
      <w:r w:rsidRPr="00764601">
        <w:t xml:space="preserve"> (Robert E,. Professor Emeritus of Philisophy at the University of Massachusetts Lowell and Obel Foundation Visiting Professor at the Niels Bohr for Center for Cultural Psychology at Aalborg University.  Resisting Forms: Prolegomena to an Aesthetics of Resistance. (63-65) Located in the book, Street Art of Resistance edited by Sarah H. Award and Brady Wagoner. 2015) /// ONW</w:t>
      </w:r>
    </w:p>
    <w:p xmlns:wp14="http://schemas.microsoft.com/office/word/2010/wordml" w:rsidRPr="00A965EA" w:rsidR="0082799E" w:rsidP="0082799E" w:rsidRDefault="0082799E" w14:paraId="0F9A18AF" wp14:textId="77777777">
      <w:pPr>
        <w:tabs>
          <w:tab w:val="left" w:pos="1941"/>
        </w:tabs>
        <w:rPr>
          <w:sz w:val="16"/>
        </w:rPr>
      </w:pPr>
      <w:r w:rsidRPr="00A965EA">
        <w:rPr>
          <w:sz w:val="16"/>
        </w:rPr>
        <w:t xml:space="preserve">John Dewey’s (1934) pragmatist masterwork, Art as Experience, as well as other writings, is of extraordinary value in helping us to understand the aesthetic importance, roles, and matrices of graffiti and street art as “arts of resistance.” Dewey supplies analytical tools to establish that art in its various forms and the experiences to which they give rise are not in themselves “ethereal,” standing apart from the streams, eddies, and vortices of everyday life. Dewey affirms the social and political role of art forms in developing a world of organized and humanely ordered energies. He argues that art and the aesthetic grow out of the structures of ordinary experience, being related to them, as he puts it in a striking image, the way a mountain rises out of, yet is continuous with, the lowlands of a plain.1 So, on such an account, there is no objection to looking at graffiti and street art as arts of resistance from a very broad-based and distinctively aesthetic point of view and to not subjecting them to criteria and expectations from a normatively conceived “art world.” </w:t>
      </w:r>
      <w:r w:rsidRPr="00A965EA">
        <w:rPr>
          <w:b/>
          <w:u w:val="single"/>
        </w:rPr>
        <w:t xml:space="preserve">No one looking at graffiti or street art expects them to have the kind of permanence that we assign to art works in the traditional sense. </w:t>
      </w:r>
      <w:r w:rsidRPr="00A965EA">
        <w:rPr>
          <w:rStyle w:val="StyleUnderline"/>
        </w:rPr>
        <w:t xml:space="preserve">They are subject to obliteration at any moment for political, aesthetic, religious, and other reasons. </w:t>
      </w:r>
      <w:r w:rsidRPr="00A965EA">
        <w:rPr>
          <w:b/>
          <w:u w:val="single"/>
        </w:rPr>
        <w:t xml:space="preserve">The deadly combination of anti-Semitic graffiti on overturned tombstones is not of the same sort as antigovernment graffiti on walls and buildings directed toward a military junta or toward a single-party dictatorship maintained by secret police or a foreign power. </w:t>
      </w:r>
      <w:r w:rsidRPr="00A965EA">
        <w:rPr>
          <w:rStyle w:val="Emphasis"/>
        </w:rPr>
        <w:t>Such types of “resisting forms” evoke counteraction of the part of authorities.</w:t>
      </w:r>
      <w:r w:rsidRPr="00A965EA">
        <w:rPr>
          <w:rStyle w:val="StyleUnderline"/>
        </w:rPr>
        <w:t xml:space="preserve"> </w:t>
      </w:r>
      <w:r w:rsidRPr="00A965EA">
        <w:rPr>
          <w:b/>
          <w:u w:val="single"/>
        </w:rPr>
        <w:t>Much graffiti and street art are, in fact, of a very high aesthetic and conceptual order and what they are “resisting” is by no means always the same.</w:t>
      </w:r>
      <w:r w:rsidRPr="00A965EA">
        <w:rPr>
          <w:rStyle w:val="StyleUnderline"/>
        </w:rPr>
        <w:t xml:space="preserve"> </w:t>
      </w:r>
      <w:r w:rsidRPr="00A965EA">
        <w:rPr>
          <w:b/>
          <w:u w:val="single"/>
        </w:rPr>
        <w:t xml:space="preserve">The arts of resistance belong to the semiotic or symbolic order. </w:t>
      </w:r>
      <w:r w:rsidRPr="00A965EA">
        <w:rPr>
          <w:rStyle w:val="StyleUnderline"/>
        </w:rPr>
        <w:t>They are embodied in different types of sign configurations—images or all sorts, linguistic slogans, sculptural structures—with their own “logics” and intended effects.</w:t>
      </w:r>
      <w:r w:rsidRPr="00A965EA">
        <w:rPr>
          <w:sz w:val="16"/>
        </w:rPr>
        <w:t xml:space="preserve"> Charles S. Peirce called these effects their interpretants or “proper significate effects,” encompassing the affective, actional, and ideational orders. </w:t>
      </w:r>
      <w:r w:rsidRPr="00A965EA">
        <w:rPr>
          <w:b/>
          <w:u w:val="single"/>
        </w:rPr>
        <w:t>Graffiti and street art, whether linguistic or visual or a combination of elements including street performances, are made up of multiform symbolic structures functioning as tools of communication</w:t>
      </w:r>
      <w:r w:rsidRPr="00A965EA">
        <w:rPr>
          <w:rStyle w:val="StyleUnderline"/>
        </w:rPr>
        <w:t xml:space="preserve"> with the goal of creating shared experience in some forms, encompassing a continuum from sentiment to thought</w:t>
      </w:r>
      <w:r w:rsidRPr="00A965EA">
        <w:rPr>
          <w:sz w:val="16"/>
        </w:rPr>
        <w:t xml:space="preserve"> (see Dewey, 1927; Innis, 1994, 2017). In their decentered forms of appearing, graffiti and street art, while historically not totally new phenomena, have a spontaneity and creativity that in terms of scope is a novel type of combined activity, participation in which Dewey (1927) calls “additive.” These forms feed off one another in ways essentially different from the interaction of things purely in terms of physical energy or from human interactions in terms of force. As belonging to the symbolic order, </w:t>
      </w:r>
      <w:r w:rsidRPr="00A965EA">
        <w:rPr>
          <w:rStyle w:val="StyleUnderline"/>
        </w:rPr>
        <w:t xml:space="preserve">the arts of resistance can be seen in many, though not all, their forms as motivated when and where open communication, which should be the bond that holds a community together, has broken down or when, in fact, it is forbidden or systematically prohibited or radically and systematically distorted. But this very situation is itself raised up to common perception when the phases and sources of constrained communication and the differential forms of power in a community or a society are made to appear and are recorded in arresting symbolic images of all sorts. </w:t>
      </w:r>
      <w:r w:rsidRPr="00A965EA">
        <w:rPr>
          <w:b/>
          <w:u w:val="single"/>
        </w:rPr>
        <w:t>It is the aesthetic intervening through graffiti and street art that makes them so interesting.</w:t>
      </w:r>
      <w:r w:rsidRPr="00A965EA">
        <w:rPr>
          <w:b/>
          <w:sz w:val="16"/>
        </w:rPr>
        <w:t xml:space="preserve"> </w:t>
      </w:r>
      <w:r w:rsidRPr="00A965EA">
        <w:rPr>
          <w:b/>
          <w:u w:val="single"/>
        </w:rPr>
        <w:t xml:space="preserve">Thinking of them in aesthetic terms and not just in terms of their message or discursive content or rhetorical functions </w:t>
      </w:r>
      <w:r w:rsidRPr="00A965EA">
        <w:rPr>
          <w:b/>
          <w:u w:val="single"/>
        </w:rPr>
        <w:lastRenderedPageBreak/>
        <w:t>foregrounds the intimate, indeed essential, connection between them and the media in which they are embodied</w:t>
      </w:r>
      <w:r w:rsidRPr="00A965EA">
        <w:rPr>
          <w:rStyle w:val="StyleUnderline"/>
        </w:rPr>
        <w:t>.</w:t>
      </w:r>
      <w:r w:rsidRPr="00A965EA">
        <w:rPr>
          <w:sz w:val="16"/>
        </w:rPr>
        <w:t xml:space="preserve"> Graffiti and street art need the effective support of a medium, with some types more apt than others. They can have, or lack, aesthetic form, and independently of their content can have, or lack, an aesthetic effect, being “dead,” or lacking an organization of energy, from an experiential point of view. At the same time, it is this organization of energy that contributes to, indeed constitutes, the semiotic and aesthetic power of the arts of resistance.</w:t>
      </w:r>
    </w:p>
    <w:p xmlns:wp14="http://schemas.microsoft.com/office/word/2010/wordml" w:rsidRPr="001F5CD0" w:rsidR="0082799E" w:rsidP="0082799E" w:rsidRDefault="0082799E" w14:paraId="4357BAB1" wp14:textId="77777777">
      <w:pPr>
        <w:pStyle w:val="Heading3"/>
      </w:pPr>
      <w:r>
        <w:lastRenderedPageBreak/>
        <w:t>I: State domination/instrumental rationality</w:t>
      </w:r>
    </w:p>
    <w:p xmlns:wp14="http://schemas.microsoft.com/office/word/2010/wordml" w:rsidR="0082799E" w:rsidP="0082799E" w:rsidRDefault="0082799E" w14:paraId="0B6A5838" wp14:textId="77777777">
      <w:pPr>
        <w:pStyle w:val="Heading4"/>
      </w:pPr>
      <w:r>
        <w:t>Instrumental rationality folds in on itself as fascism – tuning into the aesthetic, affective dimensions of political life disavowed by modernity opens up radical possibilities for a world beyond domination</w:t>
      </w:r>
    </w:p>
    <w:p xmlns:wp14="http://schemas.microsoft.com/office/word/2010/wordml" w:rsidR="0082799E" w:rsidP="0082799E" w:rsidRDefault="0082799E" w14:paraId="72DE5DDC" wp14:textId="77777777">
      <w:r w:rsidRPr="00FB0C32">
        <w:rPr>
          <w:rStyle w:val="Style13ptBold"/>
        </w:rPr>
        <w:t>Zausen 15</w:t>
      </w:r>
      <w:r>
        <w:t xml:space="preserve"> (Leo, H</w:t>
      </w:r>
      <w:r w:rsidRPr="00BB5692">
        <w:t xml:space="preserve">annah Höch </w:t>
      </w:r>
      <w:r>
        <w:t>and the critique of the whole,</w:t>
      </w:r>
      <w:r w:rsidRPr="00BB5692">
        <w:t xml:space="preserve"> fragmentary politics as radical aesthetics</w:t>
      </w:r>
      <w:r>
        <w:t>. TA at American University. Really smart dude, trust me. //starboy)</w:t>
      </w:r>
    </w:p>
    <w:p xmlns:wp14="http://schemas.microsoft.com/office/word/2010/wordml" w:rsidRPr="001F3AAE" w:rsidR="0082799E" w:rsidP="0082799E" w:rsidRDefault="0082799E" w14:paraId="5E04F09D" wp14:textId="77777777">
      <w:pPr>
        <w:rPr>
          <w:rStyle w:val="StyleUnderline"/>
        </w:rPr>
      </w:pPr>
      <w:r w:rsidRPr="00FB0C32">
        <w:rPr>
          <w:sz w:val="16"/>
        </w:rPr>
        <w:t xml:space="preserve">Everything as a whole harmonious unit is the dream of enlightened civilization – the realization of its lack and its effort to conceal is the progress of inevitability. This is the project of Freud, who finds in his Civilization and its Discontents society’s lack to fully maintain the libidinal desire of subjects. </w:t>
      </w:r>
      <w:r w:rsidRPr="000D76F6">
        <w:rPr>
          <w:rStyle w:val="StyleUnderline"/>
        </w:rPr>
        <w:t>The ultimate paradox of civilization is its goal to maintain individuals coherent to social structures through the sublimation of desire. Incidentally, this process is remediated by its very opposition: desire. The contradictory status of mass civilization is one in which opens and reveals</w:t>
      </w:r>
      <w:r w:rsidRPr="00FB0C32">
        <w:rPr>
          <w:sz w:val="16"/>
        </w:rPr>
        <w:t xml:space="preserve">, through dialectical tension, </w:t>
      </w:r>
      <w:r w:rsidRPr="000D76F6">
        <w:rPr>
          <w:rStyle w:val="StyleUnderline"/>
        </w:rPr>
        <w:t>the forces to which cannot sustain civilization</w:t>
      </w:r>
      <w:r w:rsidRPr="00FB0C32">
        <w:rPr>
          <w:sz w:val="16"/>
        </w:rPr>
        <w:t xml:space="preserve">. Later, Adorno will notice a similar analysis, refuting the Hegelian dialectic with negative dialectics in his and Max Horkheimer’s seminal text of critical theory Dialectic of Enlightenment. In which they argue that there is a limitation to civilization – called ‘progress.’ And, </w:t>
      </w:r>
      <w:r w:rsidRPr="008F0847">
        <w:rPr>
          <w:rStyle w:val="StyleUnderline"/>
        </w:rPr>
        <w:t>if one can learn anything from the sociological conditions of the early 20th century it is that mass fascism – or, reified, whole – is the product of enlightenment’s instrumental rationality</w:t>
      </w:r>
      <w:r w:rsidRPr="00FB0C32">
        <w:rPr>
          <w:sz w:val="16"/>
        </w:rPr>
        <w:t xml:space="preserve">. Adorno argued </w:t>
      </w:r>
      <w:r w:rsidRPr="008F0847">
        <w:rPr>
          <w:rStyle w:val="StyleUnderline"/>
        </w:rPr>
        <w:t>that the exit from the prolonged repetition of the affects of industrial culture was through negativity of the very concept – in which functions of cultural criticism and aesthetics could probe towards the</w:t>
      </w:r>
      <w:r w:rsidRPr="00FB0C32">
        <w:rPr>
          <w:sz w:val="16"/>
        </w:rPr>
        <w:t xml:space="preserve"> dialectical </w:t>
      </w:r>
      <w:r w:rsidRPr="008F0847">
        <w:rPr>
          <w:rStyle w:val="StyleUnderline"/>
        </w:rPr>
        <w:t>tensions that Freud considered the result of civilization</w:t>
      </w:r>
      <w:r w:rsidRPr="00FB0C32">
        <w:rPr>
          <w:sz w:val="16"/>
        </w:rPr>
        <w:t xml:space="preserve">. But first and predating the men above, Höch depicts the same negativity in the aesthetic object. </w:t>
      </w:r>
      <w:r w:rsidRPr="008F0847">
        <w:rPr>
          <w:rStyle w:val="StyleUnderline"/>
        </w:rPr>
        <w:t>The logic of modernity demanded conformity with the nationalism of the state, consumption of the economy and commodification of subjectivity.</w:t>
      </w:r>
      <w:r w:rsidRPr="00FB0C32">
        <w:rPr>
          <w:sz w:val="16"/>
        </w:rPr>
        <w:t xml:space="preserve"> In The Pretty Woman, Höch portrays pieces of a female surrounded by BMW insignias. Alongside the figures, there are similar elements of Cut Through… such as the industrial gear and wrench surrounding a displaced and distorted woman. Höch cuts, paints, performs, directs as consciously Entartete and degenerate. What the Nazi’s will later declare her – and the entirety of her colleagues – as, is their manifesto. While with Marx one can say that the dialectic was turned on its head, grounded in a revolutionary materialism and concurrently radicalizing the ontological subject, </w:t>
      </w:r>
      <w:r w:rsidRPr="0062047B">
        <w:rPr>
          <w:rStyle w:val="StyleUnderline"/>
        </w:rPr>
        <w:t>Höch performed a similar movement; decapitation of the Symbolic, enlightenment project, rational civilization</w:t>
      </w:r>
      <w:r w:rsidRPr="00FB0C32">
        <w:rPr>
          <w:sz w:val="16"/>
        </w:rPr>
        <w:t xml:space="preserve">. </w:t>
      </w:r>
      <w:r w:rsidRPr="00DB6983">
        <w:rPr>
          <w:rStyle w:val="StyleUnderline"/>
        </w:rPr>
        <w:t>Höch’s montage Fashion Show depicts the intersection of commodified sexuality within the female body – an assemblage of difference within the women discreetly shows a melancholic state of the women within a ‘progressive’ society; split and barred from subjectivity – forced to be anchored to the bourgeois garments.</w:t>
      </w:r>
      <w:r w:rsidRPr="00FB0C32">
        <w:rPr>
          <w:sz w:val="16"/>
        </w:rPr>
        <w:t xml:space="preserve"> Da-Dandy localizes the gender critique closer to Höch’s own subjectivity – a critique of Berlin Dada itself as paternal, phallocentric. The figure of the female is contorted to meet the symbolic demands of culture, but this is met with torturous expressions as body parts are excluded from the neatly cut, accepted and allowed in culture; the representation of women is one in which forces subjects to adhere. Men in Höch are depicted as singular, while women are cut, denounced and applied. Thus, in her critique of the reified society, gender takes a particular structure as its object of critique under the terrain of sexual difference. Höch depicts the scandal of the actual portrayal of the female opposite their representation in the media. While Höch depicted the female within modernity as fragmented, split and barred, another German communist provided an oppositional reading; in the time of Berlin Dada, Rosa Luxemburg appeared as the leader of a revolutionary front in Germany. But, distinctly, her reading is antagonistic to Höch; Luxemburg finds that the natural state of the proletariat under capitalism was fragmentation – thus in order to consolidate the force of the working class, and revolt in mass against systemic capitalism, unification was necessary[1]. The binaries of unification/fragmentation, consolidation/split and assimilation/barred provide a comparison of the political and aesthetic realms of Höch and Luxemburg in Modern Germany. Luxemburg found in the working class a lack of wholeness; as the industrial division of labor continued to exert its specialization of labor of the working class, solidarity was exclusively dictated in estranged vocabularies from one laborer to the next. No longer was communication as easy as the singular factory floor, but extended to a wide variety of positions under industrial capitalism. Beneath a hegemonic front, Luxemburg attempted to withdrawal from the splitting exertion of capitalism and unify the working class. Largely proceeding from Gramsci’s notion of the ‘organic intellectual,’ Luxemburg attempted to compress difference in class position through a hegemonic front. Necessary for Luxemburg, aporetic ambiguity could not strategically find radical potential in the masses revolutionary. In its fragmentation, photomontage critiqued reification – the concept of wholeness and unity was of peak regard in hegemonic strategy for Luxemburg. What does this apparent contradiction in Weimar aesthetics and politics amount to? While Luxemburg’s hegemonic strategy attempted to sustain a negation of the current rise, in both, militarized right wing fascism and </w:t>
      </w:r>
      <w:r w:rsidRPr="00FB0C32">
        <w:rPr>
          <w:sz w:val="16"/>
        </w:rPr>
        <w:lastRenderedPageBreak/>
        <w:t xml:space="preserve">complicit Weimar social democracy, the consistent failure of hegemonic strategy alludes to its deeply rooted bias of its status as being informed by symbolic and social demands. Luxemburg could not achieve victory over the symbolic order – or social arrangements – through a strategy of reification. Even in spontaneity – seen largely as Luxemburg’s most significant addition to </w:t>
      </w:r>
      <w:r w:rsidRPr="00E251A9">
        <w:rPr>
          <w:rStyle w:val="StyleUnderline"/>
        </w:rPr>
        <w:t>Marxist strategy</w:t>
      </w:r>
      <w:r w:rsidRPr="00FB0C32">
        <w:rPr>
          <w:sz w:val="16"/>
        </w:rPr>
        <w:t xml:space="preserve"> – the objective was unity. By consolidating the masses, Luxemburg </w:t>
      </w:r>
      <w:r w:rsidRPr="00E251A9">
        <w:rPr>
          <w:rStyle w:val="StyleUnderline"/>
        </w:rPr>
        <w:t>failed to acknowledge difference as not simply a result of the capitalist mode of production, but of human subjectivity itself. Opposite, stands Höch who rejects any symbolic relevance in her work and is mediated by a very critique of its grounding.</w:t>
      </w:r>
      <w:r w:rsidRPr="00FB0C32">
        <w:rPr>
          <w:sz w:val="16"/>
        </w:rPr>
        <w:t xml:space="preserve"> Her </w:t>
      </w:r>
      <w:r w:rsidRPr="00E251A9">
        <w:rPr>
          <w:rStyle w:val="StyleUnderline"/>
        </w:rPr>
        <w:t>ambiguity in identity, gender and politics depicts difference in a different manner – one in which is a necessary factor of modern human subjectivity</w:t>
      </w:r>
      <w:r w:rsidRPr="00FB0C32">
        <w:rPr>
          <w:sz w:val="16"/>
        </w:rPr>
        <w:t xml:space="preserve">. As seen in the three critiques of mass gender above, Höch depicts how </w:t>
      </w:r>
      <w:r w:rsidRPr="00E251A9">
        <w:rPr>
          <w:rStyle w:val="StyleUnderline"/>
        </w:rPr>
        <w:t>gender is not only constructed through culture and civilization, but is differentiated by the same mechanics</w:t>
      </w:r>
      <w:r w:rsidRPr="00FB0C32">
        <w:rPr>
          <w:sz w:val="16"/>
        </w:rPr>
        <w:t xml:space="preserve">. Weimar culture forced marginalized identities to positions that demanded the splitting, cutting, consolidations of particular identities to create a whole. Thus, </w:t>
      </w:r>
      <w:r w:rsidRPr="00E251A9">
        <w:rPr>
          <w:rStyle w:val="StyleUnderline"/>
        </w:rPr>
        <w:t>her critique of the whole is not exclusively directed towards capitalism, but of capitalism as an affect of enlightenment lead modernity</w:t>
      </w:r>
      <w:r w:rsidRPr="00FB0C32">
        <w:rPr>
          <w:sz w:val="16"/>
        </w:rPr>
        <w:t xml:space="preserve">. The economic conditions, for Höch, are the outcomes of the whole. This becomes more literal when analyzing the role of the manifesto in Berlin Dada. What is Dadaism and What does it want in Germany? is the title of Raoul Hausmann and Richard Huelsenbeck’s 1919 manifesto[2]. Similar to the function of the title in Höch, this is also an expression of ulterior methodology – Dada, at once, is and wants – it has ontological presence and has desire. What is the desire of Dada? A few notable demands of the manifesto: “The international revolutionary union of all creative and intellectual men and women on the basis of radical Communism; Introduction of the simultaneist poem as a Communist state prayer; Requisition of churches for the performance of bruitism, simultaneist and Dadaist poems; Immediate organization of a large scale Dadaist propaganda campaign with 150 circuses for the enlightenment of the proletariat; Submission of all laws and decrees to the Dadaist central council for approval; Immediate regulation of all sexual relations according to the views of international Dadaism through establishment of a Dadaist sexual center.” </w:t>
      </w:r>
      <w:r w:rsidRPr="00D1583A">
        <w:rPr>
          <w:rStyle w:val="StyleUnderline"/>
        </w:rPr>
        <w:t>These demands are not simply revolutionary – they are self-consciously imaginary. They belong to a completely incommensurable social order to which the present order has zero comprehension</w:t>
      </w:r>
      <w:r w:rsidRPr="00FB0C32">
        <w:rPr>
          <w:sz w:val="16"/>
        </w:rPr>
        <w:t xml:space="preserve">. </w:t>
      </w:r>
      <w:r w:rsidRPr="00D1583A">
        <w:rPr>
          <w:rStyle w:val="StyleUnderline"/>
        </w:rPr>
        <w:t>It is this absurd vocabulary that</w:t>
      </w:r>
      <w:r w:rsidRPr="00FB0C32">
        <w:rPr>
          <w:sz w:val="16"/>
        </w:rPr>
        <w:t xml:space="preserve"> Berlin Dada </w:t>
      </w:r>
      <w:r w:rsidRPr="00D1583A">
        <w:rPr>
          <w:rStyle w:val="StyleUnderline"/>
        </w:rPr>
        <w:t>grounds not only</w:t>
      </w:r>
      <w:r w:rsidRPr="00FB0C32">
        <w:rPr>
          <w:sz w:val="16"/>
        </w:rPr>
        <w:t xml:space="preserve"> its </w:t>
      </w:r>
      <w:r w:rsidRPr="001F3AAE">
        <w:rPr>
          <w:rStyle w:val="StyleUnderline"/>
        </w:rPr>
        <w:t>political and aesthetic speech</w:t>
      </w:r>
      <w:r w:rsidRPr="00FB0C32">
        <w:rPr>
          <w:sz w:val="16"/>
        </w:rPr>
        <w:t xml:space="preserve">, </w:t>
      </w:r>
      <w:r w:rsidRPr="001F3AAE">
        <w:rPr>
          <w:rStyle w:val="StyleUnderline"/>
        </w:rPr>
        <w:t>but also its fantasy</w:t>
      </w:r>
      <w:r w:rsidRPr="00FB0C32">
        <w:rPr>
          <w:sz w:val="16"/>
        </w:rPr>
        <w:t xml:space="preserve">. But, the very problematic of fantasy is one in which must be sustained as real; this is the paradox of Dada. The impossibility of the demand adjacent the possibility of the real; the intersection of these distinctions is the area that Berlin Dada willingly exploited. That much of the Berlin Dadaist strategy is guided by fantasy does not dismiss their actual engagement with the world as false or a charade. The role of fantasy maintains that </w:t>
      </w:r>
      <w:r w:rsidRPr="001F3AAE">
        <w:rPr>
          <w:rStyle w:val="StyleUnderline"/>
        </w:rPr>
        <w:t xml:space="preserve">there is radical potential in the image of art and its relationship to the masses. </w:t>
      </w:r>
      <w:r w:rsidRPr="00FB0C32">
        <w:rPr>
          <w:sz w:val="16"/>
        </w:rPr>
        <w:t xml:space="preserve">While the politics of Luxemburg reconciled the social and symbolic order present to the relation of subjects, their coordination was without fantasy. </w:t>
      </w:r>
      <w:r w:rsidRPr="001F3AAE">
        <w:rPr>
          <w:rStyle w:val="StyleUnderline"/>
        </w:rPr>
        <w:t>Emancipation from the symbolic is not possible without emancipation of its affects: sexuality, rationality, nationalism, classism and so on.</w:t>
      </w:r>
      <w:r w:rsidRPr="00FB0C32">
        <w:rPr>
          <w:sz w:val="16"/>
        </w:rPr>
        <w:t xml:space="preserve"> In the organized fantasy of Berlin Dada, </w:t>
      </w:r>
      <w:r w:rsidRPr="001F3AAE">
        <w:rPr>
          <w:rStyle w:val="StyleUnderline"/>
        </w:rPr>
        <w:t>the work of art abstracted away from the conditions of reality and aimed towards the desire of fantasy; this is the true radical potential in aesthetics. And as one of the first organizations to depict aesthetics as a function of the imaginary,</w:t>
      </w:r>
      <w:r w:rsidRPr="00FB0C32">
        <w:rPr>
          <w:sz w:val="16"/>
        </w:rPr>
        <w:t xml:space="preserve"> Berlin Dada entered into the scene of politics with resentment. Was Berlin Dada also late to the end of art? Or were they simply articulating that its status as ‘alive’ enforces the same logic as the target of their criticism? If the Dadaist mantra of “Art is dead, long live art” reveals anything to the status of Berlin Dada </w:t>
      </w:r>
      <w:r w:rsidRPr="001F3AAE">
        <w:rPr>
          <w:rStyle w:val="StyleUnderline"/>
        </w:rPr>
        <w:t>it is that it welcomes contradiction as the grounding of a new social order. One in which achieves emancipation through the negation of reality’s corruption and its radical possibility to come.</w:t>
      </w:r>
    </w:p>
    <w:p xmlns:wp14="http://schemas.microsoft.com/office/word/2010/wordml" w:rsidR="0082799E" w:rsidP="0082799E" w:rsidRDefault="0082799E" w14:paraId="45FB0818" wp14:textId="77777777"/>
    <w:p xmlns:wp14="http://schemas.microsoft.com/office/word/2010/wordml" w:rsidR="0082799E" w:rsidP="0082799E" w:rsidRDefault="0082799E" w14:paraId="316791D8" wp14:textId="77777777">
      <w:pPr>
        <w:pStyle w:val="Heading3"/>
      </w:pPr>
      <w:r>
        <w:lastRenderedPageBreak/>
        <w:t>S: Art of Protest</w:t>
      </w:r>
    </w:p>
    <w:p xmlns:wp14="http://schemas.microsoft.com/office/word/2010/wordml" w:rsidRPr="00F43E8A" w:rsidR="0082799E" w:rsidP="0082799E" w:rsidRDefault="0082799E" w14:paraId="69566356" wp14:textId="77777777">
      <w:pPr>
        <w:pStyle w:val="Heading4"/>
      </w:pPr>
      <w:r w:rsidRPr="00F43E8A">
        <w:t>Murals as example of unity in the common struggle- specifically mix of violent and nonviolent means of protest in Civil Rights and Chicano movements</w:t>
      </w:r>
    </w:p>
    <w:p xmlns:wp14="http://schemas.microsoft.com/office/word/2010/wordml" w:rsidRPr="00F43E8A" w:rsidR="0082799E" w:rsidP="0082799E" w:rsidRDefault="0082799E" w14:paraId="7B2A62EA" wp14:textId="77777777">
      <w:pPr>
        <w:rPr>
          <w:rFonts w:eastAsia="Times New Roman" w:asciiTheme="minorHAnsi" w:hAnsiTheme="minorHAnsi" w:cstheme="minorHAnsi"/>
          <w:sz w:val="18"/>
          <w:szCs w:val="18"/>
        </w:rPr>
      </w:pPr>
      <w:r w:rsidRPr="000D09BF">
        <w:rPr>
          <w:rStyle w:val="Style13ptBold"/>
        </w:rPr>
        <w:t>Reed 2009</w:t>
      </w:r>
      <w:r w:rsidRPr="00F43E8A">
        <w:rPr>
          <w:rFonts w:asciiTheme="minorHAnsi" w:hAnsiTheme="minorHAnsi" w:cstheme="minorHAnsi"/>
          <w:bCs/>
        </w:rPr>
        <w:t xml:space="preserve"> </w:t>
      </w:r>
      <w:r w:rsidRPr="00F43E8A">
        <w:rPr>
          <w:rFonts w:asciiTheme="minorHAnsi" w:hAnsiTheme="minorHAnsi" w:cstheme="minorHAnsi"/>
          <w:bCs/>
          <w:sz w:val="18"/>
          <w:szCs w:val="18"/>
        </w:rPr>
        <w:t>[</w:t>
      </w:r>
      <w:r w:rsidRPr="00F43E8A">
        <w:rPr>
          <w:rFonts w:eastAsia="Times New Roman" w:asciiTheme="minorHAnsi" w:hAnsiTheme="minorHAnsi" w:cstheme="minorHAnsi"/>
          <w:sz w:val="18"/>
          <w:szCs w:val="18"/>
        </w:rPr>
        <w:t xml:space="preserve">Reed, Thomas Vernon. </w:t>
      </w:r>
      <w:r w:rsidRPr="00F43E8A">
        <w:rPr>
          <w:rFonts w:eastAsia="Times New Roman" w:asciiTheme="minorHAnsi" w:hAnsiTheme="minorHAnsi" w:cstheme="minorHAnsi"/>
          <w:i/>
          <w:iCs/>
          <w:sz w:val="18"/>
          <w:szCs w:val="18"/>
        </w:rPr>
        <w:t>The Art of Protest: Culture and Activism from the Civil Rights Movement to the Streets of Seattle</w:t>
      </w:r>
      <w:r w:rsidRPr="00F43E8A">
        <w:rPr>
          <w:rFonts w:eastAsia="Times New Roman" w:asciiTheme="minorHAnsi" w:hAnsiTheme="minorHAnsi" w:cstheme="minorHAnsi"/>
          <w:sz w:val="18"/>
          <w:szCs w:val="18"/>
        </w:rPr>
        <w:t xml:space="preserve">. Univ. of Minnesota Press, 2009. </w:t>
      </w:r>
      <w:r w:rsidRPr="00F43E8A">
        <w:rPr>
          <w:rFonts w:asciiTheme="minorHAnsi" w:hAnsiTheme="minorHAnsi" w:cstheme="minorHAnsi"/>
          <w:bCs/>
          <w:sz w:val="18"/>
          <w:szCs w:val="18"/>
        </w:rPr>
        <w:t>T. V. Reed</w:t>
      </w:r>
      <w:r w:rsidRPr="00F43E8A">
        <w:rPr>
          <w:rFonts w:asciiTheme="minorHAnsi" w:hAnsiTheme="minorHAnsi" w:cstheme="minorHAnsi"/>
          <w:sz w:val="18"/>
          <w:szCs w:val="18"/>
        </w:rPr>
        <w:t xml:space="preserve"> is the Buchanan Distinguished Professor Emeritus of American Studies and English at Washington State University. Reed's scholarship and teaching centers on the politics of cultural forms, and cultural forms of politics, particularly as rooted in social movements.]//MMS</w:t>
      </w:r>
    </w:p>
    <w:p xmlns:wp14="http://schemas.microsoft.com/office/word/2010/wordml" w:rsidRPr="00F43E8A" w:rsidR="0082799E" w:rsidP="0082799E" w:rsidRDefault="0082799E" w14:paraId="724D1DD2" wp14:textId="77777777">
      <w:pPr>
        <w:autoSpaceDE w:val="0"/>
        <w:autoSpaceDN w:val="0"/>
        <w:adjustRightInd w:val="0"/>
        <w:spacing w:after="0" w:line="240" w:lineRule="auto"/>
        <w:rPr>
          <w:rFonts w:asciiTheme="minorHAnsi" w:hAnsiTheme="minorHAnsi" w:cstheme="minorHAnsi"/>
          <w:color w:val="231F20"/>
          <w:sz w:val="16"/>
          <w:szCs w:val="21"/>
        </w:rPr>
      </w:pPr>
      <w:r w:rsidRPr="003871E1">
        <w:rPr>
          <w:rStyle w:val="StyleUnderline"/>
        </w:rPr>
        <w:t>If I were to give the image of community conveyed in Bernal’s mural a name, it would be something like “community as militant or revolutionary solidarity</w:t>
      </w:r>
      <w:r w:rsidRPr="00F43E8A">
        <w:rPr>
          <w:rFonts w:asciiTheme="minorHAnsi" w:hAnsiTheme="minorHAnsi" w:cstheme="minorHAnsi"/>
          <w:color w:val="231F20"/>
          <w:sz w:val="16"/>
          <w:szCs w:val="21"/>
        </w:rPr>
        <w:t xml:space="preserve">.” To achieve this image of solidarity, </w:t>
      </w:r>
      <w:r w:rsidRPr="003871E1">
        <w:rPr>
          <w:rStyle w:val="StyleUnderline"/>
        </w:rPr>
        <w:t>the mural collages together, or some would say paints over, several ideological differences.  The nonviolent strategies of King and Chávez</w:t>
      </w:r>
      <w:r w:rsidRPr="00F43E8A">
        <w:rPr>
          <w:rFonts w:asciiTheme="minorHAnsi" w:hAnsiTheme="minorHAnsi" w:cstheme="minorHAnsi"/>
          <w:color w:val="231F20"/>
          <w:sz w:val="16"/>
          <w:szCs w:val="21"/>
        </w:rPr>
        <w:t xml:space="preserve">, for example, </w:t>
      </w:r>
      <w:r w:rsidRPr="003871E1">
        <w:rPr>
          <w:rStyle w:val="StyleUnderline"/>
        </w:rPr>
        <w:t>exist unproblematically alongside the armed struggle represented by the Mexican revolutionaries, the Black Panthers, and Tijerina</w:t>
      </w:r>
      <w:r w:rsidRPr="00F43E8A">
        <w:rPr>
          <w:rFonts w:asciiTheme="minorHAnsi" w:hAnsiTheme="minorHAnsi" w:cstheme="minorHAnsi"/>
          <w:color w:val="231F20"/>
          <w:sz w:val="16"/>
          <w:szCs w:val="21"/>
        </w:rPr>
        <w:t xml:space="preserve">. And while the overall image was surely intended to evoke an emerging </w:t>
      </w:r>
      <w:r w:rsidRPr="00F43E8A">
        <w:rPr>
          <w:rFonts w:asciiTheme="minorHAnsi" w:hAnsiTheme="minorHAnsi" w:cstheme="minorHAnsi"/>
          <w:i/>
          <w:iCs/>
          <w:color w:val="231F20"/>
          <w:sz w:val="16"/>
          <w:szCs w:val="21"/>
        </w:rPr>
        <w:t xml:space="preserve">chicanismo, </w:t>
      </w:r>
      <w:r w:rsidRPr="00F43E8A">
        <w:rPr>
          <w:rFonts w:asciiTheme="minorHAnsi" w:hAnsiTheme="minorHAnsi" w:cstheme="minorHAnsi"/>
          <w:color w:val="231F20"/>
          <w:sz w:val="16"/>
          <w:szCs w:val="21"/>
        </w:rPr>
        <w:t xml:space="preserve">a Chicano nationalism similar to the black nationalism discussed in chapter 2, none of the pictured individuals, including the contemporary ones, were full supporters of a nationalist position. But </w:t>
      </w:r>
      <w:r w:rsidRPr="003871E1">
        <w:rPr>
          <w:rStyle w:val="StyleUnderline"/>
        </w:rPr>
        <w:t>this expresses both a truth of the movement and one of the strengths of muralism. The truth is that a spirit of common struggle did unite a great many Chicanos at this time, despite ideological, tactical, regional, gender, class, and other differences. No medium was better equipped to express this solidarity indifference than the wordless form of the mural where the complexities of verbal political positionings are muted in a visual language of pure juxtaposition—all the figures forming a single, united front of resistance</w:t>
      </w:r>
      <w:r w:rsidRPr="00F43E8A">
        <w:rPr>
          <w:rFonts w:asciiTheme="minorHAnsi" w:hAnsiTheme="minorHAnsi" w:cstheme="minorHAnsi"/>
          <w:color w:val="231F20"/>
          <w:sz w:val="16"/>
          <w:szCs w:val="21"/>
        </w:rPr>
        <w:t>. This sense of united effort was given historical depth not only by the historical figures in the scene but also in the style of the mural, which draws from the Mexican muralists who had drawn from the style of ancient Indian friezes (which, like Bernal’s mural, typically depict people in three-quarter profile).</w:t>
      </w:r>
    </w:p>
    <w:p xmlns:wp14="http://schemas.microsoft.com/office/word/2010/wordml" w:rsidRPr="00F43E8A" w:rsidR="0082799E" w:rsidP="0082799E" w:rsidRDefault="0082799E" w14:paraId="049F31CB" wp14:textId="77777777">
      <w:pPr>
        <w:autoSpaceDE w:val="0"/>
        <w:autoSpaceDN w:val="0"/>
        <w:adjustRightInd w:val="0"/>
        <w:spacing w:after="0" w:line="240" w:lineRule="auto"/>
        <w:rPr>
          <w:rFonts w:asciiTheme="minorHAnsi" w:hAnsiTheme="minorHAnsi" w:cstheme="minorHAnsi"/>
          <w:color w:val="231F20"/>
          <w:sz w:val="21"/>
          <w:szCs w:val="21"/>
          <w:u w:val="single"/>
        </w:rPr>
      </w:pPr>
    </w:p>
    <w:p xmlns:wp14="http://schemas.microsoft.com/office/word/2010/wordml" w:rsidR="0082799E" w:rsidP="0082799E" w:rsidRDefault="0082799E" w14:paraId="76D8263C" wp14:textId="77777777">
      <w:pPr>
        <w:pStyle w:val="Heading3"/>
      </w:pPr>
      <w:r>
        <w:lastRenderedPageBreak/>
        <w:t>S: Border Control</w:t>
      </w:r>
    </w:p>
    <w:p xmlns:wp14="http://schemas.microsoft.com/office/word/2010/wordml" w:rsidRPr="009F325C" w:rsidR="0082799E" w:rsidP="0082799E" w:rsidRDefault="0082799E" w14:paraId="51F99B0E" wp14:textId="77777777">
      <w:pPr>
        <w:pStyle w:val="Heading4"/>
        <w:rPr>
          <w:rFonts w:eastAsia="Times New Roman" w:asciiTheme="minorHAnsi" w:hAnsiTheme="minorHAnsi" w:cstheme="minorHAnsi"/>
        </w:rPr>
      </w:pPr>
      <w:r w:rsidRPr="009F325C">
        <w:rPr>
          <w:rFonts w:eastAsia="Times New Roman" w:asciiTheme="minorHAnsi" w:hAnsiTheme="minorHAnsi" w:cstheme="minorHAnsi"/>
        </w:rPr>
        <w:t xml:space="preserve">Artists are important social justice advocates at the US-Mexico border, especially in protest of imperialism.  Their art rejects the idea of the border as a real separation between two nations or areas of land.  </w:t>
      </w:r>
    </w:p>
    <w:p xmlns:wp14="http://schemas.microsoft.com/office/word/2010/wordml" w:rsidRPr="009F325C" w:rsidR="0082799E" w:rsidP="0082799E" w:rsidRDefault="0082799E" w14:paraId="5684AA89" wp14:textId="77777777">
      <w:pPr>
        <w:autoSpaceDE w:val="0"/>
        <w:autoSpaceDN w:val="0"/>
        <w:adjustRightInd w:val="0"/>
        <w:spacing w:after="0" w:line="240" w:lineRule="auto"/>
        <w:rPr>
          <w:rStyle w:val="Style13ptBold"/>
          <w:rFonts w:eastAsia="TimesNewRomanPSMT" w:asciiTheme="minorHAnsi" w:hAnsiTheme="minorHAnsi" w:cstheme="minorHAnsi"/>
          <w:b w:val="0"/>
          <w:bCs w:val="0"/>
          <w:sz w:val="22"/>
        </w:rPr>
      </w:pPr>
      <w:r w:rsidRPr="009F325C">
        <w:rPr>
          <w:rStyle w:val="Style13ptBold"/>
          <w:rFonts w:asciiTheme="minorHAnsi" w:hAnsiTheme="minorHAnsi" w:cstheme="minorHAnsi"/>
        </w:rPr>
        <w:t>Aushana 2012</w:t>
      </w:r>
      <w:r w:rsidRPr="009F325C">
        <w:rPr>
          <w:rFonts w:asciiTheme="minorHAnsi" w:hAnsiTheme="minorHAnsi" w:cstheme="minorHAnsi"/>
        </w:rPr>
        <w:t xml:space="preserve"> </w:t>
      </w:r>
      <w:r w:rsidRPr="009F325C">
        <w:rPr>
          <w:rFonts w:asciiTheme="minorHAnsi" w:hAnsiTheme="minorHAnsi" w:cstheme="minorHAnsi"/>
          <w:sz w:val="18"/>
        </w:rPr>
        <w:t xml:space="preserve">[Aushana, Christina A. </w:t>
      </w:r>
      <w:r w:rsidRPr="009F325C">
        <w:rPr>
          <w:rFonts w:asciiTheme="minorHAnsi" w:hAnsiTheme="minorHAnsi" w:cstheme="minorHAnsi"/>
          <w:bCs/>
          <w:i/>
          <w:sz w:val="18"/>
        </w:rPr>
        <w:t>Transborder Art Activism and the U.S.-Mexico Border: Analyzing “Artscapes” as Forms of Resistance and Cultural Production in the Frame of Globalization</w:t>
      </w:r>
      <w:r w:rsidRPr="009F325C">
        <w:rPr>
          <w:rFonts w:asciiTheme="minorHAnsi" w:hAnsiTheme="minorHAnsi" w:cstheme="minorHAnsi"/>
          <w:bCs/>
          <w:sz w:val="18"/>
        </w:rPr>
        <w:t xml:space="preserve">. 2012 Christna Aushana holds degrees in communication and visual arts studies.  She also co founded an organization in San Diego called </w:t>
      </w:r>
      <w:r w:rsidRPr="009F325C">
        <w:rPr>
          <w:rFonts w:eastAsia="TimesNewRomanPSMT" w:asciiTheme="minorHAnsi" w:hAnsiTheme="minorHAnsi" w:cstheme="minorHAnsi"/>
          <w:sz w:val="18"/>
        </w:rPr>
        <w:t>Rethink Art: Afterschool Art Activism</w:t>
      </w:r>
      <w:r w:rsidRPr="009F325C">
        <w:rPr>
          <w:rFonts w:asciiTheme="minorHAnsi" w:hAnsiTheme="minorHAnsi" w:cstheme="minorHAnsi"/>
          <w:bCs/>
          <w:sz w:val="18"/>
        </w:rPr>
        <w:t>]</w:t>
      </w:r>
      <w:r>
        <w:rPr>
          <w:rFonts w:asciiTheme="minorHAnsi" w:hAnsiTheme="minorHAnsi" w:cstheme="minorHAnsi"/>
          <w:bCs/>
          <w:sz w:val="18"/>
        </w:rPr>
        <w:t>//MMS</w:t>
      </w:r>
    </w:p>
    <w:p xmlns:wp14="http://schemas.microsoft.com/office/word/2010/wordml" w:rsidRPr="009F325C" w:rsidR="0082799E" w:rsidP="0082799E" w:rsidRDefault="0082799E" w14:paraId="5940BB8A" wp14:textId="77777777">
      <w:pPr>
        <w:autoSpaceDE w:val="0"/>
        <w:autoSpaceDN w:val="0"/>
        <w:adjustRightInd w:val="0"/>
        <w:spacing w:after="0" w:line="240" w:lineRule="auto"/>
        <w:rPr>
          <w:rFonts w:eastAsia="TimesNewRomanPSMT" w:asciiTheme="minorHAnsi" w:hAnsiTheme="minorHAnsi" w:cstheme="minorHAnsi"/>
          <w:sz w:val="16"/>
        </w:rPr>
      </w:pPr>
      <w:r w:rsidRPr="002C24EE">
        <w:rPr>
          <w:rStyle w:val="StyleUnderline"/>
        </w:rPr>
        <w:t>While common actors, such as scholars or politicians, have been active players in defining the border and its inhabitants, another group of actors has been actively engaged in critiquing the effects of global cultural flows and how globalizing forces have shaped the U.S.-Mexico border. Contemporary artists working within this border region, from painters to elusive performance artists, have become powerful actors, performing significant roles as agents and advocates of social justice.</w:t>
      </w:r>
      <w:r w:rsidRPr="009F325C">
        <w:rPr>
          <w:rFonts w:eastAsia="TimesNewRomanPSMT" w:asciiTheme="minorHAnsi" w:hAnsiTheme="minorHAnsi" w:cstheme="minorHAnsi"/>
          <w:sz w:val="16"/>
        </w:rPr>
        <w:t xml:space="preserve"> More specifically, this discussion looks at the social and political roles </w:t>
      </w:r>
      <w:r w:rsidRPr="002C24EE">
        <w:rPr>
          <w:rStyle w:val="StyleUnderline"/>
        </w:rPr>
        <w:t>that art activists have performed within the frame of resistance to hegemonic discourses of both globalization and the institution of contemporary art.</w:t>
      </w:r>
      <w:r w:rsidRPr="009F325C">
        <w:rPr>
          <w:rFonts w:eastAsia="TimesNewRomanPSMT" w:asciiTheme="minorHAnsi" w:hAnsiTheme="minorHAnsi" w:cstheme="minorHAnsi"/>
          <w:sz w:val="16"/>
        </w:rPr>
        <w:t xml:space="preserve"> This conceptual framework re-appropriates the notion of “scapes,” which Appadurai uses in measuring global cultural flows. Due to its flexibility as a model for studying dimensions of culture and how they flow, this discussion asserts that transnational art practices and contemporary </w:t>
      </w:r>
      <w:r w:rsidRPr="002C24EE">
        <w:rPr>
          <w:rStyle w:val="StyleUnderline"/>
        </w:rPr>
        <w:t>flows of art activism can be understood through the analysis of another scape created for the sole purpose of this research: artscapes</w:t>
      </w:r>
      <w:r w:rsidRPr="009F325C">
        <w:rPr>
          <w:rFonts w:eastAsia="TimesNewRomanPSMT" w:asciiTheme="minorHAnsi" w:hAnsiTheme="minorHAnsi" w:cstheme="minorHAnsi"/>
          <w:sz w:val="16"/>
        </w:rPr>
        <w:t xml:space="preserve">. Artscapes, which can be understood as the transnational flows of contemporary art works, explore the processes of artistic, cultural production within Southern California’s border region and examines the trajectories of transborder artists’ works in relation to border discourses and diaspora. More specifically, this discussion maps out how transborder art works have flowed, moved, and transformed during the last four decades in the border region shared between the United States and Mexico, beginning with the Chicano Art Movement and moving into more contemporary examples in the 21st century. By analyzing instances of transborder art activism through the flows of artscapes, one can study how </w:t>
      </w:r>
      <w:r w:rsidRPr="002C24EE">
        <w:rPr>
          <w:rStyle w:val="StyleUnderline"/>
        </w:rPr>
        <w:t>these scapes engender and foster new hybrid identities for subaltern individuals and communities in relation to stereotypes and constructions of fear in relation to the U.S.-Mexico border, both as a physical wall and as an ideological construction within the minds of those who are affected by the consequences of its existence.  Many San Diego and Los Angeles-based artists working as transborder art activists have actively engaged in creating works that critique the encompassing border politics of the region and the expansion of the U.S.-Mexico border fence, signifying its existence as a part of a highly-militarized landscape and a central figure in a transborder conflict of stereotypes, social inequality, and political dissidence.</w:t>
      </w:r>
      <w:r w:rsidRPr="009F325C">
        <w:rPr>
          <w:rFonts w:eastAsia="TimesNewRomanPSMT" w:asciiTheme="minorHAnsi" w:hAnsiTheme="minorHAnsi" w:cstheme="minorHAnsi"/>
          <w:sz w:val="16"/>
        </w:rPr>
        <w:t xml:space="preserve"> In order to examine how hegemonic forces have framed this conflict, the findings in this discussion will illustrate how contemporary visual artists, herein referred to as transborder art activists in order to signify how </w:t>
      </w:r>
      <w:r w:rsidRPr="002C24EE">
        <w:rPr>
          <w:rStyle w:val="StyleUnderline"/>
        </w:rPr>
        <w:t>their works both interface with border politics while simultaneously transcending them, are capable of critiquing the physical and cultural landscape of the U.S.-Mexico border, which often concerns itself with issues of immigration, race, and national identity</w:t>
      </w:r>
      <w:r w:rsidRPr="009F325C">
        <w:rPr>
          <w:rFonts w:eastAsia="TimesNewRomanPSMT" w:asciiTheme="minorHAnsi" w:hAnsiTheme="minorHAnsi" w:cstheme="minorHAnsi"/>
          <w:sz w:val="16"/>
        </w:rPr>
        <w:t xml:space="preserve">. For many artists mentioned in this research, </w:t>
      </w:r>
      <w:r w:rsidRPr="002C24EE">
        <w:rPr>
          <w:rStyle w:val="StyleUnderline"/>
        </w:rPr>
        <w:t>the border is “not a physical boundary line separating two sovereign nations, but rather a place of its own, defined by a confluence of cultures that is not geographically bounded either to the north or to the south</w:t>
      </w:r>
      <w:r w:rsidRPr="009F325C">
        <w:rPr>
          <w:rFonts w:eastAsia="TimesNewRomanPSMT" w:asciiTheme="minorHAnsi" w:hAnsiTheme="minorHAnsi" w:cstheme="minorHAnsi"/>
          <w:sz w:val="16"/>
        </w:rPr>
        <w:t xml:space="preserve">. The border is the specific nexus of an authentic zone of hybridized cultural experience” (Chávez and Grynsztejn xviii). In addition to the use of artscapes, this discussion will also look at issues of hybridity and hybridization which author Néstor García Canclini explores in his texts about globalization and the construction of cross-cultural identities. In regards to the converging landscapes of the border region, this discussion will identify the significance of identity and place across the cultural landscapes of the U.S.-Mexico border region.  By utilizing this particular landscape as a point of departure, this analysis examines how </w:t>
      </w:r>
      <w:r w:rsidRPr="002C24EE">
        <w:rPr>
          <w:rStyle w:val="StyleUnderline"/>
        </w:rPr>
        <w:t>transborder art practices create new hybrid identities for those who have been marginalized by the construction of the border</w:t>
      </w:r>
      <w:r w:rsidRPr="009F325C">
        <w:rPr>
          <w:rFonts w:eastAsia="TimesNewRomanPSMT" w:asciiTheme="minorHAnsi" w:hAnsiTheme="minorHAnsi" w:cstheme="minorHAnsi"/>
          <w:sz w:val="16"/>
        </w:rPr>
        <w:t xml:space="preserve">. Canclini illustrates this point when speaking about hybridization: It is possible to understand the various subject positions implicated in cross-cultural relations.  Thus, one can work on processes of hybridization in relation to cultural inequality, to the possibilities for appropriating several cultures at once in different group or classes, and therefore in relation to asymmetries of power and prestige. (Canclini xxx) In this way, some </w:t>
      </w:r>
      <w:r w:rsidRPr="002C24EE">
        <w:rPr>
          <w:rStyle w:val="StyleUnderline"/>
        </w:rPr>
        <w:t xml:space="preserve">art activists critique issues of power, including questions of who possesses the authority to create cultural productions or to cross ideological barriers. Additionally, by analyzing a wide array of activist practices, one can see how artists exhibit forms of </w:t>
      </w:r>
      <w:r w:rsidRPr="002C24EE">
        <w:rPr>
          <w:rStyle w:val="StyleUnderline"/>
        </w:rPr>
        <w:lastRenderedPageBreak/>
        <w:t>resistance to a postcolonial, cultural imperialist way of thinking about the border. In this way, transborder art activists construct a new vernacular and open up new channels for thinking about how global cultural flows move in relation to the border that do not rely on center-periphery models</w:t>
      </w:r>
      <w:r w:rsidRPr="009F325C">
        <w:rPr>
          <w:rFonts w:eastAsia="TimesNewRomanPSMT" w:asciiTheme="minorHAnsi" w:hAnsiTheme="minorHAnsi" w:cstheme="minorHAnsi"/>
          <w:sz w:val="16"/>
        </w:rPr>
        <w:t xml:space="preserve">. The examples of transborder art activism which will be explored illustrate how this “movement from the center (dominant culture) to the margins (so-called minority cultures) eliminates the use of the language of margins and centers” (Chávez 11). </w:t>
      </w:r>
      <w:r w:rsidRPr="002C24EE">
        <w:rPr>
          <w:rStyle w:val="StyleUnderline"/>
        </w:rPr>
        <w:t>The artworks</w:t>
      </w:r>
      <w:r w:rsidRPr="009F325C">
        <w:rPr>
          <w:rFonts w:eastAsia="TimesNewRomanPSMT" w:asciiTheme="minorHAnsi" w:hAnsiTheme="minorHAnsi" w:cstheme="minorHAnsi"/>
          <w:sz w:val="16"/>
        </w:rPr>
        <w:t xml:space="preserve"> that will be explored in further detail </w:t>
      </w:r>
      <w:r w:rsidRPr="002C24EE">
        <w:rPr>
          <w:rStyle w:val="StyleUnderline"/>
        </w:rPr>
        <w:t>actively work against hegemonic notions of cultural imperialism</w:t>
      </w:r>
      <w:r w:rsidRPr="009F325C">
        <w:rPr>
          <w:rFonts w:eastAsia="TimesNewRomanPSMT" w:asciiTheme="minorHAnsi" w:hAnsiTheme="minorHAnsi" w:cstheme="minorHAnsi"/>
          <w:sz w:val="16"/>
        </w:rPr>
        <w:t xml:space="preserve">. In looking at how transborder art activism functions, this analysis will also study how the phenomena of local sites of culture interact with the phenomena of global narratives of resistance, specifically in terms of how local artworks co-opt these narrative structures by utilizing a set of aesthetic or conceptual symbols that are codified and recognized on a global scale. It is also important to look at how artists working within this border region “have connections to multiple places and binational identities. They also have a rootedness in the border region, </w:t>
      </w:r>
      <w:r w:rsidRPr="002C24EE">
        <w:rPr>
          <w:rStyle w:val="StyleUnderline"/>
        </w:rPr>
        <w:t>creating artwork</w:t>
      </w:r>
      <w:r w:rsidRPr="009F325C">
        <w:rPr>
          <w:rFonts w:eastAsia="TimesNewRomanPSMT" w:asciiTheme="minorHAnsi" w:hAnsiTheme="minorHAnsi" w:cstheme="minorHAnsi"/>
          <w:sz w:val="16"/>
        </w:rPr>
        <w:t xml:space="preserve"> that... </w:t>
      </w:r>
      <w:r w:rsidRPr="002C24EE">
        <w:rPr>
          <w:rStyle w:val="StyleUnderline"/>
        </w:rPr>
        <w:t>engages elements of both the hard and soft city...and the mental constructs we erect to make sense of those surroundings</w:t>
      </w:r>
      <w:r w:rsidRPr="009F325C">
        <w:rPr>
          <w:rFonts w:eastAsia="TimesNewRomanPSMT" w:asciiTheme="minorHAnsi" w:hAnsiTheme="minorHAnsi" w:cstheme="minorHAnsi"/>
          <w:sz w:val="16"/>
        </w:rPr>
        <w:t>” (Leclerc and Dear 14). By utilizing the notions of artscapes and hybridity, this discussion navigates the flows of transborder art activism by looking at four specific art collectives and artworks that have critiqued global cultural flows in relation the U.S.-Mexico border: the Chicano Art Movement in the 1960s and 1970s, the work of Guillermo Gómez-Peña and the Border Art Workshop/ Taller de Arte Fronterizo in the 1980s and 1990s, and the art works of Rubén Ortiz-Torres and Ricardo Dominguez in the 2000s.</w:t>
      </w:r>
    </w:p>
    <w:p xmlns:wp14="http://schemas.microsoft.com/office/word/2010/wordml" w:rsidRPr="002F728F" w:rsidR="0082799E" w:rsidP="0082799E" w:rsidRDefault="0082799E" w14:paraId="53128261" wp14:textId="77777777"/>
    <w:p xmlns:wp14="http://schemas.microsoft.com/office/word/2010/wordml" w:rsidR="0082799E" w:rsidP="0082799E" w:rsidRDefault="0082799E" w14:paraId="36A766FD" wp14:textId="77777777">
      <w:pPr>
        <w:pStyle w:val="Heading3"/>
      </w:pPr>
      <w:r>
        <w:lastRenderedPageBreak/>
        <w:t>S: Citizenship</w:t>
      </w:r>
    </w:p>
    <w:p xmlns:wp14="http://schemas.microsoft.com/office/word/2010/wordml" w:rsidRPr="00A965EA" w:rsidR="0082799E" w:rsidP="0082799E" w:rsidRDefault="0082799E" w14:paraId="29426CCC" wp14:textId="77777777">
      <w:pPr>
        <w:pStyle w:val="Heading4"/>
        <w:rPr>
          <w:rFonts w:cs="Arial"/>
        </w:rPr>
      </w:pPr>
      <w:r>
        <w:rPr>
          <w:rFonts w:cs="Arial"/>
        </w:rPr>
        <w:t>Border art challenges citizenship and violent sovereign policing through the proliferation of a shared sense of belonging-in-difference that challenges</w:t>
      </w:r>
    </w:p>
    <w:p xmlns:wp14="http://schemas.microsoft.com/office/word/2010/wordml" w:rsidRPr="00A965EA" w:rsidR="0082799E" w:rsidP="0082799E" w:rsidRDefault="0082799E" w14:paraId="4FC08CC4" wp14:textId="77777777">
      <w:pPr>
        <w:rPr>
          <w:color w:val="222222"/>
          <w:sz w:val="20"/>
          <w:szCs w:val="20"/>
        </w:rPr>
      </w:pPr>
      <w:r w:rsidRPr="00A965EA">
        <w:rPr>
          <w:b/>
          <w:color w:val="222222"/>
          <w:sz w:val="20"/>
          <w:szCs w:val="20"/>
        </w:rPr>
        <w:t xml:space="preserve">Vourloumis </w:t>
      </w:r>
      <w:r w:rsidRPr="00A965EA">
        <w:rPr>
          <w:color w:val="222222"/>
          <w:sz w:val="20"/>
          <w:szCs w:val="20"/>
        </w:rPr>
        <w:t xml:space="preserve">(Hypatia, Ph.D in performance studies from New York University, teaches at the International Center for Hellenic and Mediterranean Studies. “Come and See What We Do: Contemporary Migrant Performances in Athens, Greece.” Theatre Journal, Volume 66, Number 2, May 2014.) ///ONW </w:t>
      </w:r>
    </w:p>
    <w:p xmlns:wp14="http://schemas.microsoft.com/office/word/2010/wordml" w:rsidRPr="00A965EA" w:rsidR="0082799E" w:rsidP="0082799E" w:rsidRDefault="0082799E" w14:paraId="0D848A35" wp14:textId="77777777">
      <w:pPr>
        <w:rPr>
          <w:sz w:val="16"/>
        </w:rPr>
      </w:pPr>
      <w:r w:rsidRPr="00A965EA">
        <w:rPr>
          <w:rStyle w:val="StyleUnderline"/>
        </w:rPr>
        <w:t>ELANADISTIKANOUME’s interventions address and counter the growing nationalist and fascist forces prevalent in Greece and throughout Europe</w:t>
      </w:r>
      <w:r w:rsidRPr="00A965EA">
        <w:rPr>
          <w:sz w:val="16"/>
        </w:rPr>
        <w:t xml:space="preserve">. More importantly, </w:t>
      </w:r>
      <w:r w:rsidRPr="00A965EA">
        <w:rPr>
          <w:rStyle w:val="StyleUnderline"/>
        </w:rPr>
        <w:t>this performance group exposes the ways in which the historical pluralities and complexities of Greek society are revealed through cultural works performed by those very bodies without citizenship and an official national identity</w:t>
      </w:r>
      <w:r w:rsidRPr="00A965EA">
        <w:rPr>
          <w:sz w:val="16"/>
        </w:rPr>
        <w:t xml:space="preserve">. While the economy is the primary lens through which the current Greek crisis has been represented, in this essay, I suggest that </w:t>
      </w:r>
      <w:r w:rsidRPr="00A965EA">
        <w:rPr>
          <w:rStyle w:val="StyleUnderline"/>
        </w:rPr>
        <w:t>ELANADISTIKANOUME destabilizes and brings into question the seeming coherence of the category of Greek sovereignty.</w:t>
      </w:r>
      <w:r w:rsidRPr="00A965EA">
        <w:rPr>
          <w:sz w:val="16"/>
        </w:rPr>
        <w:t xml:space="preserve"> Through a close analysis of three of their works, I first engage with a performance that takes place in a community-run space in the center of Athens, where four members of the group interpret the Greek traditional musical genre of rebetika. In the second performance, held last year at an antiracist summer festival, I look at how </w:t>
      </w:r>
      <w:r w:rsidRPr="00A965EA">
        <w:rPr>
          <w:rStyle w:val="StyleUnderline"/>
        </w:rPr>
        <w:t xml:space="preserve">the group uses improvised dance to interrogate the literal and figurative border and the tensions between the singular and plural. In the final piece, the performers present a “manifesto” within an occupied theatre. The sites in which these performances take place are significant not merely for providing safe spaces within a hostile urban environment, but, more importantly, for being affiliated with local antiracist and anti-austerity social movements that have emerged during the past few years in Greece. These performances can be understood as simultaneously stemming from, while also forming, a tentative differential common front between citizens and noncitizens. </w:t>
      </w:r>
      <w:r w:rsidRPr="00A965EA">
        <w:rPr>
          <w:sz w:val="16"/>
        </w:rPr>
        <w:t xml:space="preserve">This plurality that escapes any easy political representation complicates fixed notions of the Greek public sphere and the subjects that Mitropoulos suggests are “proper to it.” </w:t>
      </w:r>
      <w:r w:rsidRPr="00A965EA">
        <w:rPr>
          <w:rStyle w:val="StyleUnderline"/>
        </w:rPr>
        <w:t>In particular, I focus on how each of the three works negotiates canonical limits—whether physical, cultural, or imagined— through sustained encounters with institutional structures and boundaries.</w:t>
      </w:r>
      <w:r w:rsidRPr="00A965EA">
        <w:rPr>
          <w:sz w:val="16"/>
        </w:rPr>
        <w:t xml:space="preserve"> Situated at and transgressing the edges of postcolonial, national, and global identity, ELANADISTIKANOUME’s call for life within the nation is always a critical one. </w:t>
      </w:r>
      <w:r w:rsidRPr="00A965EA">
        <w:rPr>
          <w:rStyle w:val="StyleUnderline"/>
        </w:rPr>
        <w:t>Informed by its experiences of dispossession, illegality, and the constant interrogation of borders, the group’s call is for a belonging-in-difference within an always-already ambiguous sovereign demarcation</w:t>
      </w:r>
      <w:r w:rsidRPr="00A965EA">
        <w:rPr>
          <w:sz w:val="16"/>
        </w:rPr>
        <w:t xml:space="preserve">. Instigated by the necessary imperative to resist current global forces governing migrating bodies, ELANADISTIKANOUME’s cultural enactments can be seen as refusing those powers that, in Achille Mbembe’s words, “dictate who may live and who must die.”6 </w:t>
      </w:r>
      <w:r w:rsidRPr="00A965EA">
        <w:rPr>
          <w:rStyle w:val="StyleUnderline"/>
        </w:rPr>
        <w:t>As Greece’s borders become increasingly militarized and as economic and social deterioration worsens, the figure of the “antinational” is interpellated and violently policed.7 Rapidly transforming into an ethnically heterogeneous nation where the majority of people displaced by exploitation, poverty, and war enter Europe through Greece’s border with Turkey, the primary figure standing in for this “internal enemy” is the one of the migrant</w:t>
      </w:r>
      <w:r w:rsidRPr="00A965EA">
        <w:rPr>
          <w:sz w:val="16"/>
        </w:rPr>
        <w:t xml:space="preserve">. Unprepared for the massive influx of migrating people, the Greek state propagates anti-immigrant discourse and policies.8 Moreover, the neo-Nazi party, Golden Dawn, managed to win close to 7 percent of the Greek vote in the 2012 national elections, gaining eighteen parliamentary seats. Its members regularly terrorize immigrants and their supporters in the capital, murdering Shehzad Luqman in January 2013 and Pavlos Fyssas in September 2013.9 Meanwhile, privately run detention camps proliferate, administering indefinite detainment for undocumented persons labeled as “illegal” presences. A metal barrier has recently been erected along the Evros River bordering Greece and Turkey. As I write this, many migrants drown in the Aegean Sea as they flee the wars in Syria and Afghanistan, while the police spontaneously engage in sudden mass arrests, detentions, and deportations known as “Operation Broom” and “Xenios Zeus.”10 </w:t>
      </w:r>
      <w:r w:rsidRPr="00A965EA">
        <w:rPr>
          <w:rStyle w:val="StyleUnderline"/>
        </w:rPr>
        <w:t xml:space="preserve">This policy of sweeping Athens clean of “matter out of place,” to borrow a phrase from Mary Douglas—of people who turn up in the wrong category, or when they fail to fit any category in some dangerous zone of in-betweenness—acts as a backdrop that </w:t>
      </w:r>
      <w:r w:rsidRPr="00A965EA">
        <w:rPr>
          <w:rStyle w:val="StyleUnderline"/>
        </w:rPr>
        <w:lastRenderedPageBreak/>
        <w:t>informs the first performance I analyze</w:t>
      </w:r>
      <w:r w:rsidRPr="00A965EA">
        <w:rPr>
          <w:sz w:val="16"/>
        </w:rPr>
        <w:t>.11 In March 2010, at a gathering organized by the United African Women based in Athens, four members of ELANADISTIKANOUME walked into the open space of the old covered market, Agora Kypseli, where the festivities were taking place.12 The four performers proceeded to kneel on the ground in silence, each separately covering their bodies with a plastic sheet that obscured their crouching selves. An intrigued, impromptu audience circled to watch them slowly sway, ghostly and strange, haunting in their object-like status, as the rounded kneeling figures gesturing through the plastic membrane evoked their condition of alienness and alienation. Very slowly lifting their bodies to an upright position, their arms ripped through the transparent cocoons. In synchronized movements, Tapha Diaw, Doudou Gueye, Papa Loum, and Alphonse Thiaby then raised and stretched their arms like eagles’ wings and shuffled slowly in small circles, pulling the rustling plastic around their ankles. Suddenly, the deep sounds of the introduction to the Greek rebetiko song “Zeibekiko of Evdokia” filled the space deafeningly, and the audience realized that the four men were performing a version of a traditional Greek dance, altering it into a cross-cultural, West African/Greek zeibekiko.13 The normative roles of rebetika music and the zeibekiko as its signature dance—understood as recognizable cultural signifiers fixing national and ethnic identity—were instantly subverted as the transfixed audience supported their effort with cheers and claps. When the music ended, the performers knelt on the ground, quickly gathered the plastic sheeting, and disappeared into the crowd.</w:t>
      </w:r>
    </w:p>
    <w:p xmlns:wp14="http://schemas.microsoft.com/office/word/2010/wordml" w:rsidR="0082799E" w:rsidP="0082799E" w:rsidRDefault="0082799E" w14:paraId="37FD5DE4" wp14:textId="77777777">
      <w:pPr>
        <w:pStyle w:val="Heading3"/>
      </w:pPr>
      <w:r>
        <w:lastRenderedPageBreak/>
        <w:t>S: Collective Action</w:t>
      </w:r>
    </w:p>
    <w:p xmlns:wp14="http://schemas.microsoft.com/office/word/2010/wordml" w:rsidRPr="00A965EA" w:rsidR="0082799E" w:rsidP="0082799E" w:rsidRDefault="0082799E" w14:paraId="44D69A14" wp14:textId="77777777">
      <w:pPr>
        <w:pStyle w:val="Heading4"/>
        <w:rPr>
          <w:rFonts w:cs="Arial"/>
        </w:rPr>
      </w:pPr>
      <w:r>
        <w:rPr>
          <w:rFonts w:cs="Arial"/>
        </w:rPr>
        <w:t>Revolutionary street art motivates collective action against domination</w:t>
      </w:r>
    </w:p>
    <w:p xmlns:wp14="http://schemas.microsoft.com/office/word/2010/wordml" w:rsidRPr="00A965EA" w:rsidR="0082799E" w:rsidP="0082799E" w:rsidRDefault="0082799E" w14:paraId="6F0C2849" wp14:textId="77777777">
      <w:r w:rsidRPr="00A965EA">
        <w:rPr>
          <w:b/>
        </w:rPr>
        <w:t>Glaveanu 15</w:t>
      </w:r>
      <w:r w:rsidRPr="00A965EA">
        <w:t xml:space="preserve"> (Vlad Petre. PhD in Social Psychology from the London School of Economics in the UK&gt; Associate Professor and Head of the Department at Webster University located in Geneva and Associate Professor at the University of Bergen at the Center for the Science of Learning and technology. Art and Social Change: The Role of Creativity and Wonder. In the book, Street Art of Resistance edited by Sarah H. Award and Brady Wagoner. 2015) /// ONW</w:t>
      </w:r>
    </w:p>
    <w:p xmlns:wp14="http://schemas.microsoft.com/office/word/2010/wordml" w:rsidRPr="00A965EA" w:rsidR="0082799E" w:rsidP="0082799E" w:rsidRDefault="0082799E" w14:paraId="649F05FC" wp14:textId="77777777">
      <w:pPr>
        <w:rPr>
          <w:sz w:val="16"/>
        </w:rPr>
      </w:pPr>
      <w:r w:rsidRPr="00A965EA">
        <w:rPr>
          <w:sz w:val="16"/>
        </w:rPr>
        <w:t xml:space="preserve">The features of the mural in Fig. 1 suggest a much more complex notion of images than is typical. The traditional view of images going back to Aristotle is that we replace direct perception with mental images, which we use in thinking. Sensory experience is thus the basis of all knowledge. </w:t>
      </w:r>
      <w:r w:rsidRPr="00A965EA">
        <w:rPr>
          <w:rStyle w:val="StyleUnderline"/>
        </w:rPr>
        <w:t xml:space="preserve">Consciousness becomes an activity of pictorial production, reproduction, and representation like something projected on a surface </w:t>
      </w:r>
      <w:r w:rsidRPr="00A965EA">
        <w:rPr>
          <w:sz w:val="16"/>
        </w:rPr>
        <w:t xml:space="preserve">(Mitchell, 1984). </w:t>
      </w:r>
      <w:r w:rsidRPr="00A965EA">
        <w:rPr>
          <w:rStyle w:val="StyleUnderline"/>
        </w:rPr>
        <w:t>The world is split between physical and mental space, object and subject. The world and mind are symmetrical, except that the later depends on the former</w:t>
      </w:r>
      <w:r w:rsidRPr="00A965EA">
        <w:rPr>
          <w:sz w:val="16"/>
        </w:rPr>
        <w:t xml:space="preserve">. While this notion of images feels intuitively correct it comes with a number of difficulties. First, </w:t>
      </w:r>
      <w:r w:rsidRPr="00A965EA">
        <w:rPr>
          <w:rStyle w:val="StyleUnderline"/>
        </w:rPr>
        <w:t>images become sites of consciousness in their own right; we think through physical images just as much as mental</w:t>
      </w:r>
      <w:r w:rsidRPr="00A965EA">
        <w:rPr>
          <w:sz w:val="16"/>
        </w:rPr>
        <w:t xml:space="preserve"> (Wittgenstein, 1958). Second, t</w:t>
      </w:r>
      <w:r w:rsidRPr="00A965EA">
        <w:rPr>
          <w:rStyle w:val="StyleUnderline"/>
        </w:rPr>
        <w:t xml:space="preserve">hey cannot be seen without a “trick of consciousness,” being “there” and “not there” at the same time </w:t>
      </w:r>
      <w:r w:rsidRPr="00A965EA">
        <w:rPr>
          <w:sz w:val="16"/>
        </w:rPr>
        <w:t>(Mitchell, 1984). Third</w:t>
      </w:r>
      <w:r w:rsidRPr="00A965EA">
        <w:rPr>
          <w:rStyle w:val="StyleUnderline"/>
        </w:rPr>
        <w:t>, images</w:t>
      </w:r>
      <w:r w:rsidRPr="00A965EA">
        <w:rPr>
          <w:sz w:val="16"/>
        </w:rPr>
        <w:t xml:space="preserve"> as in Fig. 1 </w:t>
      </w:r>
      <w:r w:rsidRPr="00A965EA">
        <w:rPr>
          <w:rStyle w:val="StyleUnderline"/>
        </w:rPr>
        <w:t xml:space="preserve">are not perceived simply visually but through multiple senses. We put our body into the image; stand beside the artist and confront the bloody violence of the authorities. This presents a more dynamic view of images than the traditional notion would have it. </w:t>
      </w:r>
      <w:r w:rsidRPr="00A965EA">
        <w:rPr>
          <w:sz w:val="16"/>
        </w:rPr>
        <w:t xml:space="preserve">Fourth, </w:t>
      </w:r>
      <w:r w:rsidRPr="00A965EA">
        <w:rPr>
          <w:rStyle w:val="StyleUnderline"/>
        </w:rPr>
        <w:t>people perceive images different as a result of their personal and social-cultural background</w:t>
      </w:r>
      <w:r w:rsidRPr="00A965EA">
        <w:rPr>
          <w:sz w:val="16"/>
        </w:rPr>
        <w:t xml:space="preserve">. The interpretation of images is thus part of a social process. In short, </w:t>
      </w:r>
      <w:r w:rsidRPr="00A965EA">
        <w:rPr>
          <w:rStyle w:val="StyleUnderline"/>
        </w:rPr>
        <w:t xml:space="preserve">images are not passively perceived impressions of the world; rather, they construct a representation of the world, ourselves, and our social relationships, which can motivate collective action as revolutionary murals in Egypt did. </w:t>
      </w:r>
      <w:r w:rsidRPr="00A965EA">
        <w:rPr>
          <w:sz w:val="16"/>
        </w:rPr>
        <w:t>In what follows we will outline key features of images as approached through social-cultural psychology—namely, their symbolic, dialogical, contextual, and transformative character.</w:t>
      </w:r>
    </w:p>
    <w:p xmlns:wp14="http://schemas.microsoft.com/office/word/2010/wordml" w:rsidRPr="004C3402" w:rsidR="0082799E" w:rsidP="0082799E" w:rsidRDefault="0082799E" w14:paraId="62486C05" wp14:textId="77777777"/>
    <w:p xmlns:wp14="http://schemas.microsoft.com/office/word/2010/wordml" w:rsidR="0082799E" w:rsidP="0082799E" w:rsidRDefault="0082799E" w14:paraId="04471A23" wp14:textId="77777777">
      <w:pPr>
        <w:pStyle w:val="Heading3"/>
      </w:pPr>
      <w:r>
        <w:lastRenderedPageBreak/>
        <w:t>S: Colonization</w:t>
      </w:r>
    </w:p>
    <w:p xmlns:wp14="http://schemas.microsoft.com/office/word/2010/wordml" w:rsidRPr="00A965EA" w:rsidR="0082799E" w:rsidP="0082799E" w:rsidRDefault="0082799E" w14:paraId="7A3152D6" wp14:textId="77777777">
      <w:pPr>
        <w:pStyle w:val="Heading4"/>
        <w:rPr>
          <w:rFonts w:cs="Arial"/>
        </w:rPr>
      </w:pPr>
      <w:r>
        <w:rPr>
          <w:rFonts w:cs="Arial"/>
        </w:rPr>
        <w:t>Border art offers a sensory, embedded, and affective intervention into the normalizing logics of hegemonic organizations of space and belonging, promoting new ways of relating and challenging living histories of colonization</w:t>
      </w:r>
    </w:p>
    <w:p xmlns:wp14="http://schemas.microsoft.com/office/word/2010/wordml" w:rsidRPr="00A965EA" w:rsidR="0082799E" w:rsidP="0082799E" w:rsidRDefault="0082799E" w14:paraId="7CA41D34" wp14:textId="77777777">
      <w:r w:rsidRPr="000F6E0C">
        <w:rPr>
          <w:rStyle w:val="Style13ptBold"/>
        </w:rPr>
        <w:t>Glaveanu 15</w:t>
      </w:r>
      <w:r w:rsidRPr="00A965EA">
        <w:t xml:space="preserve"> (Vlad Petre. PhD in Social Psychology from the London School of Economics in the UK&gt; Associate Professor and Head of the Department at Webster University located in Geneva and Associate Professor at the Univerity of Bergen at the Center for the Science of Learning and technology. Art and Social Change: The Role of Creativity and Wonder (32-33) the book. Street Art of Resistance edited by Sarah H. Award and Brady Wagoner. 2015) /// ONW</w:t>
      </w:r>
    </w:p>
    <w:p xmlns:wp14="http://schemas.microsoft.com/office/word/2010/wordml" w:rsidRPr="00A965EA" w:rsidR="0082799E" w:rsidP="0082799E" w:rsidRDefault="0082799E" w14:paraId="79955E52" wp14:textId="77777777">
      <w:pPr>
        <w:tabs>
          <w:tab w:val="left" w:pos="1941"/>
        </w:tabs>
        <w:rPr>
          <w:sz w:val="16"/>
        </w:rPr>
      </w:pPr>
      <w:r w:rsidRPr="00A965EA">
        <w:rPr>
          <w:rStyle w:val="StyleUnderline"/>
        </w:rPr>
        <w:t>To a great extent street art draws on this “togetherness of experiencing” as it is essentially public.</w:t>
      </w:r>
      <w:r w:rsidRPr="00A965EA">
        <w:rPr>
          <w:sz w:val="16"/>
        </w:rPr>
        <w:t xml:space="preserve"> It also makes use of mirroring techniques in the sense that, oftentimes, it presents back to viewers a new perspective on their shared reality. </w:t>
      </w:r>
      <w:r w:rsidRPr="00A965EA">
        <w:rPr>
          <w:rStyle w:val="StyleUnderline"/>
        </w:rPr>
        <w:t xml:space="preserve">While less explicit than Harrebye’s example of protest, street art in the form of graffiti, tags, and stencils is nonetheless pervasive in resisting mainstream ideologies and interpretations and offering its own conception of the world. The mere existence of street art, in fact, challenges our normative understandings of art and aesthetics, private and public property, the right to express opposing views, and so on. </w:t>
      </w:r>
      <w:r w:rsidRPr="00A965EA">
        <w:rPr>
          <w:sz w:val="16"/>
        </w:rPr>
        <w:t xml:space="preserve">When used in the context of protest, such as the Egyptian revolution, street art acquires more than generic meanings and carries the collective memory (in the making) about the conflict (see Awad, 2017; see also Jarbou, this volume, with reference to the Arab Spring). </w:t>
      </w:r>
      <w:r w:rsidRPr="00A965EA">
        <w:rPr>
          <w:rStyle w:val="StyleUnderline"/>
        </w:rPr>
        <w:t xml:space="preserve">Graffiti about the events depict not only </w:t>
      </w:r>
      <w:r w:rsidRPr="00A965EA">
        <w:rPr>
          <w:sz w:val="16"/>
        </w:rPr>
        <w:t xml:space="preserve">(or not even) </w:t>
      </w:r>
      <w:r w:rsidRPr="00A965EA">
        <w:rPr>
          <w:rStyle w:val="StyleUnderline"/>
        </w:rPr>
        <w:t xml:space="preserve">images but perspectives into what is happening that are actively constructed in the space between graffiti artists, the authorities and the general public </w:t>
      </w:r>
      <w:r w:rsidRPr="00A965EA">
        <w:rPr>
          <w:sz w:val="16"/>
        </w:rPr>
        <w:t xml:space="preserve">(Awad, Wagoner, &amp; Glăveanu, 2017). </w:t>
      </w:r>
      <w:r w:rsidRPr="00A965EA">
        <w:rPr>
          <w:rStyle w:val="StyleUnderline"/>
        </w:rPr>
        <w:t>These perspectives are in dialogue with each other, support each other, or, at times, clash, in providing a space for reflexivity, memory, and creativity</w:t>
      </w:r>
      <w:r w:rsidRPr="00A965EA">
        <w:rPr>
          <w:sz w:val="16"/>
        </w:rPr>
        <w:t xml:space="preserve">. Smith (2015), who considered the diagnostic role of art in Cairo, wrote that: A tag, a message, or an image painted on a visible surface within a heavily trafficked space is simply unavoidable, forcing the viewer to deal with its presence. And indeed, viewers must reckon with graffiti—whether it is to stop and look or to ignore the image, relegating it to background scenery. </w:t>
      </w:r>
      <w:r w:rsidRPr="00A965EA">
        <w:rPr>
          <w:rStyle w:val="StyleUnderline"/>
        </w:rPr>
        <w:t xml:space="preserve">Graffiti and graffiti artists force their unsuspecting audience into ethical and aesthetic questions and decisions, leaving them to cope with the affective repercussions. </w:t>
      </w:r>
      <w:r w:rsidRPr="00A965EA">
        <w:rPr>
          <w:sz w:val="16"/>
        </w:rPr>
        <w:t xml:space="preserve">(Smith, 2015, p. 32) </w:t>
      </w:r>
      <w:r w:rsidRPr="00A965EA">
        <w:rPr>
          <w:rStyle w:val="StyleUnderline"/>
        </w:rPr>
        <w:t>Being confronted by ethical and aesthetic questions is, in my account, a result of being able to wonder about the graffiti itself, the events, and the meaning of the oftentimes violent transformation taking place in society. Capitalizing on this possibility of making people wonder and, following this, to (creatively) participate in the revolution, protesters constructed, among other initiatives, a “Museum of Revolution” in Tahrir Square in the winter of 2012.</w:t>
      </w:r>
      <w:r w:rsidRPr="00A965EA">
        <w:rPr>
          <w:sz w:val="16"/>
        </w:rPr>
        <w:t xml:space="preserve"> As described by Smith, this “museum” was located in a large tent and included protest signs, pictures, and jokes from the revolution, collected by the “curators.” “It presented both an affective and educational attempt to inspire and shape emotions and solidarities” (Smith, 2015, p. 36). It was also a collective effort to make people wonder about themselves, their society, its present, and, most of all, its future. Numerous other examples of the potential of street art to make audiences wonder and cultivate collective forms of creativity aimed at social change are offered in the present book. For instance, </w:t>
      </w:r>
      <w:r w:rsidRPr="00A965EA">
        <w:rPr>
          <w:rStyle w:val="StyleUnderline"/>
        </w:rPr>
        <w:t>Zanella (this volume), discusses graffiti as a form of intervention in urban spaces, provoking and promoting new ways of relating between inhabitants and the city, cultivating urban polyphonies</w:t>
      </w:r>
      <w:r w:rsidRPr="00A965EA">
        <w:rPr>
          <w:sz w:val="16"/>
        </w:rPr>
        <w:t>.</w:t>
      </w:r>
      <w:r w:rsidRPr="00A965EA">
        <w:rPr>
          <w:rStyle w:val="StyleUnderline"/>
        </w:rPr>
        <w:t xml:space="preserve"> Street art can also follow more specific political agendas, such as raising awareness about a country’s indigenous population and the their struggle against a living history of colonization</w:t>
      </w:r>
      <w:r w:rsidRPr="00A965EA">
        <w:rPr>
          <w:sz w:val="16"/>
        </w:rPr>
        <w:t xml:space="preserve">. Lattore (this volume) and Smith (this volume) vividly illustrate this dynamic in the case of Chilean indigenously inspired graffiti and muralism (see also the Decolonize Street Art Events in Smith, this volume). By including in busy urban spaces images of native traditional healers and spiritual leaders, these expressions of street art raise questions of inclusion and diversity, actively trying to “democratize” public spaces. In these, and many other cases presented throughout this book, </w:t>
      </w:r>
      <w:r w:rsidRPr="00A965EA">
        <w:rPr>
          <w:rStyle w:val="StyleUnderline"/>
        </w:rPr>
        <w:t xml:space="preserve">we witness the potential of street art to surprise us, to challenge </w:t>
      </w:r>
      <w:r w:rsidRPr="00A965EA">
        <w:rPr>
          <w:rStyle w:val="StyleUnderline"/>
        </w:rPr>
        <w:lastRenderedPageBreak/>
        <w:t>our views, to make us laugh and, most of all, to make us think, reflect and wonder about the society we live in, our collective contribution to and responsibility for its future.</w:t>
      </w:r>
    </w:p>
    <w:p xmlns:wp14="http://schemas.microsoft.com/office/word/2010/wordml" w:rsidR="0082799E" w:rsidP="0082799E" w:rsidRDefault="0082799E" w14:paraId="18D2B698" wp14:textId="77777777">
      <w:pPr>
        <w:pStyle w:val="Heading3"/>
      </w:pPr>
      <w:r>
        <w:lastRenderedPageBreak/>
        <w:t>S: Community building</w:t>
      </w:r>
    </w:p>
    <w:p xmlns:wp14="http://schemas.microsoft.com/office/word/2010/wordml" w:rsidR="0082799E" w:rsidP="0082799E" w:rsidRDefault="0082799E" w14:paraId="5318A51A" wp14:textId="77777777">
      <w:pPr>
        <w:pStyle w:val="Heading4"/>
      </w:pPr>
      <w:r>
        <w:t>Muralism can effectively fulfill social purposes like education and awareness while also constructing a sense of community. By definition, the act of painting on unwanted urban spaces spatially resists the hegemonic American imaginary and its marginalization of specific groups.</w:t>
      </w:r>
    </w:p>
    <w:p xmlns:wp14="http://schemas.microsoft.com/office/word/2010/wordml" w:rsidRPr="00237F95" w:rsidR="0082799E" w:rsidP="0082799E" w:rsidRDefault="0082799E" w14:paraId="7B8CD790" wp14:textId="77777777">
      <w:r w:rsidRPr="00237F95">
        <w:rPr>
          <w:rStyle w:val="Style13ptBold"/>
        </w:rPr>
        <w:t>Price 2000</w:t>
      </w:r>
      <w:r w:rsidRPr="00237F95">
        <w:t xml:space="preserve"> (Patricia, Ph.D in Geography from the University of Washington, Professor of Geography at Florida International University. “Inscribing the Border: Schizophrenia and the Aesthetics of Aztlán,” 2000, pg 107-109)//ANH</w:t>
      </w:r>
    </w:p>
    <w:p xmlns:wp14="http://schemas.microsoft.com/office/word/2010/wordml" w:rsidRPr="007011BA" w:rsidR="0082799E" w:rsidP="0082799E" w:rsidRDefault="0082799E" w14:paraId="7DBCA4B4" wp14:textId="77777777">
      <w:pPr>
        <w:rPr>
          <w:rStyle w:val="Emphasis"/>
        </w:rPr>
      </w:pPr>
      <w:r w:rsidRPr="007011BA">
        <w:rPr>
          <w:sz w:val="16"/>
        </w:rPr>
        <w:t xml:space="preserve">Hitting the wall3 One of the most catastrophic consequences of the endless real estate boom was the concreting of the entire Los Angeles River, on which the city was founded. The river, as the earth’s arteries—thus atrophied and hardened—created a giant scar across the land which served to further divide an already divided city. It is this metaphor that inspired my own half-mile-long mural on the history of ethnic peoples painted in the Los Angeles River conduit. Just as young Chicanos tattoo battle scars on their bodies, </w:t>
      </w:r>
      <w:r w:rsidRPr="00AE1D5C">
        <w:rPr>
          <w:rStyle w:val="StyleUnderline"/>
        </w:rPr>
        <w:t>the Great Wall of Los Angeles is a tattoo on a scar where the river once ran. In it reappear the disappeared stories of ethnic populations that make up the labor force which built our city, state, and nation.</w:t>
      </w:r>
      <w:r w:rsidRPr="007011BA">
        <w:rPr>
          <w:sz w:val="16"/>
        </w:rPr>
        <w:t xml:space="preserve"> (muralist Judith Baca, quoted in Dunitz and Prigoff 1997: 223) </w:t>
      </w:r>
      <w:r w:rsidRPr="00AE1D5C">
        <w:rPr>
          <w:rStyle w:val="StyleUnderline"/>
        </w:rPr>
        <w:t>Walls and other sorts of dividers and barriers have long been symbolically important for nation-building, especially in terms of keeping transgressors out through marking the landscape</w:t>
      </w:r>
      <w:r w:rsidRPr="007011BA">
        <w:rPr>
          <w:sz w:val="16"/>
        </w:rPr>
        <w:t xml:space="preserve">. Indeed, </w:t>
      </w:r>
      <w:r w:rsidRPr="00AE1D5C">
        <w:rPr>
          <w:rStyle w:val="StyleUnderline"/>
        </w:rPr>
        <w:t>the fortification of the USA border with Mexico in the 1990s has reiterated the importance of demarcating territory through walls, fences, checkpoints and guards</w:t>
      </w:r>
      <w:r w:rsidRPr="007011BA">
        <w:rPr>
          <w:sz w:val="16"/>
        </w:rPr>
        <w:t xml:space="preserve">. Anthropologist Mary Douglas (1970) has suggested that it is precisely at times </w:t>
      </w:r>
      <w:r w:rsidRPr="00AE1D5C">
        <w:rPr>
          <w:rStyle w:val="StyleUnderline"/>
        </w:rPr>
        <w:t xml:space="preserve">when societies feel most under siege </w:t>
      </w:r>
      <w:r w:rsidRPr="007011BA">
        <w:rPr>
          <w:sz w:val="16"/>
        </w:rPr>
        <w:t>that</w:t>
      </w:r>
      <w:r w:rsidRPr="00AE1D5C">
        <w:rPr>
          <w:rStyle w:val="StyleUnderline"/>
        </w:rPr>
        <w:t xml:space="preserve"> they attempt to draw their borders more sharply</w:t>
      </w:r>
      <w:r w:rsidRPr="007011BA">
        <w:rPr>
          <w:sz w:val="16"/>
        </w:rPr>
        <w:t xml:space="preserve">. At a more local scale, </w:t>
      </w:r>
      <w:r w:rsidRPr="00AE1D5C">
        <w:rPr>
          <w:rStyle w:val="Emphasis"/>
        </w:rPr>
        <w:t>at the scale of the urban cityscape, walls, dividers and corridors have become surfaces of inscription for Chicano artists</w:t>
      </w:r>
      <w:r w:rsidRPr="007011BA">
        <w:rPr>
          <w:sz w:val="16"/>
        </w:rPr>
        <w:t xml:space="preserve">. </w:t>
      </w:r>
      <w:r w:rsidRPr="00AE1D5C">
        <w:rPr>
          <w:rStyle w:val="StyleUnderline"/>
        </w:rPr>
        <w:t>Chicano murals cover the US Southwest from Northern California to Texas</w:t>
      </w:r>
      <w:r w:rsidRPr="007011BA">
        <w:rPr>
          <w:sz w:val="16"/>
        </w:rPr>
        <w:t xml:space="preserve">. </w:t>
      </w:r>
      <w:r w:rsidRPr="00AE1D5C">
        <w:rPr>
          <w:rStyle w:val="StyleUnderline"/>
        </w:rPr>
        <w:t>Chicano muralism arose</w:t>
      </w:r>
      <w:r w:rsidRPr="007011BA">
        <w:rPr>
          <w:sz w:val="16"/>
        </w:rPr>
        <w:t xml:space="preserve"> in the late 1960s in tandem with the Chicano movement, </w:t>
      </w:r>
      <w:r w:rsidRPr="00AE1D5C">
        <w:rPr>
          <w:rStyle w:val="StyleUnderline"/>
        </w:rPr>
        <w:t>as a principal aesthetic tool for building Chicano pride, community and awareness</w:t>
      </w:r>
      <w:r w:rsidRPr="007011BA">
        <w:rPr>
          <w:sz w:val="16"/>
        </w:rPr>
        <w:t xml:space="preserve">. </w:t>
      </w:r>
      <w:r w:rsidRPr="00AE1D5C">
        <w:rPr>
          <w:rStyle w:val="StyleUnderline"/>
        </w:rPr>
        <w:t>Chicano muralism has surged most overtly political in both message and iconography at points of crisis for the Chicano community:</w:t>
      </w:r>
      <w:r w:rsidRPr="007011BA">
        <w:rPr>
          <w:sz w:val="16"/>
        </w:rPr>
        <w:t xml:space="preserve"> in the late 1960s, with the civil rights movement and the early years of el movimiento; and again in the 1980s with protest over US military involvement in Central America and the racially regressive Reagan years (Sperling Cockroft and Barnet-Sa´nchez 1993). Inasmuch as </w:t>
      </w:r>
      <w:r w:rsidRPr="00AE1D5C">
        <w:rPr>
          <w:rStyle w:val="StyleUnderline"/>
        </w:rPr>
        <w:t>there is a connection between greater socio-economic unrest for the Chicano community and the production of highly politicized murals</w:t>
      </w:r>
      <w:r w:rsidRPr="007011BA">
        <w:rPr>
          <w:sz w:val="16"/>
        </w:rPr>
        <w:t xml:space="preserve">, Douglas’ hypothesis that </w:t>
      </w:r>
      <w:r w:rsidRPr="00AE1D5C">
        <w:rPr>
          <w:rStyle w:val="StyleUnderline"/>
        </w:rPr>
        <w:t>attempts to solidify borders intensify in times of crisis applies to murals as well as to lines on the map.</w:t>
      </w:r>
      <w:r w:rsidRPr="007011BA">
        <w:rPr>
          <w:sz w:val="16"/>
        </w:rPr>
        <w:t xml:space="preserve"> Contemporary Chicano muralism in the USA has its roots in the vibrant post-Revolutionary (post-1920) Mexican muralist movement, dominated by muralists Diego Rivera, Jose´ Clemente Orozco and David Alfaro Siqueiros (all of whom came to the USA in the 1930s to paint and teach muralism) (Dunitz and Prigoff 1997), and to a lesser extent in the brief wave of New Deal-era socially conscious public murals in the USA which was itself deeply in</w:t>
      </w:r>
      <w:r w:rsidRPr="007011BA">
        <w:rPr>
          <w:rFonts w:cs="Calibri"/>
          <w:sz w:val="16"/>
        </w:rPr>
        <w:t>fl</w:t>
      </w:r>
      <w:r w:rsidRPr="007011BA">
        <w:rPr>
          <w:sz w:val="16"/>
        </w:rPr>
        <w:t xml:space="preserve">uenced by the Mexican muralists (Barnett 1984: 23). Yet Mexico’s foundational muralist tradition differed in several key ways from contemporary Chicano muralism: it was state supported and state-promoted, while </w:t>
      </w:r>
      <w:r w:rsidRPr="00A720E0">
        <w:rPr>
          <w:rStyle w:val="StyleUnderline"/>
        </w:rPr>
        <w:t>Chicano murals were largely community-supported</w:t>
      </w:r>
      <w:r w:rsidRPr="007011BA">
        <w:rPr>
          <w:sz w:val="16"/>
        </w:rPr>
        <w:t xml:space="preserve">; Mexican murals were given prominent locations in government buildings, whereas </w:t>
      </w:r>
      <w:r w:rsidRPr="00A720E0">
        <w:rPr>
          <w:rStyle w:val="StyleUnderline"/>
        </w:rPr>
        <w:t>Chicano murals inhabited interstitial barrio spaces</w:t>
      </w:r>
      <w:r w:rsidRPr="007011BA">
        <w:rPr>
          <w:sz w:val="16"/>
        </w:rPr>
        <w:t xml:space="preserve">; and the Mexican muralists were part of a modern artistic canon which prioritized the individual artist and their vision (high art), while </w:t>
      </w:r>
      <w:r w:rsidRPr="00A720E0">
        <w:rPr>
          <w:rStyle w:val="StyleUnderline"/>
        </w:rPr>
        <w:t>Chicano murals were community-painted and community-approved</w:t>
      </w:r>
      <w:r w:rsidRPr="007011BA">
        <w:rPr>
          <w:sz w:val="16"/>
        </w:rPr>
        <w:t xml:space="preserve"> (Sperling Cockroft and Barnet-Sanchez 1993: 9–10). </w:t>
      </w:r>
      <w:r w:rsidRPr="00A720E0">
        <w:rPr>
          <w:rStyle w:val="Emphasis"/>
        </w:rPr>
        <w:t>Contemporary Chicano muralism has always stressed aesthet</w:t>
      </w:r>
      <w:r>
        <w:rPr>
          <w:rStyle w:val="Emphasis"/>
        </w:rPr>
        <w:t>ic production for a social pur</w:t>
      </w:r>
      <w:r w:rsidRPr="00A720E0">
        <w:rPr>
          <w:rStyle w:val="Emphasis"/>
        </w:rPr>
        <w:t>pose: education, awareness, community- building</w:t>
      </w:r>
      <w:r w:rsidRPr="007011BA">
        <w:rPr>
          <w:sz w:val="16"/>
        </w:rPr>
        <w:t xml:space="preserve">. Yet as the Chicano movement has evolved and changed over the past three decades, so have the murals (Goldman 1993). The themes and iconography of early murals (1969–1975) focused on weaving together early pre-Columbian imagery, such as the gods Quetzalcoatl and Tlaloc, the Aztec calendar and indigenous pyramids, along with classical Mexican religious imagery like the Virgin of Guadalupe, Mexican revolutionary themes and heroes such as Pancho Villa and Emiliano Zapata, and contemporary urban themes rooted in the Chicano barrio experience, such as the United Farm Workers </w:t>
      </w:r>
      <w:r w:rsidRPr="007011BA">
        <w:rPr>
          <w:rFonts w:cs="Calibri"/>
          <w:sz w:val="16"/>
        </w:rPr>
        <w:t>fl</w:t>
      </w:r>
      <w:r w:rsidRPr="007011BA">
        <w:rPr>
          <w:sz w:val="16"/>
        </w:rPr>
        <w:t xml:space="preserve">ag </w:t>
      </w:r>
      <w:r w:rsidRPr="007011BA">
        <w:rPr>
          <w:sz w:val="16"/>
        </w:rPr>
        <w:lastRenderedPageBreak/>
        <w:t xml:space="preserve">and eagle, and Chicano grassroots political leaders like United Farmworkers leader Cesar Chavez. </w:t>
      </w:r>
      <w:r w:rsidRPr="00164B56">
        <w:rPr>
          <w:rStyle w:val="StyleUnderline"/>
        </w:rPr>
        <w:t>More- contemporary murals focus on current Chicano issues, such as immigration</w:t>
      </w:r>
      <w:r w:rsidRPr="007011BA">
        <w:rPr>
          <w:sz w:val="16"/>
        </w:rPr>
        <w:t xml:space="preserve">, protest over proposition 187, opposition to gang violence, revolution in the Mexican state of Chiapas, and even the untimely demise of Tex-Mex singer Selena. Racially, </w:t>
      </w:r>
      <w:r w:rsidRPr="00B94B36">
        <w:rPr>
          <w:rStyle w:val="StyleUnderline"/>
        </w:rPr>
        <w:t>murals and muralists have reached beyond the Chicano community</w:t>
      </w:r>
      <w:r w:rsidRPr="007011BA">
        <w:rPr>
          <w:sz w:val="16"/>
        </w:rPr>
        <w:t xml:space="preserve"> per se, to include US Blacks, Asian immigrants and Asian-Americans, and Indigenous Americans in both theme and production. </w:t>
      </w:r>
      <w:r w:rsidRPr="00B94B36">
        <w:rPr>
          <w:rStyle w:val="StyleUnderline"/>
        </w:rPr>
        <w:t>The scale of murals painting is monumental, yet the themes they portray and spaces they occupy are frequently prosaic</w:t>
      </w:r>
      <w:r w:rsidRPr="007011BA">
        <w:rPr>
          <w:sz w:val="16"/>
        </w:rPr>
        <w:t xml:space="preserve"> (see Figure 1). Though </w:t>
      </w:r>
      <w:r w:rsidRPr="00B94B36">
        <w:rPr>
          <w:rStyle w:val="StyleUnderline"/>
        </w:rPr>
        <w:t>some Chicano murals</w:t>
      </w:r>
      <w:r w:rsidRPr="007011BA">
        <w:rPr>
          <w:sz w:val="16"/>
        </w:rPr>
        <w:t xml:space="preserve"> are undeniably epic in theme, many </w:t>
      </w:r>
      <w:r w:rsidRPr="00B94B36">
        <w:rPr>
          <w:rStyle w:val="StyleUnderline"/>
        </w:rPr>
        <w:t>highlight the mundane rhythms of daily life and the lived spaces of Chicanos involved in their families, work, church and neighbourhood</w:t>
      </w:r>
      <w:r w:rsidRPr="007011BA">
        <w:rPr>
          <w:sz w:val="16"/>
        </w:rPr>
        <w:t xml:space="preserve"> (Ybarra-Frausto 1993: 57). </w:t>
      </w:r>
      <w:r w:rsidRPr="00B94B36">
        <w:rPr>
          <w:rStyle w:val="StyleUnderline"/>
        </w:rPr>
        <w:t>Spatially</w:t>
      </w:r>
      <w:r w:rsidRPr="007011BA">
        <w:rPr>
          <w:sz w:val="16"/>
        </w:rPr>
        <w:t xml:space="preserve">, too, </w:t>
      </w:r>
      <w:r w:rsidRPr="00B94B36">
        <w:rPr>
          <w:rStyle w:val="StyleUnderline"/>
        </w:rPr>
        <w:t xml:space="preserve">some murals are placed </w:t>
      </w:r>
      <w:r w:rsidRPr="007011BA">
        <w:rPr>
          <w:sz w:val="16"/>
        </w:rPr>
        <w:t>prominently</w:t>
      </w:r>
      <w:r w:rsidRPr="00B94B36">
        <w:rPr>
          <w:rStyle w:val="StyleUnderline"/>
        </w:rPr>
        <w:t xml:space="preserve"> on the </w:t>
      </w:r>
      <w:r w:rsidRPr="007011BA">
        <w:rPr>
          <w:sz w:val="16"/>
        </w:rPr>
        <w:t xml:space="preserve">exterior or interior </w:t>
      </w:r>
      <w:r w:rsidRPr="00B94B36">
        <w:rPr>
          <w:rStyle w:val="StyleUnderline"/>
        </w:rPr>
        <w:t>walls of prominent public places.</w:t>
      </w:r>
      <w:r w:rsidRPr="007011BA">
        <w:rPr>
          <w:sz w:val="16"/>
        </w:rPr>
        <w:t xml:space="preserve"> </w:t>
      </w:r>
      <w:r w:rsidRPr="00B94B36">
        <w:rPr>
          <w:rStyle w:val="StyleUnderline"/>
        </w:rPr>
        <w:t>Most Chicano murals</w:t>
      </w:r>
      <w:r w:rsidRPr="007011BA">
        <w:rPr>
          <w:sz w:val="16"/>
        </w:rPr>
        <w:t xml:space="preserve">, however, </w:t>
      </w:r>
      <w:r w:rsidRPr="00B94B36">
        <w:rPr>
          <w:rStyle w:val="StyleUnderline"/>
        </w:rPr>
        <w:t xml:space="preserve">occupy interstitial urban spaces: </w:t>
      </w:r>
      <w:r w:rsidRPr="007011BA">
        <w:rPr>
          <w:sz w:val="16"/>
        </w:rPr>
        <w:t xml:space="preserve">they are located </w:t>
      </w:r>
      <w:r w:rsidRPr="00B94B36">
        <w:rPr>
          <w:rStyle w:val="StyleUnderline"/>
        </w:rPr>
        <w:t>on the walls of small, local business establishments, in alleyways, along embankments, underneath freeway flyovers</w:t>
      </w:r>
      <w:r w:rsidRPr="007011BA">
        <w:rPr>
          <w:sz w:val="16"/>
        </w:rPr>
        <w:t xml:space="preserve">. Judith Baca’s Great Wall of Los Angeles runs one-half mile along a </w:t>
      </w:r>
      <w:r w:rsidRPr="007011BA">
        <w:rPr>
          <w:rFonts w:cs="Calibri"/>
          <w:sz w:val="16"/>
        </w:rPr>
        <w:t>fl</w:t>
      </w:r>
      <w:r w:rsidRPr="007011BA">
        <w:rPr>
          <w:sz w:val="16"/>
        </w:rPr>
        <w:t xml:space="preserve">ood control channel. In marking urban spaces with visual symbols of Chicano pride and politics, </w:t>
      </w:r>
      <w:r w:rsidRPr="007011BA">
        <w:rPr>
          <w:rStyle w:val="Emphasis"/>
        </w:rPr>
        <w:t>these murals are challenging the traditional Anglo relegation of urban minorities to unmarked spaces or spaces always-already inscribed by the hegemony.</w:t>
      </w:r>
      <w:r w:rsidRPr="007011BA">
        <w:rPr>
          <w:sz w:val="16"/>
        </w:rPr>
        <w:t xml:space="preserve"> Thus Chicano </w:t>
      </w:r>
      <w:r w:rsidRPr="007011BA">
        <w:rPr>
          <w:rStyle w:val="Emphasis"/>
        </w:rPr>
        <w:t>murals can be approached as, amongst other things, a construction of identity and community through a colonization of marginal spaces</w:t>
      </w:r>
      <w:r w:rsidRPr="007011BA">
        <w:rPr>
          <w:sz w:val="16"/>
        </w:rPr>
        <w:t xml:space="preserve">. </w:t>
      </w:r>
      <w:r w:rsidRPr="007011BA">
        <w:rPr>
          <w:rStyle w:val="StyleUnderline"/>
        </w:rPr>
        <w:t>They ‘created the places and spaces either denied, removed, or devalued by much larger political and economic forces than the communities in which the murals were painted’</w:t>
      </w:r>
      <w:r w:rsidRPr="007011BA">
        <w:rPr>
          <w:sz w:val="16"/>
        </w:rPr>
        <w:t xml:space="preserve"> (Ve´lez-Iba´n˜ ez 1996: 263). </w:t>
      </w:r>
      <w:r w:rsidRPr="007011BA">
        <w:rPr>
          <w:rStyle w:val="StyleUnderline"/>
        </w:rPr>
        <w:t>Chicano murals serve as prisms of sorts, distilling the spectrum of a proud pre-Colombian past, a mythic homeland and a contemporary urban experience in the USA, and projecting this hybrid identity</w:t>
      </w:r>
      <w:r w:rsidRPr="007011BA">
        <w:rPr>
          <w:sz w:val="16"/>
        </w:rPr>
        <w:t>—the Chicano—</w:t>
      </w:r>
      <w:r w:rsidRPr="007011BA">
        <w:rPr>
          <w:rStyle w:val="StyleUnderline"/>
        </w:rPr>
        <w:t>upon the urban cityscape</w:t>
      </w:r>
      <w:r w:rsidRPr="007011BA">
        <w:rPr>
          <w:sz w:val="16"/>
        </w:rPr>
        <w:t xml:space="preserve">, into the hearts and minds of Chicanos, and within the nightmares of Anglo supremacists. </w:t>
      </w:r>
      <w:r w:rsidRPr="007011BA">
        <w:rPr>
          <w:rStyle w:val="StyleUnderline"/>
        </w:rPr>
        <w:t>Chicano murals stand</w:t>
      </w:r>
      <w:r w:rsidRPr="007011BA">
        <w:rPr>
          <w:sz w:val="16"/>
        </w:rPr>
        <w:t xml:space="preserve"> as mini-borders, </w:t>
      </w:r>
      <w:r w:rsidRPr="007011BA">
        <w:rPr>
          <w:rStyle w:val="StyleUnderline"/>
        </w:rPr>
        <w:t xml:space="preserve">often </w:t>
      </w:r>
      <w:r w:rsidRPr="007011BA">
        <w:rPr>
          <w:rStyle w:val="Emphasis"/>
        </w:rPr>
        <w:t>defiant of hegemonic ideas of who belongs and what counts, as spatial irruptions of the Other</w:t>
      </w:r>
    </w:p>
    <w:p xmlns:wp14="http://schemas.microsoft.com/office/word/2010/wordml" w:rsidRPr="00F43E8A" w:rsidR="0082799E" w:rsidP="0082799E" w:rsidRDefault="0082799E" w14:paraId="1C27FACD" wp14:textId="77777777">
      <w:pPr>
        <w:pStyle w:val="Heading4"/>
      </w:pPr>
      <w:r w:rsidRPr="00F43E8A">
        <w:t>Street art can also be a commentary on local issues like gang violence that spawn from larger systems of oppression.  This card is an example of one mural that incorporates graffiti style as a way to imitate gang graffiti and remember someone who was targeted as a result of gang violence.</w:t>
      </w:r>
    </w:p>
    <w:p xmlns:wp14="http://schemas.microsoft.com/office/word/2010/wordml" w:rsidRPr="00F43E8A" w:rsidR="0082799E" w:rsidP="0082799E" w:rsidRDefault="0082799E" w14:paraId="018A14A4" wp14:textId="77777777">
      <w:pPr>
        <w:rPr>
          <w:rFonts w:eastAsia="Times New Roman" w:asciiTheme="minorHAnsi" w:hAnsiTheme="minorHAnsi" w:cstheme="minorHAnsi"/>
          <w:sz w:val="18"/>
          <w:szCs w:val="18"/>
        </w:rPr>
      </w:pPr>
      <w:r w:rsidRPr="00BB58A9">
        <w:rPr>
          <w:rStyle w:val="Style13ptBold"/>
        </w:rPr>
        <w:t>Reed 2009</w:t>
      </w:r>
      <w:r w:rsidRPr="00F43E8A">
        <w:rPr>
          <w:rFonts w:asciiTheme="minorHAnsi" w:hAnsiTheme="minorHAnsi" w:cstheme="minorHAnsi"/>
          <w:bCs/>
        </w:rPr>
        <w:t xml:space="preserve"> </w:t>
      </w:r>
      <w:r w:rsidRPr="00F43E8A">
        <w:rPr>
          <w:rFonts w:asciiTheme="minorHAnsi" w:hAnsiTheme="minorHAnsi" w:cstheme="minorHAnsi"/>
          <w:bCs/>
          <w:sz w:val="18"/>
          <w:szCs w:val="18"/>
        </w:rPr>
        <w:t>[</w:t>
      </w:r>
      <w:r w:rsidRPr="00F43E8A">
        <w:rPr>
          <w:rFonts w:eastAsia="Times New Roman" w:asciiTheme="minorHAnsi" w:hAnsiTheme="minorHAnsi" w:cstheme="minorHAnsi"/>
          <w:sz w:val="18"/>
          <w:szCs w:val="18"/>
        </w:rPr>
        <w:t xml:space="preserve">Reed, Thomas Vernon. </w:t>
      </w:r>
      <w:r w:rsidRPr="00F43E8A">
        <w:rPr>
          <w:rFonts w:eastAsia="Times New Roman" w:asciiTheme="minorHAnsi" w:hAnsiTheme="minorHAnsi" w:cstheme="minorHAnsi"/>
          <w:i/>
          <w:iCs/>
          <w:sz w:val="18"/>
          <w:szCs w:val="18"/>
        </w:rPr>
        <w:t>The Art of Protest: Culture and Activism from the Civil Rights Movement to the Streets of Seattle</w:t>
      </w:r>
      <w:r w:rsidRPr="00F43E8A">
        <w:rPr>
          <w:rFonts w:eastAsia="Times New Roman" w:asciiTheme="minorHAnsi" w:hAnsiTheme="minorHAnsi" w:cstheme="minorHAnsi"/>
          <w:sz w:val="18"/>
          <w:szCs w:val="18"/>
        </w:rPr>
        <w:t xml:space="preserve">. Univ. of Minnesota Press, 2009. </w:t>
      </w:r>
      <w:r w:rsidRPr="00F43E8A">
        <w:rPr>
          <w:rFonts w:asciiTheme="minorHAnsi" w:hAnsiTheme="minorHAnsi" w:cstheme="minorHAnsi"/>
          <w:bCs/>
          <w:sz w:val="18"/>
          <w:szCs w:val="18"/>
        </w:rPr>
        <w:t>T. V. Reed</w:t>
      </w:r>
      <w:r w:rsidRPr="00F43E8A">
        <w:rPr>
          <w:rFonts w:asciiTheme="minorHAnsi" w:hAnsiTheme="minorHAnsi" w:cstheme="minorHAnsi"/>
          <w:sz w:val="18"/>
          <w:szCs w:val="18"/>
        </w:rPr>
        <w:t xml:space="preserve"> is the Buchanan Distinguished Professor Emeritus of American Studies and English at Washington State University. Reed's scholarship and teaching centers on the politics of cultural forms, and cultural forms of politics, particularly as rooted in social movements.]//MMS</w:t>
      </w:r>
    </w:p>
    <w:p xmlns:wp14="http://schemas.microsoft.com/office/word/2010/wordml" w:rsidRPr="003871E1" w:rsidR="0082799E" w:rsidP="0082799E" w:rsidRDefault="0082799E" w14:paraId="362C411A" wp14:textId="77777777">
      <w:pPr>
        <w:autoSpaceDE w:val="0"/>
        <w:autoSpaceDN w:val="0"/>
        <w:adjustRightInd w:val="0"/>
        <w:spacing w:after="0" w:line="240" w:lineRule="auto"/>
        <w:rPr>
          <w:rStyle w:val="StyleUnderline"/>
        </w:rPr>
      </w:pPr>
      <w:r w:rsidRPr="003871E1">
        <w:rPr>
          <w:rStyle w:val="StyleUnderline"/>
        </w:rPr>
        <w:t>A second major arena of pragmatic community concern articulated through murals is a kind of flip side of concern to portray the Chicano community as strong in family values—an effort to acknowledge and examine the issue of gang violence</w:t>
      </w:r>
      <w:r w:rsidRPr="00F43E8A">
        <w:rPr>
          <w:rFonts w:asciiTheme="minorHAnsi" w:hAnsiTheme="minorHAnsi" w:cstheme="minorHAnsi"/>
          <w:color w:val="231F20"/>
          <w:sz w:val="16"/>
          <w:szCs w:val="21"/>
        </w:rPr>
        <w:t xml:space="preserve">.  While such violence has frequently been the focus of racist moral panics directed from outside the community by the dominant society, these </w:t>
      </w:r>
      <w:r w:rsidRPr="003871E1">
        <w:rPr>
          <w:rStyle w:val="StyleUnderline"/>
        </w:rPr>
        <w:t>murals offer a perspective from the inside where these events can be seen correctly as being most often intracommunity violence conditioned by oppression</w:t>
      </w:r>
      <w:r w:rsidRPr="00F43E8A">
        <w:rPr>
          <w:rFonts w:asciiTheme="minorHAnsi" w:hAnsiTheme="minorHAnsi" w:cstheme="minorHAnsi"/>
          <w:color w:val="231F20"/>
          <w:sz w:val="16"/>
          <w:szCs w:val="21"/>
        </w:rPr>
        <w:t xml:space="preserve">. A piece known informally as </w:t>
      </w:r>
      <w:r w:rsidRPr="00F43E8A">
        <w:rPr>
          <w:rFonts w:asciiTheme="minorHAnsi" w:hAnsiTheme="minorHAnsi" w:cstheme="minorHAnsi"/>
          <w:i/>
          <w:iCs/>
          <w:color w:val="231F20"/>
          <w:sz w:val="16"/>
          <w:szCs w:val="21"/>
        </w:rPr>
        <w:t xml:space="preserve">Homeboy, </w:t>
      </w:r>
      <w:r w:rsidRPr="00F43E8A">
        <w:rPr>
          <w:rFonts w:asciiTheme="minorHAnsi" w:hAnsiTheme="minorHAnsi" w:cstheme="minorHAnsi"/>
          <w:color w:val="231F20"/>
          <w:sz w:val="16"/>
          <w:szCs w:val="21"/>
        </w:rPr>
        <w:t xml:space="preserve">for example, painted in 1974 by Manuel Cruz in the Romana Gardens Housing Project in East Los Angeles, joins issues of gang violence with a key theme of much early Chicano mural work, the articulation of the Indian dimensions of Chicano identity. In the mural, </w:t>
      </w:r>
      <w:r w:rsidRPr="00F43E8A">
        <w:rPr>
          <w:rFonts w:asciiTheme="minorHAnsi" w:hAnsiTheme="minorHAnsi" w:cstheme="minorHAnsi"/>
          <w:color w:val="231F20"/>
          <w:sz w:val="16"/>
          <w:szCs w:val="18"/>
        </w:rPr>
        <w:t xml:space="preserve">Revolutionary Walls 117 </w:t>
      </w:r>
      <w:r w:rsidRPr="00F43E8A">
        <w:rPr>
          <w:rFonts w:asciiTheme="minorHAnsi" w:hAnsiTheme="minorHAnsi" w:cstheme="minorHAnsi"/>
          <w:color w:val="231F20"/>
          <w:sz w:val="16"/>
          <w:szCs w:val="21"/>
        </w:rPr>
        <w:t xml:space="preserve">Aztec human sacrifice is recoded as community suicide in the form of a gang of homeboys killing another homeboy.  While </w:t>
      </w:r>
      <w:r w:rsidRPr="00F43E8A">
        <w:rPr>
          <w:rFonts w:asciiTheme="minorHAnsi" w:hAnsiTheme="minorHAnsi" w:cstheme="minorHAnsi"/>
          <w:i/>
          <w:iCs/>
          <w:color w:val="231F20"/>
          <w:sz w:val="16"/>
          <w:szCs w:val="21"/>
        </w:rPr>
        <w:t xml:space="preserve">indigenismo </w:t>
      </w:r>
      <w:r w:rsidRPr="00F43E8A">
        <w:rPr>
          <w:rFonts w:asciiTheme="minorHAnsi" w:hAnsiTheme="minorHAnsi" w:cstheme="minorHAnsi"/>
          <w:color w:val="231F20"/>
          <w:sz w:val="16"/>
          <w:szCs w:val="21"/>
        </w:rPr>
        <w:t xml:space="preserve">was later criticized by some people as an uncritical celebration of the Aztec and other Indian empires that failed to acknowledge their oppressive elements, there is here already an ironic suggestion that the much mythologized Aztec religious practice of human sacrifice is preferable to the meaningless street sacrifice of homeboy life. But there is also an inspiring suggestion that a historically deep warrior spirit has been misdirected to rub out fellow members of </w:t>
      </w:r>
      <w:r w:rsidRPr="00F43E8A">
        <w:rPr>
          <w:rFonts w:asciiTheme="minorHAnsi" w:hAnsiTheme="minorHAnsi" w:cstheme="minorHAnsi"/>
          <w:i/>
          <w:iCs/>
          <w:color w:val="231F20"/>
          <w:sz w:val="16"/>
          <w:szCs w:val="21"/>
        </w:rPr>
        <w:t xml:space="preserve">la raza </w:t>
      </w:r>
      <w:r w:rsidRPr="00F43E8A">
        <w:rPr>
          <w:rFonts w:asciiTheme="minorHAnsi" w:hAnsiTheme="minorHAnsi" w:cstheme="minorHAnsi"/>
          <w:color w:val="231F20"/>
          <w:sz w:val="16"/>
          <w:szCs w:val="21"/>
        </w:rPr>
        <w:t xml:space="preserve">rather than to uphold and build cultural traditions.  </w:t>
      </w:r>
      <w:r w:rsidRPr="003871E1">
        <w:rPr>
          <w:rStyle w:val="StyleUnderline"/>
        </w:rPr>
        <w:t>A</w:t>
      </w:r>
      <w:r w:rsidRPr="00F43E8A">
        <w:rPr>
          <w:rFonts w:asciiTheme="minorHAnsi" w:hAnsiTheme="minorHAnsi" w:cstheme="minorHAnsi"/>
          <w:color w:val="231F20"/>
          <w:sz w:val="16"/>
          <w:szCs w:val="21"/>
        </w:rPr>
        <w:t xml:space="preserve">n extraordinary </w:t>
      </w:r>
      <w:r w:rsidRPr="003871E1">
        <w:rPr>
          <w:rStyle w:val="StyleUnderline"/>
        </w:rPr>
        <w:t xml:space="preserve">piece entitled </w:t>
      </w:r>
      <w:r w:rsidRPr="00F43E8A">
        <w:rPr>
          <w:rFonts w:asciiTheme="minorHAnsi" w:hAnsiTheme="minorHAnsi" w:cstheme="minorHAnsi"/>
          <w:i/>
          <w:iCs/>
          <w:color w:val="231F20"/>
          <w:sz w:val="21"/>
          <w:szCs w:val="21"/>
          <w:u w:val="single"/>
        </w:rPr>
        <w:t xml:space="preserve">The Wall </w:t>
      </w:r>
      <w:r w:rsidRPr="00F43E8A">
        <w:rPr>
          <w:rFonts w:asciiTheme="minorHAnsi" w:hAnsiTheme="minorHAnsi" w:cstheme="minorHAnsi"/>
          <w:i/>
          <w:iCs/>
          <w:color w:val="231F20"/>
          <w:sz w:val="21"/>
          <w:szCs w:val="21"/>
          <w:u w:val="single"/>
        </w:rPr>
        <w:lastRenderedPageBreak/>
        <w:t xml:space="preserve">That Cracked Open, </w:t>
      </w:r>
      <w:r w:rsidRPr="003871E1">
        <w:rPr>
          <w:rStyle w:val="StyleUnderline"/>
        </w:rPr>
        <w:t>on a related theme, richly documents the power of a mural as public art to intervene directly at a specific site of social struggle</w:t>
      </w:r>
      <w:r w:rsidRPr="00F43E8A">
        <w:rPr>
          <w:rFonts w:asciiTheme="minorHAnsi" w:hAnsiTheme="minorHAnsi" w:cstheme="minorHAnsi"/>
          <w:color w:val="231F20"/>
          <w:sz w:val="16"/>
          <w:szCs w:val="21"/>
        </w:rPr>
        <w:t xml:space="preserve">. Executed by Willie Herrón in City Terrace, East Los Angeles, in 1972, </w:t>
      </w:r>
      <w:r w:rsidRPr="003871E1">
        <w:rPr>
          <w:rStyle w:val="StyleUnderline"/>
        </w:rPr>
        <w:t>this mural was done on a cracked wall in an alley where the artist’s brother was beaten nearly to death by gang members, and it ingeniously incorporates the already present gang graffiti into the composition. The multiply layered message here includes the idea that the graffiti is itself part of an aesthetic impulse that could be further developed and redirected, just as gang violence could be redirected in more politically charged directions.  Mural projects were sometimes used to accomplish precisely that form of redirection.</w:t>
      </w:r>
    </w:p>
    <w:p xmlns:wp14="http://schemas.microsoft.com/office/word/2010/wordml" w:rsidR="0082799E" w:rsidP="0082799E" w:rsidRDefault="0082799E" w14:paraId="4101652C" wp14:textId="77777777"/>
    <w:p xmlns:wp14="http://schemas.microsoft.com/office/word/2010/wordml" w:rsidR="0082799E" w:rsidP="0082799E" w:rsidRDefault="0082799E" w14:paraId="22C392D3" wp14:textId="77777777">
      <w:pPr>
        <w:pStyle w:val="Heading3"/>
      </w:pPr>
      <w:r>
        <w:lastRenderedPageBreak/>
        <w:t>S: Counter-hegemony</w:t>
      </w:r>
    </w:p>
    <w:p xmlns:wp14="http://schemas.microsoft.com/office/word/2010/wordml" w:rsidR="0082799E" w:rsidP="0082799E" w:rsidRDefault="0082799E" w14:paraId="2FA4AE44" wp14:textId="77777777">
      <w:pPr>
        <w:pStyle w:val="Heading4"/>
      </w:pPr>
      <w:r>
        <w:t>Graffiti writing resists the segregation of urban spaces and spatial restrictions enforced by legal authorities – its subcultural method of trespass and subversion is necessary to construct alternative arrangements to the overly confining and controlling status quo (also maybe some offense against the TVA about how graffiti thrives off illegality)</w:t>
      </w:r>
    </w:p>
    <w:p xmlns:wp14="http://schemas.microsoft.com/office/word/2010/wordml" w:rsidRPr="00237F95" w:rsidR="0082799E" w:rsidP="0082799E" w:rsidRDefault="0082799E" w14:paraId="08053901" wp14:textId="77777777">
      <w:r w:rsidRPr="00237F95">
        <w:rPr>
          <w:rStyle w:val="Style13ptBold"/>
        </w:rPr>
        <w:t>Ferrell 95</w:t>
      </w:r>
      <w:r w:rsidRPr="00237F95">
        <w:t xml:space="preserve"> (Jeff, Professor of Criminal Justice at Northern Arizona University, “Urban Graffiti: Crime, Control, and Resistance,” 1995, pg 35-37)//ANH</w:t>
      </w:r>
    </w:p>
    <w:p xmlns:wp14="http://schemas.microsoft.com/office/word/2010/wordml" w:rsidRPr="00A655A8" w:rsidR="0082799E" w:rsidP="0082799E" w:rsidRDefault="0082799E" w14:paraId="097E0208" wp14:textId="77777777">
      <w:pPr>
        <w:rPr>
          <w:rStyle w:val="Emphasis"/>
        </w:rPr>
      </w:pPr>
      <w:r w:rsidRPr="00A655A8">
        <w:rPr>
          <w:sz w:val="16"/>
        </w:rPr>
        <w:t xml:space="preserve">URBAN AUTHORITY, SOCIAL CONTROL, AND THE WRITING OF RESISTANCE </w:t>
      </w:r>
      <w:r w:rsidRPr="002F0535">
        <w:rPr>
          <w:rStyle w:val="StyleUnderline"/>
        </w:rPr>
        <w:t>Contemporary graffiti writing occurs in an urban environment increasingly defined by the segregation and control of social space</w:t>
      </w:r>
      <w:r w:rsidRPr="00A655A8">
        <w:rPr>
          <w:sz w:val="16"/>
        </w:rPr>
        <w:t>. As Schiller (1989), Soja (1989), M. Davis (1990, 1992a, 1992b), Sorkin (1992), S. Davis (1992), Guterson (1993) and others have shown, major U.</w:t>
      </w:r>
      <w:r w:rsidRPr="0024590A">
        <w:rPr>
          <w:rStyle w:val="StyleUnderline"/>
        </w:rPr>
        <w:t>S. cities today are systematically fractured by ethnic, class, and consumer segregation— segregation built into skyscrapers and skyways, freeways and transit routes, walled residential enclaves and secured shopping malls, private streets and parks. The caretakers of these physically segregated cities control</w:t>
      </w:r>
      <w:r w:rsidRPr="00A655A8">
        <w:rPr>
          <w:sz w:val="16"/>
        </w:rPr>
        <w:t xml:space="preserve"> (or destroy) </w:t>
      </w:r>
      <w:r w:rsidRPr="0024590A">
        <w:rPr>
          <w:rStyle w:val="StyleUnderline"/>
        </w:rPr>
        <w:t xml:space="preserve">public space and public communities through privatization and physical insulation, and they employ </w:t>
      </w:r>
      <w:r w:rsidRPr="0024590A">
        <w:rPr>
          <w:rStyle w:val="Emphasis"/>
        </w:rPr>
        <w:t>extensive public and private police power and sophisticated control technologies to enforce their spatial restrictions</w:t>
      </w:r>
      <w:r w:rsidRPr="00A655A8">
        <w:rPr>
          <w:sz w:val="16"/>
        </w:rPr>
        <w:t xml:space="preserve">. </w:t>
      </w:r>
      <w:r w:rsidRPr="0024590A">
        <w:rPr>
          <w:rStyle w:val="StyleUnderline"/>
        </w:rPr>
        <w:t>Young people</w:t>
      </w:r>
      <w:r w:rsidRPr="00A655A8">
        <w:rPr>
          <w:sz w:val="16"/>
        </w:rPr>
        <w:t xml:space="preserve"> who wish to work or wander in these environments</w:t>
      </w:r>
      <w:r w:rsidRPr="0024590A">
        <w:rPr>
          <w:rStyle w:val="StyleUnderline"/>
        </w:rPr>
        <w:t xml:space="preserve"> face, in addition to these spatial controls, an increasingly aggressive criminalization of their activities by local and state authorities</w:t>
      </w:r>
      <w:r w:rsidRPr="00A655A8">
        <w:rPr>
          <w:sz w:val="16"/>
        </w:rPr>
        <w:t xml:space="preserve">. In recent years, city after city has enacted strict curfews and a multitude of ordinances against loud music, car cruising, and other youthful pleasures (Ferrell, 1993a; LeDue, 1992; Reuter, 1994b). In negotiating the contemporary city, kids are largely walled in and boxed out. </w:t>
      </w:r>
      <w:r w:rsidRPr="0024590A">
        <w:rPr>
          <w:rStyle w:val="StyleUnderline"/>
        </w:rPr>
        <w:t xml:space="preserve">The writing of hip hop graffiti </w:t>
      </w:r>
      <w:r w:rsidRPr="0024590A">
        <w:rPr>
          <w:rStyle w:val="Emphasis"/>
        </w:rPr>
        <w:t>disrupts this orderly latticework of authority,</w:t>
      </w:r>
      <w:r w:rsidRPr="0024590A">
        <w:rPr>
          <w:rStyle w:val="StyleUnderline"/>
        </w:rPr>
        <w:t xml:space="preserve"> reclaims public space for at least some of those systematically excluded from it, and thus </w:t>
      </w:r>
      <w:r w:rsidRPr="0024590A">
        <w:rPr>
          <w:rStyle w:val="Emphasis"/>
        </w:rPr>
        <w:t>resists the confinement of kids and others within structures of social and spatial control</w:t>
      </w:r>
      <w:r w:rsidRPr="0024590A">
        <w:rPr>
          <w:rStyle w:val="StyleUnderline"/>
        </w:rPr>
        <w:t>.</w:t>
      </w:r>
      <w:r w:rsidRPr="00A655A8">
        <w:rPr>
          <w:sz w:val="16"/>
        </w:rPr>
        <w:t xml:space="preserve"> </w:t>
      </w:r>
      <w:r w:rsidRPr="00E733BD">
        <w:rPr>
          <w:rStyle w:val="StyleUnderline"/>
        </w:rPr>
        <w:t>Hip hop graffiti writers work almost exclusively at night, and</w:t>
      </w:r>
      <w:r w:rsidRPr="00A655A8">
        <w:rPr>
          <w:sz w:val="16"/>
        </w:rPr>
        <w:t xml:space="preserve"> in so doing </w:t>
      </w:r>
      <w:r w:rsidRPr="00E733BD">
        <w:rPr>
          <w:rStyle w:val="StyleUnderline"/>
        </w:rPr>
        <w:t>use the cover of darkness to evade curfew restrictions and urban surveillance</w:t>
      </w:r>
      <w:r w:rsidRPr="00A655A8">
        <w:rPr>
          <w:sz w:val="16"/>
        </w:rPr>
        <w:t xml:space="preserve">. In that </w:t>
      </w:r>
      <w:r w:rsidRPr="00E733BD">
        <w:rPr>
          <w:rStyle w:val="StyleUnderline"/>
        </w:rPr>
        <w:t xml:space="preserve">they gain </w:t>
      </w:r>
      <w:r w:rsidRPr="00E733BD">
        <w:rPr>
          <w:rStyle w:val="Emphasis"/>
        </w:rPr>
        <w:t>subcultural status</w:t>
      </w:r>
      <w:r w:rsidRPr="00A655A8">
        <w:rPr>
          <w:sz w:val="16"/>
        </w:rPr>
        <w:t xml:space="preserve"> from tagging over as large an area as possible, they also wander widely throughout the city; </w:t>
      </w:r>
      <w:r w:rsidRPr="00E733BD">
        <w:rPr>
          <w:rStyle w:val="Emphasis"/>
        </w:rPr>
        <w:t>mobility—and trespass—are essential</w:t>
      </w:r>
      <w:r w:rsidRPr="00A655A8">
        <w:rPr>
          <w:sz w:val="16"/>
        </w:rPr>
        <w:t xml:space="preserve">. Because further status derives from the difficulty of a tag’s placement, </w:t>
      </w:r>
      <w:r w:rsidRPr="00A60798">
        <w:rPr>
          <w:rStyle w:val="StyleUnderline"/>
        </w:rPr>
        <w:t>writers also regularly jump razor wire fences, climb freeway standards or skyscrapers</w:t>
      </w:r>
      <w:r w:rsidRPr="00A655A8">
        <w:rPr>
          <w:sz w:val="16"/>
        </w:rPr>
        <w:t xml:space="preserve"> (“tagging the heavens”), </w:t>
      </w:r>
      <w:r w:rsidRPr="00A60798">
        <w:rPr>
          <w:rStyle w:val="StyleUnderline"/>
        </w:rPr>
        <w:t>and otherwise violate the city’s spatial sorting</w:t>
      </w:r>
      <w:r w:rsidRPr="00A655A8">
        <w:rPr>
          <w:sz w:val="16"/>
        </w:rPr>
        <w:t xml:space="preserve">. And time and again, </w:t>
      </w:r>
      <w:r w:rsidRPr="00A60798">
        <w:rPr>
          <w:rStyle w:val="StyleUnderline"/>
        </w:rPr>
        <w:t>writers</w:t>
      </w:r>
      <w:r w:rsidRPr="00A655A8">
        <w:rPr>
          <w:sz w:val="16"/>
        </w:rPr>
        <w:t xml:space="preserve"> talk and </w:t>
      </w:r>
      <w:r w:rsidRPr="00A60798">
        <w:rPr>
          <w:rStyle w:val="StyleUnderline"/>
        </w:rPr>
        <w:t>tag in such a way as to make clear their resistance to urban control</w:t>
      </w:r>
      <w:r w:rsidRPr="00A655A8">
        <w:rPr>
          <w:sz w:val="16"/>
        </w:rPr>
        <w:t xml:space="preserve">. In Los Angeles, 13-year-old tagger Creator (CRE8) reports that “most of the time I get up (tag) on stop signs and city-owned stuff” (Quintanilla, 1993, p. E6). In Denver, legendary graffiti “king” Rasta 68 likewise announces that, “Personally, I want to hit on city stuff, like bridges, rather than some other person’s property. They build the boringest crap around, so why not beautify it?” (Will, 1994, January 2, p. 13). And </w:t>
      </w:r>
      <w:r w:rsidRPr="00A60798">
        <w:rPr>
          <w:rStyle w:val="StyleUnderline"/>
        </w:rPr>
        <w:t>in Boston, local writer Relm</w:t>
      </w:r>
      <w:r w:rsidRPr="00A655A8">
        <w:rPr>
          <w:sz w:val="16"/>
        </w:rPr>
        <w:t xml:space="preserve"> emphasizes in a newspaper interview that he </w:t>
      </w:r>
      <w:r w:rsidRPr="00A60798">
        <w:rPr>
          <w:rStyle w:val="StyleUnderline"/>
        </w:rPr>
        <w:t>doesn’t</w:t>
      </w:r>
      <w:r w:rsidRPr="00A655A8">
        <w:rPr>
          <w:sz w:val="16"/>
        </w:rPr>
        <w:t xml:space="preserve"> bomb (</w:t>
      </w:r>
      <w:r w:rsidRPr="00A60798">
        <w:rPr>
          <w:rStyle w:val="StyleUnderline"/>
        </w:rPr>
        <w:t>tag) individuals</w:t>
      </w:r>
      <w:r w:rsidRPr="00A655A8">
        <w:rPr>
          <w:sz w:val="16"/>
        </w:rPr>
        <w:t xml:space="preserve">, cars, </w:t>
      </w:r>
      <w:r w:rsidRPr="00A60798">
        <w:rPr>
          <w:rStyle w:val="StyleUnderline"/>
        </w:rPr>
        <w:t xml:space="preserve">or houses, but only large businesses, public buildings, and other </w:t>
      </w:r>
      <w:r w:rsidRPr="00A60798">
        <w:rPr>
          <w:rStyle w:val="Emphasis"/>
        </w:rPr>
        <w:t>urban symbols of the system he opposes</w:t>
      </w:r>
      <w:r w:rsidRPr="00A655A8">
        <w:rPr>
          <w:sz w:val="16"/>
        </w:rPr>
        <w:t xml:space="preserve"> (Jacobs, 1993, p. 28). If, as alluded to earlier, authority and resistance dance together, the next moment in this tango of urban control and graffiti writing is not difficult to anticipate: </w:t>
      </w:r>
      <w:r w:rsidRPr="00A60798">
        <w:rPr>
          <w:rStyle w:val="StyleUnderline"/>
        </w:rPr>
        <w:t>The same legal structures, policing powers, and technological safeguards that regulate the city at large are in turn brought down on graffiti writers, and with a vengeance</w:t>
      </w:r>
      <w:r w:rsidRPr="00A655A8">
        <w:rPr>
          <w:sz w:val="16"/>
        </w:rPr>
        <w:t xml:space="preserve">. The array of control technologies and techniques aligned against graffiti writing is itself impressive. Today, </w:t>
      </w:r>
      <w:r w:rsidRPr="00A60798">
        <w:rPr>
          <w:rStyle w:val="StyleUnderline"/>
        </w:rPr>
        <w:t>legal authorities and corporate sponsors</w:t>
      </w:r>
      <w:r w:rsidRPr="00A655A8">
        <w:rPr>
          <w:sz w:val="16"/>
        </w:rPr>
        <w:t xml:space="preserve"> in Los Angeles, San Bernardino, CA, New York, Denver, Las Vegas, Fort Worth, and other cities </w:t>
      </w:r>
      <w:r w:rsidRPr="00A60798">
        <w:rPr>
          <w:rStyle w:val="StyleUnderline"/>
        </w:rPr>
        <w:t>create police and citizen surveillance teams</w:t>
      </w:r>
      <w:r w:rsidRPr="00A655A8">
        <w:rPr>
          <w:sz w:val="16"/>
        </w:rPr>
        <w:t xml:space="preserve"> armed </w:t>
      </w:r>
      <w:r w:rsidRPr="00A655A8">
        <w:rPr>
          <w:sz w:val="16"/>
        </w:rPr>
        <w:lastRenderedPageBreak/>
        <w:t xml:space="preserve">with two-way radios, home video cameras, remote control infrared video cameras, and night-vision goggles; send out antigraffiti helicopter patrols; secure freeway signs and bridges with razor wire and commercial buildings with special graffiti-resistant coatings; and arrange toll-free telephone hotlines for watchful residents and motorists with cellular phones (Bennet, 1992; Ching, 1991; Colvin, 1993b; Fried, 1992; Rainey, 1993; “2 teens,” 1991; Valenzuela, 1993; “Writing on the Wall,” 1993). They also use U.S. Marines in antigraffiti operations, deploy undercover transit and police officers in the guise of high school students and journalists, stake out popular graffiti-writing areas, and set up sophisticated sting operations to apprehend graffiti writers and stop those who sell spray paint to them (“Albuquerque Police,” 1992; Baker, 1991; Carr, 1993; Henderson, 1994; “Lure of Fame,” 1994; Molloy &amp; Labahn, 1993; National Graffiti Information Network, 1990; “Sting,” 1991; “Teaching Teen,” 1994). </w:t>
      </w:r>
      <w:r w:rsidRPr="005B10A7">
        <w:rPr>
          <w:rStyle w:val="StyleUnderline"/>
        </w:rPr>
        <w:t>These sorts of physical control are backed by growing militancy among antigraffiti activists and by increasingly severe legal sanctions</w:t>
      </w:r>
      <w:r w:rsidRPr="00A655A8">
        <w:rPr>
          <w:sz w:val="16"/>
        </w:rPr>
        <w:t xml:space="preserve">. New York’s new police commissioner targets graffiti and other “quality of life” crimes; Los Angeles’s mayor Richard Riordan campaigns aggressively against graffiti and now recommends boot camps as punishment for writers; another Los Angeles mayoral candidate suggests “chop[ping] a few fingers off” (Simon, 1993, July 9, p. B3); and Denver’s mayor deflects a recall campaign with a vitriolic antigraffiti campaign of his own (Ferrell, 1993a; “These Guys,” 1994). A California assemblyman introduces a bill requiring that kids convicted of writing graffiti be publicly paddled; and in St. Louis, an alderman proposes public caning (Bailey, 1994; Gillam, 1994; Henderson, 1994). Other antigraffiti campaigners in Los Angeles and Denver cheer suggestions of lopping off hands, and speak of “hanging, shooting, and castrating” (Colvin, 1993a, p. B4) and publicly spray-painting writers’ genitals (Kreck, 1993; Martin, 1992). In this climate, southern California authorities arrest the parents and grandparents of alleged writers on charges of contributing to the delinquency of minors and sue or otherwise bill other parents for tens of thousands of dollars in damages (Goldman, 1993; Lozano, 1994; MacDuff &amp; Valenzuela, 1993; Valenzuela, 1993). In Los Angeles, writers themselves now face multiple $1,000 civil fines in addition to criminal penalties of $50,000 and 1 year in jail (Simon, 1993, July 9). Business owners in cities around the country confront statutes that regulate or ban the sale of spray paint and markers to minors and others and that force businesses to clean graffiti from their buildings (“Building Owners,” 1994; Fong, 1992; Hanley, 1992; Hynes, 1993; Smith, 1994; Tobar, 1993). And in Denver, Los Angeles, and other cities, aggressively entrepreneurial vigilantes, high school “bounty hunters,” and others now receive thousands of dollars in cash awards for turning in writers (Ferrell, 1993a; Reuter, 1994a; Schwada &amp; Sahagun, 1992). </w:t>
      </w:r>
      <w:r w:rsidRPr="00602BDE">
        <w:rPr>
          <w:rStyle w:val="StyleUnderline"/>
        </w:rPr>
        <w:t>Graffiti writers</w:t>
      </w:r>
      <w:r w:rsidRPr="00A655A8">
        <w:rPr>
          <w:sz w:val="16"/>
        </w:rPr>
        <w:t xml:space="preserve">, of course, </w:t>
      </w:r>
      <w:r w:rsidRPr="00602BDE">
        <w:rPr>
          <w:rStyle w:val="StyleUnderline"/>
        </w:rPr>
        <w:t>counterpunch with new forms of resistance and increased militancy of their own</w:t>
      </w:r>
      <w:r w:rsidRPr="00A655A8">
        <w:rPr>
          <w:sz w:val="16"/>
        </w:rPr>
        <w:t xml:space="preserve">. In the early years of hip hop graffiti, </w:t>
      </w:r>
      <w:r w:rsidRPr="00AC7001">
        <w:rPr>
          <w:rStyle w:val="StyleUnderline"/>
        </w:rPr>
        <w:t xml:space="preserve">legendary </w:t>
      </w:r>
      <w:r w:rsidRPr="00A655A8">
        <w:rPr>
          <w:sz w:val="16"/>
        </w:rPr>
        <w:t>New York City</w:t>
      </w:r>
      <w:r w:rsidRPr="00AC7001">
        <w:rPr>
          <w:rStyle w:val="StyleUnderline"/>
        </w:rPr>
        <w:t xml:space="preserve"> writer Lady Pink said</w:t>
      </w:r>
      <w:r w:rsidRPr="00A655A8">
        <w:rPr>
          <w:sz w:val="16"/>
        </w:rPr>
        <w:t>, “</w:t>
      </w:r>
      <w:r w:rsidRPr="00AC7001">
        <w:rPr>
          <w:rStyle w:val="StyleUnderline"/>
        </w:rPr>
        <w:t xml:space="preserve">Graffiti means ‘I’m here.’ . . . They want to snub us, but they </w:t>
      </w:r>
      <w:r w:rsidRPr="00A655A8">
        <w:rPr>
          <w:sz w:val="16"/>
        </w:rPr>
        <w:t xml:space="preserve">can’t” (Mizrahi, 1981, p. 20), and contemporary writers facing the full force of urban authority echo this sentiment. An 18-year-old Los Angeles tagger arrested six times says, “They want to wipe us out. But graffiti will never die” (Colvin, 1993a, p. B4); and </w:t>
      </w:r>
      <w:r w:rsidRPr="00AC7001">
        <w:rPr>
          <w:rStyle w:val="StyleUnderline"/>
        </w:rPr>
        <w:t xml:space="preserve">a </w:t>
      </w:r>
      <w:r w:rsidRPr="00A655A8">
        <w:rPr>
          <w:sz w:val="16"/>
        </w:rPr>
        <w:t>Compton</w:t>
      </w:r>
      <w:r w:rsidRPr="00AC7001">
        <w:rPr>
          <w:rStyle w:val="StyleUnderline"/>
        </w:rPr>
        <w:t xml:space="preserve"> tagger tells city officials, “You can lock me up, but you’re not going to arrest all of us. How are you guys going to make us stop? You don’t know how”</w:t>
      </w:r>
      <w:r w:rsidRPr="00A655A8">
        <w:rPr>
          <w:sz w:val="16"/>
        </w:rPr>
        <w:t xml:space="preserve"> (Tobar, 1993, p. B3). To prove their point, </w:t>
      </w:r>
      <w:r w:rsidRPr="00AC7001">
        <w:rPr>
          <w:rStyle w:val="Emphasis"/>
        </w:rPr>
        <w:t>writers decorate, and desecrate, the very control structures in which they are caught</w:t>
      </w:r>
      <w:r w:rsidRPr="00A655A8">
        <w:rPr>
          <w:sz w:val="16"/>
        </w:rPr>
        <w:t xml:space="preserve">. Kids involved in a city work program at Los Angeles City Hall reach for “the heavens” by tagging the top floor of the city hall tower (Sahagun, 1992). In response to the Denver mayor’s antigraffiti campaign, Voodoo paints a “Recall” piece and poem along the bike path where the mayor jogs. A Boston writer on trial for graffiti affixes tagged stickers—an increasingly popular form of pre-fabricated tagging—throughout the courthouse and, remarkably, on the back of the prosecutor’s legal pad (Jacobs, 1993). And Chaka—southern California’s most notorious and prolific tagger—is arrested for tagging a courthouse elevator while visiting the probation officer supervising his previous conviction for tagging (MacDuff &amp; Valenzuela, 1993; Martin, 1992). To avoid later detection, writers in Las Vegas, Denver, and other cities also increasingly wear latex gloves when they tag or piece and take other practical measures to avoid apprehension. But for writers, </w:t>
      </w:r>
      <w:r w:rsidRPr="002A0FCC">
        <w:rPr>
          <w:rStyle w:val="StyleUnderline"/>
        </w:rPr>
        <w:t>the most remarkable and insidious form of resistance to increased repression is not a practical measure but a pleasurable response. This is the adrenalin rush</w:t>
      </w:r>
      <w:r w:rsidRPr="00A655A8">
        <w:rPr>
          <w:sz w:val="16"/>
        </w:rPr>
        <w:t xml:space="preserve">. </w:t>
      </w:r>
      <w:r w:rsidRPr="002A0FCC">
        <w:rPr>
          <w:rStyle w:val="StyleUnderline"/>
        </w:rPr>
        <w:t>Writers consistently report</w:t>
      </w:r>
      <w:r w:rsidRPr="00A655A8">
        <w:rPr>
          <w:sz w:val="16"/>
        </w:rPr>
        <w:t xml:space="preserve"> to me and to others </w:t>
      </w:r>
      <w:r w:rsidRPr="002A0FCC">
        <w:rPr>
          <w:rStyle w:val="StyleUnderline"/>
        </w:rPr>
        <w:t>that their experience of tagging</w:t>
      </w:r>
      <w:r w:rsidRPr="00A655A8">
        <w:rPr>
          <w:sz w:val="16"/>
        </w:rPr>
        <w:t xml:space="preserve"> and piecing </w:t>
      </w:r>
      <w:r w:rsidRPr="002A0FCC">
        <w:rPr>
          <w:rStyle w:val="StyleUnderline"/>
        </w:rPr>
        <w:t xml:space="preserve">is defined by the incandescent excitement, the adrenalin rush, that results from creating their art in a dangerous and illegal environment—and that heightened legal and police pressure </w:t>
      </w:r>
      <w:r w:rsidRPr="00A655A8">
        <w:rPr>
          <w:sz w:val="16"/>
        </w:rPr>
        <w:t>therefore</w:t>
      </w:r>
      <w:r w:rsidRPr="002A0FCC">
        <w:rPr>
          <w:rStyle w:val="StyleUnderline"/>
        </w:rPr>
        <w:t xml:space="preserve"> heightens this adrenalin rush as well</w:t>
      </w:r>
      <w:r w:rsidRPr="00A655A8">
        <w:rPr>
          <w:sz w:val="16"/>
        </w:rPr>
        <w:t xml:space="preserve">. In Los Angeles, Creator says, “I bomb because I like the chase, the getting up [tagging] without getting caught. . . . Catch me if you can” (Quintanilla, 1993, p. E1); and in San Bernardino, an ex-tagger adds, “I miss the rush. It’s a rush because you’re taking a chance of getting caught. You do it to see if you can get away with it. It’s like an addiction—you can’t stop” (MacDuff &amp; Valenzuela, 1993, p. A11). </w:t>
      </w:r>
      <w:r w:rsidRPr="002A0FCC">
        <w:rPr>
          <w:rStyle w:val="StyleUnderline"/>
        </w:rPr>
        <w:t>Well-known</w:t>
      </w:r>
      <w:r w:rsidRPr="00A655A8">
        <w:rPr>
          <w:sz w:val="16"/>
        </w:rPr>
        <w:t xml:space="preserve"> Denver </w:t>
      </w:r>
      <w:r w:rsidRPr="002A0FCC">
        <w:rPr>
          <w:rStyle w:val="StyleUnderline"/>
        </w:rPr>
        <w:t>writers</w:t>
      </w:r>
      <w:r w:rsidRPr="00A655A8">
        <w:rPr>
          <w:sz w:val="16"/>
        </w:rPr>
        <w:t xml:space="preserve"> like Z13, Rasta 68, Eoosh, and Voodoo also </w:t>
      </w:r>
      <w:r w:rsidRPr="002A0FCC">
        <w:rPr>
          <w:rStyle w:val="StyleUnderline"/>
        </w:rPr>
        <w:t>speak regularly of “that rush” one gets from graffiti, its links to illegality, and the ways in which increased police pressure means, for them, increased excitement</w:t>
      </w:r>
      <w:r w:rsidRPr="00A655A8">
        <w:rPr>
          <w:sz w:val="16"/>
        </w:rPr>
        <w:t>; as Voodoo says, with regard to piecing, “Right before you hit the wall, you get that rush. And right when you hit the wall, you know that you’re breaking the law, and that gives that extra adrenalin flow” (Ferrell, 1993a, p. 82). A Denver street artist thus concludes, “Doing graffiti is a real adrenalin rush. That provides a lot of the pull and draw to the taggers. The city doesn’t understand that the more they publicize the crackdown, the more active the taggers will become” (Ferrell, 1993a, p. 148). A Las Vegas “hip hop shop” owner summarizes the situation succinctly: “</w:t>
      </w:r>
      <w:r w:rsidRPr="002A0FCC">
        <w:rPr>
          <w:rStyle w:val="StyleUnderline"/>
        </w:rPr>
        <w:t>The harder the city comes down on them, the more fun it is for them</w:t>
      </w:r>
      <w:r w:rsidRPr="00A655A8">
        <w:rPr>
          <w:sz w:val="16"/>
        </w:rPr>
        <w:t xml:space="preserve">” (“Writing on the Wall,” 1993, p. 4C). </w:t>
      </w:r>
      <w:r w:rsidRPr="00A655A8">
        <w:rPr>
          <w:sz w:val="16"/>
        </w:rPr>
        <w:lastRenderedPageBreak/>
        <w:t xml:space="preserve">As the adrenalin rush shows, </w:t>
      </w:r>
      <w:r w:rsidRPr="002A0FCC">
        <w:rPr>
          <w:rStyle w:val="StyleUnderline"/>
        </w:rPr>
        <w:t>graffiti writers</w:t>
      </w:r>
      <w:r w:rsidRPr="00A655A8">
        <w:rPr>
          <w:sz w:val="16"/>
        </w:rPr>
        <w:t xml:space="preserve"> resist the pressure brought against them not only by fighting it, but by using it for their own purposes and by </w:t>
      </w:r>
      <w:r w:rsidRPr="002A0FCC">
        <w:rPr>
          <w:rStyle w:val="StyleUnderline"/>
        </w:rPr>
        <w:t>transform</w:t>
      </w:r>
      <w:r w:rsidRPr="00A655A8">
        <w:rPr>
          <w:sz w:val="16"/>
        </w:rPr>
        <w:t xml:space="preserve">ing </w:t>
      </w:r>
      <w:r w:rsidRPr="002A0FCC">
        <w:rPr>
          <w:rStyle w:val="StyleUnderline"/>
        </w:rPr>
        <w:t>political pressure into personal and collective pleasure.</w:t>
      </w:r>
      <w:r w:rsidRPr="00A655A8">
        <w:rPr>
          <w:sz w:val="16"/>
        </w:rPr>
        <w:t xml:space="preserve"> Here again we see the dance of authority and resistance and the strange steps that it follows—in this case, </w:t>
      </w:r>
      <w:r w:rsidRPr="002A0FCC">
        <w:rPr>
          <w:rStyle w:val="StyleUnderline"/>
        </w:rPr>
        <w:t>the authorities’</w:t>
      </w:r>
      <w:r w:rsidRPr="00A655A8">
        <w:rPr>
          <w:sz w:val="16"/>
        </w:rPr>
        <w:t xml:space="preserve"> role in </w:t>
      </w:r>
      <w:r w:rsidRPr="002A0FCC">
        <w:rPr>
          <w:rStyle w:val="StyleUnderline"/>
        </w:rPr>
        <w:t>amplify</w:t>
      </w:r>
      <w:r w:rsidRPr="00A655A8">
        <w:rPr>
          <w:sz w:val="16"/>
        </w:rPr>
        <w:t xml:space="preserve">ing </w:t>
      </w:r>
      <w:r w:rsidRPr="002A0FCC">
        <w:rPr>
          <w:rStyle w:val="StyleUnderline"/>
        </w:rPr>
        <w:t>the meaning and intensity of the very activity they wish to suppress</w:t>
      </w:r>
      <w:r w:rsidRPr="00A655A8">
        <w:rPr>
          <w:sz w:val="16"/>
        </w:rPr>
        <w:t xml:space="preserve">. In this ongoing interplay, we also begin to see the magnitude of the battle between graffiti writers and urban authorities. This battle is certainly, as headline writers are wont to put it, a “war of the walls”; in doing graffiti, </w:t>
      </w:r>
      <w:r w:rsidRPr="002A0FCC">
        <w:rPr>
          <w:rStyle w:val="StyleUnderline"/>
        </w:rPr>
        <w:t>writers challenge the “aesthetics of authority</w:t>
      </w:r>
      <w:r w:rsidRPr="00A655A8">
        <w:rPr>
          <w:sz w:val="16"/>
        </w:rPr>
        <w:t xml:space="preserve">” (Ferrell, 1993a, pp. 178–186) </w:t>
      </w:r>
      <w:r w:rsidRPr="002A0FCC">
        <w:rPr>
          <w:rStyle w:val="StyleUnderline"/>
        </w:rPr>
        <w:t>that govern the city</w:t>
      </w:r>
      <w:r w:rsidRPr="00A655A8">
        <w:rPr>
          <w:sz w:val="16"/>
        </w:rPr>
        <w:t xml:space="preserve">, invent new visual conventions, and give lie by their tags and pieces to the vision of a city under firm political control. </w:t>
      </w:r>
      <w:r w:rsidRPr="002A0FCC">
        <w:rPr>
          <w:rStyle w:val="StyleUnderline"/>
        </w:rPr>
        <w:t>But this war of the walls is</w:t>
      </w:r>
      <w:r w:rsidRPr="00A655A8">
        <w:rPr>
          <w:sz w:val="16"/>
        </w:rPr>
        <w:t xml:space="preserve">, more profoundly, </w:t>
      </w:r>
      <w:r w:rsidRPr="002A0FCC">
        <w:rPr>
          <w:rStyle w:val="StyleUnderline"/>
        </w:rPr>
        <w:t>a war of the worlds</w:t>
      </w:r>
      <w:r w:rsidRPr="00A655A8">
        <w:rPr>
          <w:sz w:val="16"/>
        </w:rPr>
        <w:t xml:space="preserve">. For </w:t>
      </w:r>
      <w:r w:rsidRPr="00A655A8">
        <w:rPr>
          <w:rStyle w:val="Emphasis"/>
        </w:rPr>
        <w:t>graffiti writing not only confronts and resists an urban environment of fractured communities and segregated spaces; it actively constructs alternatives to these arrangements as well.</w:t>
      </w:r>
    </w:p>
    <w:p xmlns:wp14="http://schemas.microsoft.com/office/word/2010/wordml" w:rsidRPr="00033B7D" w:rsidR="0082799E" w:rsidP="0082799E" w:rsidRDefault="0082799E" w14:paraId="4B99056E" wp14:textId="77777777"/>
    <w:p xmlns:wp14="http://schemas.microsoft.com/office/word/2010/wordml" w:rsidR="0082799E" w:rsidP="0082799E" w:rsidRDefault="0082799E" w14:paraId="1299C43A" wp14:textId="77777777"/>
    <w:p xmlns:wp14="http://schemas.microsoft.com/office/word/2010/wordml" w:rsidRPr="002C24EE" w:rsidR="0082799E" w:rsidP="0082799E" w:rsidRDefault="0082799E" w14:paraId="4A60F2CB" wp14:textId="77777777">
      <w:pPr>
        <w:pStyle w:val="Heading4"/>
        <w:rPr>
          <w:rFonts w:cs="Arial"/>
        </w:rPr>
      </w:pPr>
      <w:r w:rsidRPr="002C24EE">
        <w:rPr>
          <w:rFonts w:eastAsia="TimesNewRomanPSMT" w:cs="Arial"/>
        </w:rPr>
        <w:t>Graffiti is</w:t>
      </w:r>
      <w:r>
        <w:rPr>
          <w:rFonts w:eastAsia="TimesNewRomanPSMT" w:cs="Arial"/>
        </w:rPr>
        <w:t xml:space="preserve"> counter-hegemonic.  It emerges from the common contestations of belonging foreclosed by authority and challenges domination from the local</w:t>
      </w:r>
    </w:p>
    <w:p xmlns:wp14="http://schemas.microsoft.com/office/word/2010/wordml" w:rsidRPr="002C24EE" w:rsidR="0082799E" w:rsidP="0082799E" w:rsidRDefault="0082799E" w14:paraId="6E88B2B8" wp14:textId="77777777">
      <w:pPr>
        <w:rPr>
          <w:sz w:val="18"/>
          <w:szCs w:val="18"/>
        </w:rPr>
      </w:pPr>
      <w:r w:rsidRPr="002C24EE">
        <w:rPr>
          <w:rStyle w:val="Style13ptBold"/>
        </w:rPr>
        <w:t>Bartolomeo 2001</w:t>
      </w:r>
      <w:r w:rsidRPr="002C24EE">
        <w:t xml:space="preserve"> </w:t>
      </w:r>
      <w:r w:rsidRPr="002C24EE">
        <w:rPr>
          <w:sz w:val="18"/>
        </w:rPr>
        <w:t xml:space="preserve">[Bartolomeo, Bradley J. </w:t>
      </w:r>
      <w:r w:rsidRPr="002C24EE">
        <w:rPr>
          <w:i/>
          <w:sz w:val="18"/>
        </w:rPr>
        <w:t>Cement or Canvas: Aerosol Art &amp; The Changing Face of Graffiti in the 21st Century</w:t>
      </w:r>
      <w:r w:rsidRPr="002C24EE">
        <w:rPr>
          <w:sz w:val="18"/>
        </w:rPr>
        <w:t xml:space="preserve">. Union College, 2001.  </w:t>
      </w:r>
      <w:hyperlink w:history="1" w:anchor="Symptoms_of_Change" r:id="rId8">
        <w:r w:rsidRPr="002C24EE">
          <w:rPr>
            <w:rStyle w:val="Hyperlink"/>
            <w:sz w:val="18"/>
          </w:rPr>
          <w:t>https://www.graffiti.org/faq/graffiti-is-part-of-us.html#Symptoms_of_Change</w:t>
        </w:r>
      </w:hyperlink>
      <w:r w:rsidRPr="002C24EE">
        <w:rPr>
          <w:sz w:val="18"/>
        </w:rPr>
        <w:t xml:space="preserve"> Graduate of Union College and Benjamin N. Cardozo School of Law with degrees in anthropology, psychology, and law.]</w:t>
      </w:r>
      <w:r w:rsidRPr="002C24EE">
        <w:rPr>
          <w:sz w:val="18"/>
          <w:szCs w:val="18"/>
        </w:rPr>
        <w:t>//MMS</w:t>
      </w:r>
    </w:p>
    <w:p xmlns:wp14="http://schemas.microsoft.com/office/word/2010/wordml" w:rsidR="0082799E" w:rsidP="0082799E" w:rsidRDefault="0082799E" w14:paraId="48D970D5" wp14:textId="77777777">
      <w:pPr>
        <w:pStyle w:val="NormalWeb"/>
        <w:rPr>
          <w:rFonts w:ascii="Arial" w:hAnsi="Arial" w:cs="Arial"/>
          <w:sz w:val="16"/>
          <w:szCs w:val="22"/>
        </w:rPr>
      </w:pPr>
      <w:r w:rsidRPr="002C24EE">
        <w:rPr>
          <w:rFonts w:ascii="Arial" w:hAnsi="Arial" w:cs="Arial"/>
          <w:sz w:val="16"/>
          <w:szCs w:val="22"/>
        </w:rPr>
        <w:t xml:space="preserve">A visually salient, though often artistic and creative manner of resistance, </w:t>
      </w:r>
      <w:r w:rsidRPr="002C24EE">
        <w:rPr>
          <w:rStyle w:val="StyleUnderline"/>
          <w:rFonts w:ascii="Arial" w:hAnsi="Arial" w:cs="Arial"/>
        </w:rPr>
        <w:t>graffiti inherently opposes political domination and authoritative control of public space</w:t>
      </w:r>
      <w:r w:rsidRPr="002C24EE">
        <w:rPr>
          <w:rFonts w:ascii="Arial" w:hAnsi="Arial" w:cs="Arial"/>
          <w:sz w:val="16"/>
          <w:szCs w:val="22"/>
        </w:rPr>
        <w:t>. Phillips candidly remarks, "</w:t>
      </w:r>
      <w:r w:rsidRPr="002C24EE">
        <w:rPr>
          <w:rStyle w:val="StyleUnderline"/>
          <w:rFonts w:ascii="Arial" w:hAnsi="Arial" w:cs="Arial"/>
        </w:rPr>
        <w:t>Because of these destructive tendencies, graffiti says "fuck you" to societ</w:t>
      </w:r>
      <w:r w:rsidRPr="002C24EE">
        <w:rPr>
          <w:rFonts w:ascii="Arial" w:hAnsi="Arial" w:cs="Arial"/>
          <w:sz w:val="16"/>
          <w:szCs w:val="22"/>
        </w:rPr>
        <w:t xml:space="preserve">y, even if it doesn't exactly say "fuck you" — though many graffiti, of course, do" (Phillips 1999:23). She continues with this thought: </w:t>
      </w:r>
      <w:r w:rsidRPr="002C24EE">
        <w:rPr>
          <w:rFonts w:ascii="Arial" w:hAnsi="Arial" w:cs="Arial"/>
          <w:sz w:val="16"/>
        </w:rPr>
        <w:t xml:space="preserve">Whether or not it says so in so many words, </w:t>
      </w:r>
      <w:r w:rsidRPr="002C24EE">
        <w:rPr>
          <w:rStyle w:val="StyleUnderline"/>
          <w:rFonts w:ascii="Arial" w:hAnsi="Arial" w:cs="Arial"/>
        </w:rPr>
        <w:t>the fuck you message is implicit in the use of graffiti as communication. The medium itself implies alienation, discontentment, marginality, repression, resentment, rebellion: no matter what it says, graffiti always implies a "fuck you". Though addressing the larger society in this contemptuous manner may be a secondary or even tertiary element of the graffiti writer's agenda, this element always lurks in the background of every graffito on every wall.</w:t>
      </w:r>
      <w:r w:rsidRPr="002C24EE">
        <w:rPr>
          <w:rFonts w:ascii="Arial" w:hAnsi="Arial" w:cs="Arial"/>
          <w:sz w:val="16"/>
        </w:rPr>
        <w:t xml:space="preserve"> (Phillips 1999:23)  </w:t>
      </w:r>
      <w:r w:rsidRPr="002C24EE">
        <w:rPr>
          <w:rStyle w:val="StyleUnderline"/>
          <w:rFonts w:ascii="Arial" w:hAnsi="Arial" w:cs="Arial"/>
        </w:rPr>
        <w:t>This type of rebellion and resentment, shared between the graffiti artists and their work, is exactly the type of message that society tries to suffocate</w:t>
      </w:r>
      <w:r w:rsidRPr="002C24EE">
        <w:rPr>
          <w:rFonts w:ascii="Arial" w:hAnsi="Arial" w:cs="Arial"/>
          <w:sz w:val="16"/>
          <w:szCs w:val="22"/>
        </w:rPr>
        <w:t xml:space="preserve">. The blatant disregard for public space is interpreted by the public as a type of "fuck you" statement; internalized, the message of graffiti is seen as a personal attack, rather than a more general resistance to a system which leaves the fate of public space in the hands of a minority within our society.  Thus, it is obvious that </w:t>
      </w:r>
      <w:r w:rsidRPr="002C24EE">
        <w:rPr>
          <w:rStyle w:val="StyleUnderline"/>
          <w:rFonts w:ascii="Arial" w:hAnsi="Arial" w:cs="Arial"/>
        </w:rPr>
        <w:t>graffiti inherently promotes a message of rebellion and resistance, a type of resistance that promotes an anarchist ideology in many layers</w:t>
      </w:r>
      <w:r w:rsidRPr="002C24EE">
        <w:rPr>
          <w:rFonts w:ascii="Arial" w:hAnsi="Arial" w:cs="Arial"/>
          <w:sz w:val="16"/>
          <w:szCs w:val="22"/>
        </w:rPr>
        <w:t xml:space="preserve">. Reisner and Wechsler (1974) </w:t>
      </w:r>
      <w:r w:rsidRPr="002C24EE">
        <w:rPr>
          <w:rStyle w:val="StyleUnderline"/>
          <w:rFonts w:ascii="Arial" w:hAnsi="Arial" w:cs="Arial"/>
        </w:rPr>
        <w:t xml:space="preserve">also </w:t>
      </w:r>
      <w:r w:rsidRPr="002C24EE">
        <w:rPr>
          <w:rFonts w:ascii="Arial" w:hAnsi="Arial" w:cs="Arial"/>
          <w:sz w:val="16"/>
          <w:szCs w:val="22"/>
        </w:rPr>
        <w:t xml:space="preserve">maintain a position on graffiti that </w:t>
      </w:r>
      <w:r w:rsidRPr="002C24EE">
        <w:rPr>
          <w:rStyle w:val="StyleUnderline"/>
          <w:rFonts w:ascii="Arial" w:hAnsi="Arial" w:cs="Arial"/>
        </w:rPr>
        <w:t>regards it as the voice of resistance.</w:t>
      </w:r>
      <w:r w:rsidRPr="002C24EE">
        <w:rPr>
          <w:rFonts w:ascii="Arial" w:hAnsi="Arial" w:cs="Arial"/>
          <w:sz w:val="16"/>
          <w:szCs w:val="22"/>
        </w:rPr>
        <w:t xml:space="preserve"> In this passage, </w:t>
      </w:r>
      <w:r w:rsidRPr="002C24EE">
        <w:rPr>
          <w:rStyle w:val="StyleUnderline"/>
          <w:rFonts w:ascii="Arial" w:hAnsi="Arial" w:cs="Arial"/>
        </w:rPr>
        <w:t xml:space="preserve">it is obvious that the expressive medium of graffiti is an opposition to authoritative and aristocratic domination. Graffiti are the voice of the common man. We are used to taking our history from aristocrats and statesmen and their paid scribes. But through graffiti we discover evidence of another version of history, characterized by oppression and opposition to the official point of view. Topics too sensitive, too bigoted, too outrageous for the official version are the natural province. </w:t>
      </w:r>
      <w:r w:rsidRPr="002C24EE">
        <w:rPr>
          <w:rFonts w:ascii="Arial" w:hAnsi="Arial" w:cs="Arial"/>
          <w:sz w:val="16"/>
        </w:rPr>
        <w:t xml:space="preserve">(Reisner &amp; Wechsler 1974:vi)  </w:t>
      </w:r>
      <w:r w:rsidRPr="002C24EE">
        <w:rPr>
          <w:rFonts w:ascii="Arial" w:hAnsi="Arial" w:cs="Arial"/>
          <w:sz w:val="16"/>
          <w:szCs w:val="22"/>
        </w:rPr>
        <w:t xml:space="preserve">Along these same lines, other anthropologists have explored the nature of a resistance movement in society. Graffiti, with its seemingly global appeal and use, has been a form of political resistance for many years. It is important here to note, however, that though the basic message of graffiti remains the same, in that it is a commentary on the private control and use of public space, it is also necessary to indicate a second message of graffiti. Through the act of graffiti, a second message may be promoted, which is central to its nature; the content of each graffiti piece is unique to the context and circumstances from which every individual writes. Thus, </w:t>
      </w:r>
      <w:r w:rsidRPr="002C24EE">
        <w:rPr>
          <w:rStyle w:val="StyleUnderline"/>
          <w:rFonts w:ascii="Arial" w:hAnsi="Arial" w:cs="Arial"/>
        </w:rPr>
        <w:t xml:space="preserve">graffiti is not only a form of political resistance, but also, remains a way by which people </w:t>
      </w:r>
      <w:r w:rsidRPr="002C24EE">
        <w:rPr>
          <w:rStyle w:val="StyleUnderline"/>
          <w:rFonts w:ascii="Arial" w:hAnsi="Arial" w:cs="Arial"/>
        </w:rPr>
        <w:lastRenderedPageBreak/>
        <w:t>may assume a sense of cohesiveness, rallying around shared ideology.</w:t>
      </w:r>
      <w:r w:rsidRPr="002C24EE">
        <w:rPr>
          <w:rFonts w:ascii="Arial" w:hAnsi="Arial" w:cs="Arial"/>
          <w:sz w:val="16"/>
          <w:szCs w:val="22"/>
        </w:rPr>
        <w:t xml:space="preserve">  Often, </w:t>
      </w:r>
      <w:r w:rsidRPr="002C24EE">
        <w:rPr>
          <w:rStyle w:val="StyleUnderline"/>
          <w:rFonts w:ascii="Arial" w:hAnsi="Arial" w:cs="Arial"/>
        </w:rPr>
        <w:t>graffiti has been used as a type of political resistance in third-world nations; anonymous expressive acts of political rhetoric, these graffiti are a cultural commentary on the likes and dislikes of social policy</w:t>
      </w:r>
      <w:r w:rsidRPr="002C24EE">
        <w:rPr>
          <w:rFonts w:ascii="Arial" w:hAnsi="Arial" w:cs="Arial"/>
          <w:sz w:val="16"/>
          <w:szCs w:val="22"/>
        </w:rPr>
        <w:t xml:space="preserve">. Stephen Leavitt relates this cultural phenomenon in his essay, "Cargo Beliefs and Religious Experience". He maintains the understanding that people occupy themselves with a particular behavior, action, or object in the face of political domination; in the case of Papa New Guinea, cargo cults have emerged as a convention by which to maintain identity and prestige in the face of political oppression. Similar to the way in which graffiti creates identity, the Papa New Guineans have used cargo as a material way by which to comment on social ideology and, in turn, create a shared system of beliefs through which people may have an identity. Leavitt remarks about the emergence of cargo cults as a response to political domination here: </w:t>
      </w:r>
      <w:r w:rsidRPr="002C24EE">
        <w:rPr>
          <w:rFonts w:ascii="Arial" w:hAnsi="Arial" w:cs="Arial"/>
          <w:sz w:val="16"/>
        </w:rPr>
        <w:t xml:space="preserve">The Europeans who arrived did not share the same view of how relationships are built. They had control over extremely attractive material goods, but they refused to enter into proper exchange relations with the local people. Instead, they instituted colonial control and acted as superiors. Some anthropologists have argued, then, that the Papa New Guinean preoccupation with cargo is a way of rebuilding a sense of independence and prestige in the face of colonial rule. (Spradley &amp; McCurdy 1997:338)  </w:t>
      </w:r>
      <w:r w:rsidRPr="002C24EE">
        <w:rPr>
          <w:rFonts w:ascii="Arial" w:hAnsi="Arial" w:cs="Arial"/>
          <w:sz w:val="16"/>
          <w:szCs w:val="22"/>
        </w:rPr>
        <w:t xml:space="preserve">This example clearly illustrates how people may react to cultural domination and colonial rule. </w:t>
      </w:r>
      <w:r w:rsidRPr="002C24EE">
        <w:rPr>
          <w:rStyle w:val="StyleUnderline"/>
          <w:rFonts w:ascii="Arial" w:hAnsi="Arial" w:cs="Arial"/>
        </w:rPr>
        <w:t>Graffiti, therefore, is a cultural response to opposing ideologies; the graffiti artist "underdog", however, must convey dissatisfaction in a passive and harmless, but, resistant manner</w:t>
      </w:r>
      <w:r w:rsidRPr="002C24EE">
        <w:rPr>
          <w:rFonts w:ascii="Arial" w:hAnsi="Arial" w:cs="Arial"/>
          <w:sz w:val="16"/>
          <w:szCs w:val="22"/>
        </w:rPr>
        <w:t xml:space="preserve">. This raises the question as to whether or not the political opposition conveyed through graffiti is just an American form of resistance to the dominant culture? Rather, </w:t>
      </w:r>
      <w:r w:rsidRPr="002C24EE">
        <w:rPr>
          <w:rStyle w:val="StyleUnderline"/>
          <w:rFonts w:ascii="Arial" w:hAnsi="Arial" w:cs="Arial"/>
        </w:rPr>
        <w:t>the graffiti movement has become a global form of expression that often highlights the political unrest felt by certain members within a culture.  In Paraguay, for example, graffiti has been a critical medium by which political communication occurs. Under authoritarian rule, Paraguay has suffered extreme times of censorship and thus, the people have registered their anti-sentiments in public displays of art — namely graffiti</w:t>
      </w:r>
      <w:r w:rsidRPr="002C24EE">
        <w:rPr>
          <w:rFonts w:ascii="Arial" w:hAnsi="Arial" w:cs="Arial"/>
          <w:sz w:val="16"/>
          <w:szCs w:val="22"/>
        </w:rPr>
        <w:t xml:space="preserve">. Lyman Chaffee (1990) has investigated the extent to which graffiti plays a part in Paraguay's political culture. Though his findings were geared towards the impact that graffiti has on Paraguay's political power struggle, he did argue that </w:t>
      </w:r>
      <w:r w:rsidRPr="002C24EE">
        <w:rPr>
          <w:rStyle w:val="StyleUnderline"/>
          <w:rFonts w:ascii="Arial" w:hAnsi="Arial" w:cs="Arial"/>
        </w:rPr>
        <w:t>graffiti, in essence, is a popular form of resistance among youth culture.</w:t>
      </w:r>
      <w:r w:rsidRPr="002C24EE">
        <w:rPr>
          <w:rFonts w:ascii="Arial" w:hAnsi="Arial" w:cs="Arial"/>
          <w:sz w:val="16"/>
          <w:szCs w:val="22"/>
        </w:rPr>
        <w:t xml:space="preserve"> Chaffee explores why graffiti has gained popularity and the innate ability to promote cohesiveness when he remarks: </w:t>
      </w:r>
      <w:r w:rsidRPr="002C24EE">
        <w:rPr>
          <w:rStyle w:val="StyleUnderline"/>
          <w:rFonts w:ascii="Arial" w:hAnsi="Arial" w:cs="Arial"/>
        </w:rPr>
        <w:t>Graffiti writing is one of the easiest and most efficient ways for individuals and opposing groups to register political dissidence, express social alienation, propagate anti-system ideas, and establish an alternative collective memory. Groups can use graffiti to push their agendas or generally to make their presence felt, for it is an extremely easy means of communicating ideas and establishing a collective identity with the masses by putting a government on notice that anti-system sentiments exist with a definite historical memory.</w:t>
      </w:r>
      <w:r w:rsidRPr="002C24EE">
        <w:rPr>
          <w:rFonts w:ascii="Arial" w:hAnsi="Arial" w:cs="Arial"/>
          <w:sz w:val="16"/>
        </w:rPr>
        <w:t xml:space="preserve"> Given by the circumstances of doctoral regimes</w:t>
      </w:r>
      <w:r w:rsidRPr="002C24EE">
        <w:rPr>
          <w:rStyle w:val="StyleUnderline"/>
          <w:rFonts w:ascii="Arial" w:hAnsi="Arial" w:cs="Arial"/>
        </w:rPr>
        <w:t>, graffiti communication can be, if recognized by groups and if organized sufficiently, an important medium for breaking the dominant control and censorship which authoritarian governments exercise</w:t>
      </w:r>
      <w:r w:rsidRPr="002C24EE">
        <w:rPr>
          <w:rFonts w:ascii="Arial" w:hAnsi="Arial" w:cs="Arial"/>
          <w:sz w:val="16"/>
        </w:rPr>
        <w:t xml:space="preserve">. (Chaffee 1990:127)  </w:t>
      </w:r>
      <w:r w:rsidRPr="002C24EE">
        <w:rPr>
          <w:rFonts w:ascii="Arial" w:hAnsi="Arial" w:cs="Arial"/>
          <w:sz w:val="16"/>
          <w:szCs w:val="22"/>
        </w:rPr>
        <w:t xml:space="preserve">Graffiti, as a type of discourse, therefore, may achieve many goals. </w:t>
      </w:r>
      <w:r w:rsidRPr="002C24EE">
        <w:rPr>
          <w:rStyle w:val="StyleUnderline"/>
          <w:rFonts w:ascii="Arial" w:hAnsi="Arial" w:cs="Arial"/>
        </w:rPr>
        <w:t>The "in your face" method of presentation, boldly projects the animosity and/or neglect that a particular group of people may feel. It is possible for a number of people to join forces in their struggle and statement without knowing each other personally. Through this graffiti, writers have created an identity; grounded in resistance to a dominant system, artists share graffiti as an expressive form by which to communicate social unrest. The "walls" upon which graffiti is written remain a public forum by which many individuals are both reaffirmed of their anti-structural sentiments as well as given an opportunity to voice their opinion.</w:t>
      </w:r>
      <w:r w:rsidRPr="002C24EE">
        <w:rPr>
          <w:rFonts w:ascii="Arial" w:hAnsi="Arial" w:cs="Arial"/>
          <w:sz w:val="16"/>
          <w:szCs w:val="22"/>
        </w:rPr>
        <w:t xml:space="preserve">  Lila Abu-Lughod develops this idea of a "Discourse of Anti-Structure" in her book about Bedouin women title </w:t>
      </w:r>
      <w:r w:rsidRPr="002C24EE">
        <w:rPr>
          <w:rFonts w:ascii="Arial" w:hAnsi="Arial" w:cs="Arial"/>
          <w:i/>
          <w:iCs/>
          <w:sz w:val="16"/>
          <w:szCs w:val="22"/>
        </w:rPr>
        <w:t>Veiled Sentiments</w:t>
      </w:r>
      <w:r w:rsidRPr="002C24EE">
        <w:rPr>
          <w:rFonts w:ascii="Arial" w:hAnsi="Arial" w:cs="Arial"/>
          <w:sz w:val="16"/>
          <w:szCs w:val="22"/>
        </w:rPr>
        <w:t>. Abu-Lughod discusses many different types of discourse in Bedouin society, each of these means of expression serve a different function. Lughod generally defines discourse as a formalized type of communication in which emotional sentiments are conveyed through an expressive medium.  Negative sentiments that challenge the "status quo" and the core ethics of a society are called "Discourses of Anti-Structure".</w:t>
      </w:r>
      <w:r w:rsidRPr="002C24EE">
        <w:rPr>
          <w:rStyle w:val="StyleUnderline"/>
          <w:rFonts w:ascii="Arial" w:hAnsi="Arial" w:cs="Arial"/>
        </w:rPr>
        <w:t xml:space="preserve"> </w:t>
      </w:r>
      <w:r w:rsidRPr="002C24EE">
        <w:rPr>
          <w:rFonts w:ascii="Arial" w:hAnsi="Arial" w:cs="Arial"/>
          <w:sz w:val="16"/>
          <w:szCs w:val="22"/>
        </w:rPr>
        <w:t xml:space="preserve">In reference to the Bedouin emphasis placed on autonomy and honor, Lughod explains that </w:t>
      </w:r>
      <w:r w:rsidRPr="002C24EE">
        <w:rPr>
          <w:rFonts w:ascii="Arial" w:hAnsi="Arial" w:cs="Arial"/>
          <w:i/>
          <w:iCs/>
          <w:sz w:val="22"/>
          <w:szCs w:val="22"/>
          <w:u w:val="single"/>
        </w:rPr>
        <w:t>ginnahwas</w:t>
      </w:r>
      <w:r w:rsidRPr="002C24EE">
        <w:rPr>
          <w:rStyle w:val="StyleUnderline"/>
          <w:rFonts w:ascii="Arial" w:hAnsi="Arial" w:cs="Arial"/>
        </w:rPr>
        <w:t xml:space="preserve"> (short love poems) are used to express feelings of love and desire. However</w:t>
      </w:r>
      <w:r w:rsidRPr="002C24EE">
        <w:rPr>
          <w:rFonts w:ascii="Arial" w:hAnsi="Arial" w:cs="Arial"/>
          <w:sz w:val="16"/>
          <w:szCs w:val="22"/>
        </w:rPr>
        <w:t xml:space="preserve">, as she candidly remarks, </w:t>
      </w:r>
      <w:r w:rsidRPr="002C24EE">
        <w:rPr>
          <w:rStyle w:val="StyleUnderline"/>
          <w:rFonts w:ascii="Arial" w:hAnsi="Arial" w:cs="Arial"/>
        </w:rPr>
        <w:t>discourses of anti-structure draw upon a commonly shared negative sentiment about the social world — the attachment to other people through this discourse eases, as well as, extinguishes any physical desire to act upon it. Therefore, the ginnahwas are a form of expression by which men in the Bedouin society may convey an emotion that is not socially accepted; if a man expresses love for a woman, he both dishonors his family, as well as, himself and consequently loses his autonomy</w:t>
      </w:r>
      <w:r w:rsidRPr="002C24EE">
        <w:rPr>
          <w:rFonts w:ascii="Arial" w:hAnsi="Arial" w:cs="Arial"/>
          <w:sz w:val="16"/>
          <w:szCs w:val="22"/>
        </w:rPr>
        <w:t xml:space="preserve">. Then how does thin man maintain a positive social identity? How does act upon these feelings without disgracing himself? And </w:t>
      </w:r>
      <w:r w:rsidRPr="002C24EE">
        <w:rPr>
          <w:rStyle w:val="StyleUnderline"/>
          <w:rFonts w:ascii="Arial" w:hAnsi="Arial" w:cs="Arial"/>
        </w:rPr>
        <w:lastRenderedPageBreak/>
        <w:t>similarly, since graffiti stands as an expression of emotion, how do these participants do so collectively and in public without actively threatening their own name or the dominant culture which within they have established an identity?  Graffiti may be understood as a discourse of anti-structure; a passive resistance to social complacency and the elitist dictation of public space, graffiti challenges the core ethics to our culture</w:t>
      </w:r>
      <w:r w:rsidRPr="002C24EE">
        <w:rPr>
          <w:rFonts w:ascii="Arial" w:hAnsi="Arial" w:cs="Arial"/>
          <w:sz w:val="16"/>
          <w:szCs w:val="22"/>
        </w:rPr>
        <w:t xml:space="preserve"> without actively posing a threat to its dominant ideology. Abu-Lughod refers to Michael Meeker's work with poetry in the Bedouin community; his findings illustrated the undeniable link between poetry and its purpose. Lughod quotes Meeker's claim here: </w:t>
      </w:r>
      <w:r w:rsidRPr="002C24EE">
        <w:rPr>
          <w:rStyle w:val="StyleUnderline"/>
          <w:rFonts w:ascii="Arial" w:hAnsi="Arial" w:cs="Arial"/>
        </w:rPr>
        <w:t>Bedouin words, far more than Bedouin actions, were the center of an effort to work out the various possibilities and impossibilities of uncertain political relationships. These words reveal systematic strategies for putting together a kind of political order in spite of uncertain political relationships. From the forms of a Bedouin voice, one can begin to understand with some precision the shape of a Bedouin experience</w:t>
      </w:r>
      <w:r w:rsidRPr="002C24EE">
        <w:rPr>
          <w:rFonts w:ascii="Arial" w:hAnsi="Arial" w:cs="Arial"/>
          <w:sz w:val="16"/>
        </w:rPr>
        <w:t xml:space="preserve">. (Lughod 1979:27)  </w:t>
      </w:r>
      <w:r w:rsidRPr="002C24EE">
        <w:rPr>
          <w:rStyle w:val="StyleUnderline"/>
          <w:rFonts w:ascii="Arial" w:hAnsi="Arial" w:cs="Arial"/>
        </w:rPr>
        <w:t>Relevant to American society, graffiti serves a similar purpose as Bedouin poetry; the writing on the wall is like poetry, sentiments about a cultural system are put forth in society and through their passive nature, implicitly question societal norms.  This type of passive resistance gives a minority within a culture a voice.</w:t>
      </w:r>
      <w:r w:rsidRPr="002C24EE">
        <w:rPr>
          <w:rFonts w:ascii="Arial" w:hAnsi="Arial" w:cs="Arial"/>
          <w:sz w:val="16"/>
          <w:szCs w:val="22"/>
        </w:rPr>
        <w:t xml:space="preserve"> However, I am hard pressed to say that the act of doing graffiti or reciting Bedouin poetry is not pleasurable in its own right. Many anthropologists have also commented on this type of pleasure associated with writing; though the pleasure may explored psychologically as a "risk" behavior, it is more important now to just mention that the pleasure does in fact exist. Anthropologically speaking, the excitement that the writers experience through doing graffiti is a characteristic that brings to the surface a common theme in our social world. The behavior of graffiti artists is representative of the dissatisfaction with a state of existence; it may be said that graffiti artists enjoy their trade due to its rebellious nature, as well as, its inherent ability to communicate a message of distaste. Ian Maxwell highlights this appeal here: </w:t>
      </w:r>
      <w:r w:rsidRPr="002C24EE">
        <w:rPr>
          <w:rStyle w:val="StyleUnderline"/>
          <w:rFonts w:ascii="Arial" w:hAnsi="Arial" w:cs="Arial"/>
        </w:rPr>
        <w:t>Graffiti is, of course, largely illegal. Its outlaw status constitutes no small part of its appeal:</w:t>
      </w:r>
      <w:r w:rsidRPr="002C24EE">
        <w:rPr>
          <w:rFonts w:ascii="Arial" w:hAnsi="Arial" w:cs="Arial"/>
          <w:sz w:val="16"/>
        </w:rPr>
        <w:t xml:space="preserve"> stories of close calls with the Graffiti Task Force ("the Graft Squad", or "the Transits" as they are known by writers) abound. Writers recount with evident pleasure the tingle of illicit excitement as a piece is put up, late at night, in a suburban train yard, the unavoidable rattle of the metal mixing ball inside the spraycan and the tell-tale hissing of the application threatening to give them away. They proudly display old scars from climbing barbed wire fences, crawling through drains. (Maxwell 1997:50)  </w:t>
      </w:r>
      <w:r w:rsidRPr="002C24EE">
        <w:rPr>
          <w:rStyle w:val="StyleUnderline"/>
          <w:rFonts w:ascii="Arial" w:hAnsi="Arial" w:cs="Arial"/>
        </w:rPr>
        <w:t>It is clear that there exists a link between the act of doing graffiti and our social world</w:t>
      </w:r>
      <w:r w:rsidRPr="002C24EE">
        <w:rPr>
          <w:rFonts w:ascii="Arial" w:hAnsi="Arial" w:cs="Arial"/>
          <w:sz w:val="16"/>
          <w:szCs w:val="22"/>
        </w:rPr>
        <w:t xml:space="preserve">; the pleasure inherent in conscious illegal behavior may be a way by which we can understand a part of youth culture. It seems as though </w:t>
      </w:r>
      <w:r w:rsidRPr="002C24EE">
        <w:rPr>
          <w:rStyle w:val="StyleUnderline"/>
          <w:rFonts w:ascii="Arial" w:hAnsi="Arial" w:cs="Arial"/>
        </w:rPr>
        <w:t>graffiti may be a reaction that promotes a shared ideology of contempt, resistance, and political dissatisfaction</w:t>
      </w:r>
      <w:r w:rsidRPr="002C24EE">
        <w:rPr>
          <w:rFonts w:ascii="Arial" w:hAnsi="Arial" w:cs="Arial"/>
          <w:sz w:val="16"/>
          <w:szCs w:val="22"/>
        </w:rPr>
        <w:t xml:space="preserve">. Understanding that this </w:t>
      </w:r>
      <w:r w:rsidRPr="002C24EE">
        <w:rPr>
          <w:rStyle w:val="StyleUnderline"/>
          <w:rFonts w:ascii="Arial" w:hAnsi="Arial" w:cs="Arial"/>
        </w:rPr>
        <w:t>graffiti is not the act of one individual, but rather, is seen as a movement and matter of representation and identity will help society</w:t>
      </w:r>
      <w:r w:rsidRPr="002C24EE">
        <w:rPr>
          <w:rFonts w:ascii="Arial" w:hAnsi="Arial" w:cs="Arial"/>
          <w:sz w:val="16"/>
          <w:szCs w:val="22"/>
        </w:rPr>
        <w:t>, as well as, anthropologists engage the idea that graffiti is only one type of discourse by which these negative sentiments are expressed.</w:t>
      </w:r>
    </w:p>
    <w:p xmlns:wp14="http://schemas.microsoft.com/office/word/2010/wordml" w:rsidRPr="002C24EE" w:rsidR="0082799E" w:rsidP="0082799E" w:rsidRDefault="0082799E" w14:paraId="4DDBEF00" wp14:textId="77777777">
      <w:pPr>
        <w:pStyle w:val="NormalWeb"/>
        <w:rPr>
          <w:rFonts w:ascii="Arial" w:hAnsi="Arial" w:cs="Arial"/>
          <w:sz w:val="16"/>
          <w:szCs w:val="22"/>
        </w:rPr>
      </w:pPr>
    </w:p>
    <w:p xmlns:wp14="http://schemas.microsoft.com/office/word/2010/wordml" w:rsidR="0082799E" w:rsidP="0082799E" w:rsidRDefault="0082799E" w14:paraId="7C0FABBF" wp14:textId="77777777">
      <w:pPr>
        <w:pStyle w:val="Heading3"/>
      </w:pPr>
      <w:r>
        <w:lastRenderedPageBreak/>
        <w:t>S: Disposession</w:t>
      </w:r>
    </w:p>
    <w:p xmlns:wp14="http://schemas.microsoft.com/office/word/2010/wordml" w:rsidRPr="00A965EA" w:rsidR="0082799E" w:rsidP="0082799E" w:rsidRDefault="0082799E" w14:paraId="5F35D611" wp14:textId="77777777">
      <w:pPr>
        <w:pStyle w:val="Heading4"/>
        <w:rPr>
          <w:rFonts w:cs="Arial"/>
        </w:rPr>
      </w:pPr>
      <w:r>
        <w:rPr>
          <w:rFonts w:cs="Arial"/>
        </w:rPr>
        <w:t>Graffiti is a taking possession of that which has been dispossessed</w:t>
      </w:r>
    </w:p>
    <w:p xmlns:wp14="http://schemas.microsoft.com/office/word/2010/wordml" w:rsidRPr="00A965EA" w:rsidR="0082799E" w:rsidP="0082799E" w:rsidRDefault="0082799E" w14:paraId="69E3DDB2" wp14:textId="77777777">
      <w:r w:rsidRPr="00675CE7">
        <w:rPr>
          <w:rStyle w:val="Style13ptBold"/>
        </w:rPr>
        <w:t>Innis 15</w:t>
      </w:r>
      <w:r w:rsidRPr="00A965EA">
        <w:rPr>
          <w:b/>
        </w:rPr>
        <w:t xml:space="preserve"> </w:t>
      </w:r>
      <w:r w:rsidRPr="00A965EA">
        <w:t>(Robert E,. Professor Emeritus of Philisophy at the University of Massachusetts Lowell and Obel Foundation Visiting Professor at the Niels Bohr for Center for Cultural Psychology at Aalborg University.  Resisting Forms: Prolegomena to an Aesthetics of Resistance. (76-78)</w:t>
      </w:r>
      <w:r w:rsidRPr="00A965EA">
        <w:rPr>
          <w:b/>
        </w:rPr>
        <w:t xml:space="preserve"> </w:t>
      </w:r>
      <w:r w:rsidRPr="00A965EA">
        <w:t>Located in the book, Street Art of Resistance edited by Sarah H. Award and Brady Wagoner. 2015) /// ONW</w:t>
      </w:r>
    </w:p>
    <w:p xmlns:wp14="http://schemas.microsoft.com/office/word/2010/wordml" w:rsidRPr="00A965EA" w:rsidR="0082799E" w:rsidP="0082799E" w:rsidRDefault="0082799E" w14:paraId="314436B0" wp14:textId="77777777">
      <w:pPr>
        <w:rPr>
          <w:sz w:val="16"/>
        </w:rPr>
      </w:pPr>
      <w:r w:rsidRPr="00A965EA">
        <w:rPr>
          <w:sz w:val="16"/>
        </w:rPr>
        <w:t xml:space="preserve">Dewey argues that no thematic material whatsoever is to be excluded from aesthetic consideration. And what could be more in need of aesthetic transformation or resistance than environmental ugliness or the ethical ugliness of arbitrary and lethal uses of power for personal or class gain? As to street art, modern life is filled with surfaces so bleak and desolate, or even just perceptually indifferent, that they cry out to be covered with some pigment in order to bring them to life. This what street art accomplishes. Dewey’s “principle of selection by means of vital interest” is fully operative in the arts of resistance. There is, however, no vital interest in the mere splashing or spraying of paint on public surfaces. </w:t>
      </w:r>
      <w:r w:rsidRPr="00A965EA">
        <w:rPr>
          <w:rStyle w:val="StyleUnderline"/>
        </w:rPr>
        <w:t>Defacing is no more than a declaration of past physical presence and is rightly considered a public nuisance. For graffiti and street art to merit aesthetic, rather than merely sociological, consideration or contemplation we have to subject them to the same experiential demands as we do to the range of use objects with aesthetic properties or those in museums: exploitation of medium, rhythmic structure, perceptual and conceptual energies, relation between color and line, scale and placement, and so forth.</w:t>
      </w:r>
      <w:r w:rsidRPr="00A965EA">
        <w:rPr>
          <w:sz w:val="16"/>
        </w:rPr>
        <w:t xml:space="preserve"> For the arts of resistance the whole environment is its medium: walls, fences, fire hydrants, utility poles, wires from which things can be hung, painted statues, door arches, traffic lights, road surfaces, and so on. And of course there is the sky with the possibility of fireworks as a kind of skywriting, which is evanescent by intention. Graffiti and street artists exploit this variety of possible media in ways not essentially different from the creative use of materials to be found in a great deal of so-called modern art, with its collages, mixed media constructions, and so on. When we speak of “media,” Dewey writes, “we refer to means that are incorporated in the outcome. Even bricks and mortar become a part of the house they are employed to build; they are not mere means to its erection” (p. 205). In evaluating the aesthetic worth of these arts of resistance we must consider how well the medium has been exploited for aesthetic effect, how creative the artist has been, the novel use to which the medium has been put, including its placement. </w:t>
      </w:r>
      <w:r w:rsidRPr="00A965EA">
        <w:rPr>
          <w:rStyle w:val="StyleUnderline"/>
        </w:rPr>
        <w:t>When Dewey remarks, rightly, that “brushstrokes are an integral part of the esthetic of a painting when it is perceived” we can also ask what such a remark would entail for graffiti and the various forms of street art. These are not meant principally to be merely perceived, although their “canonization” can transform them in this way, especially street art with its remarkable use of already existing surface.</w:t>
      </w:r>
      <w:r w:rsidRPr="00A965EA">
        <w:rPr>
          <w:sz w:val="16"/>
        </w:rPr>
        <w:t xml:space="preserve"> </w:t>
      </w:r>
      <w:r w:rsidRPr="00A965EA">
        <w:rPr>
          <w:rStyle w:val="StyleUnderline"/>
        </w:rPr>
        <w:t xml:space="preserve">It is precisely street art’s striking perceptual qualities, embodied in exploitation of the environmental media, that lead us to notice it in the first place. It goes beyond the threshold of everydayness and perceptual habits informed by the omnipresence of random graffiti. The mere fact of being “out of place” and existing at all is crucial. </w:t>
      </w:r>
      <w:r w:rsidRPr="00A965EA">
        <w:rPr>
          <w:sz w:val="16"/>
        </w:rPr>
        <w:t xml:space="preserve">Its very existence is a form of Peircean secondness, rooted in Dewey’s stress and strain of existence, and not just an idea- bearing symbol, but an index of opposition and resistance (see Dewey, 1935). Accordingly, </w:t>
      </w:r>
      <w:r w:rsidRPr="00A965EA">
        <w:rPr>
          <w:rStyle w:val="StyleUnderline"/>
        </w:rPr>
        <w:t>“sensitivity to a medium as a medium is the very heart of all artistic creation and esthetic perception”</w:t>
      </w:r>
      <w:r w:rsidRPr="00A965EA">
        <w:rPr>
          <w:sz w:val="16"/>
        </w:rPr>
        <w:t xml:space="preserve"> (p. 207) </w:t>
      </w:r>
      <w:r w:rsidRPr="00A965EA">
        <w:rPr>
          <w:rStyle w:val="StyleUnderline"/>
        </w:rPr>
        <w:t>and this is what ideally the graffiti artist and the street artist, to be effective in the perceptual sense, must have.</w:t>
      </w:r>
      <w:r w:rsidRPr="00A965EA">
        <w:rPr>
          <w:sz w:val="16"/>
        </w:rPr>
        <w:t xml:space="preserve"> Such is Dewey’s point: “the thing most fundamental to esthetic experience—that it is perceptual” (p. 227). And </w:t>
      </w:r>
      <w:r w:rsidRPr="00A965EA">
        <w:rPr>
          <w:rStyle w:val="StyleUnderline"/>
        </w:rPr>
        <w:t>the graffiti or street artist’s creativity is rooted in the eye for expressive possibilities offered by the environment. Graffiti and street art construct an “argument of the eye,” a thesis that Art as Experience promotes on practically every page, a continuation of the type of critique that John Ruskin addressed to nineteenth-century issues.</w:t>
      </w:r>
      <w:r w:rsidRPr="00A965EA">
        <w:rPr>
          <w:sz w:val="16"/>
        </w:rPr>
        <w:t xml:space="preserve"> The continuous presence of these forms gives a certain tonality and confirmation to those indwelling these environments and is experienced as a kind of completion in the sense that the environment is experienced as theirs, even if it appears alien to outsiders. </w:t>
      </w:r>
      <w:r w:rsidRPr="00A965EA">
        <w:rPr>
          <w:rStyle w:val="StyleUnderline"/>
        </w:rPr>
        <w:t xml:space="preserve">Street art is a taking possession of surfaces and spaces. This is especially so if the environment, without its aesthetic enhancement, is existentially and perceptually barren. </w:t>
      </w:r>
      <w:r w:rsidRPr="00A965EA">
        <w:rPr>
          <w:sz w:val="16"/>
        </w:rPr>
        <w:t xml:space="preserve">The arts of resistance bear witness to Dewey’s claim that “the organism hungers naturally for satisfaction in the material of existence…a </w:t>
      </w:r>
      <w:r w:rsidRPr="00A965EA">
        <w:rPr>
          <w:sz w:val="16"/>
        </w:rPr>
        <w:lastRenderedPageBreak/>
        <w:t>problem that is still unsolved. The hunger of the organism for satisfaction through the eye is hardly less than its urgent impulsion for food” (357)— and for some sense of solidarity.</w:t>
      </w:r>
    </w:p>
    <w:p xmlns:wp14="http://schemas.microsoft.com/office/word/2010/wordml" w:rsidRPr="0060420C" w:rsidR="0082799E" w:rsidP="0082799E" w:rsidRDefault="0082799E" w14:paraId="3461D779" wp14:textId="77777777"/>
    <w:p xmlns:wp14="http://schemas.microsoft.com/office/word/2010/wordml" w:rsidR="0082799E" w:rsidP="0082799E" w:rsidRDefault="0082799E" w14:paraId="5969F2B7" wp14:textId="77777777">
      <w:pPr>
        <w:pStyle w:val="Heading3"/>
      </w:pPr>
      <w:r>
        <w:lastRenderedPageBreak/>
        <w:t>S: Domination</w:t>
      </w:r>
    </w:p>
    <w:p xmlns:wp14="http://schemas.microsoft.com/office/word/2010/wordml" w:rsidRPr="00A965EA" w:rsidR="0082799E" w:rsidP="0082799E" w:rsidRDefault="0082799E" w14:paraId="6BC77227" wp14:textId="77777777">
      <w:pPr>
        <w:pStyle w:val="Heading4"/>
        <w:rPr>
          <w:rFonts w:cs="Arial"/>
        </w:rPr>
      </w:pPr>
      <w:r>
        <w:rPr>
          <w:rFonts w:cs="Arial"/>
        </w:rPr>
        <w:t>Border art challenges injustice and contests sovereign control of space and place</w:t>
      </w:r>
    </w:p>
    <w:p xmlns:wp14="http://schemas.microsoft.com/office/word/2010/wordml" w:rsidRPr="00A965EA" w:rsidR="0082799E" w:rsidP="0082799E" w:rsidRDefault="0082799E" w14:paraId="334F9DD6" wp14:textId="77777777">
      <w:r w:rsidRPr="005C7420">
        <w:rPr>
          <w:rStyle w:val="Style13ptBold"/>
        </w:rPr>
        <w:t>Glaveanu 15</w:t>
      </w:r>
      <w:r w:rsidRPr="00A965EA">
        <w:t xml:space="preserve"> (Vlad Petre. PhD in Social Psychology from the London School of Economics in the UK&gt; Associate Professor and Head of the Department at Webster University located in Geneva and Associate Professor at the Univerity of Bergen at the Center for the Science of Learning and technology. Art and Social Change: The Role of Creativity and Wonder. In the book, Street Art of Resistance edited by Sarah H. Award and Brady Wagoner. 2015) /// ONW</w:t>
      </w:r>
    </w:p>
    <w:p xmlns:wp14="http://schemas.microsoft.com/office/word/2010/wordml" w:rsidRPr="00A965EA" w:rsidR="0082799E" w:rsidP="0082799E" w:rsidRDefault="0082799E" w14:paraId="7FCB7EDE" wp14:textId="77777777">
      <w:pPr>
        <w:rPr>
          <w:sz w:val="16"/>
        </w:rPr>
      </w:pPr>
      <w:r w:rsidRPr="00A965EA">
        <w:rPr>
          <w:b/>
          <w:u w:val="single"/>
        </w:rPr>
        <w:t>The medium through which the image is</w:t>
      </w:r>
      <w:r w:rsidRPr="00A965EA">
        <w:rPr>
          <w:rStyle w:val="StyleUnderline"/>
        </w:rPr>
        <w:t xml:space="preserve"> placed whether city space, online, or news media, as well as how the image travels in between those mediums </w:t>
      </w:r>
      <w:r w:rsidRPr="00A965EA">
        <w:rPr>
          <w:b/>
          <w:u w:val="single"/>
        </w:rPr>
        <w:t>is also of interest in interpretation</w:t>
      </w:r>
      <w:r w:rsidRPr="00A965EA">
        <w:rPr>
          <w:b/>
          <w:sz w:val="16"/>
        </w:rPr>
        <w:t>.</w:t>
      </w:r>
      <w:r w:rsidRPr="00A965EA">
        <w:rPr>
          <w:sz w:val="16"/>
        </w:rPr>
        <w:t xml:space="preserve"> For example, the city space is an especially effective medium in creating visibility and negotiating the power dynamics within a system. </w:t>
      </w:r>
      <w:r w:rsidRPr="00A965EA">
        <w:rPr>
          <w:b/>
          <w:u w:val="single"/>
        </w:rPr>
        <w:t>The specific placement of an image</w:t>
      </w:r>
      <w:r w:rsidRPr="00A965EA">
        <w:rPr>
          <w:rStyle w:val="StyleUnderline"/>
        </w:rPr>
        <w:t xml:space="preserve"> in the urban environment </w:t>
      </w:r>
      <w:r w:rsidRPr="00A965EA">
        <w:rPr>
          <w:b/>
          <w:u w:val="single"/>
        </w:rPr>
        <w:t>reproduces space that is initially produced by a centralized power, thus negotiating the authority’s dominant control over this space</w:t>
      </w:r>
      <w:r w:rsidRPr="00A965EA">
        <w:rPr>
          <w:rStyle w:val="StyleUnderline"/>
        </w:rPr>
        <w:t xml:space="preserve"> (Lefebvre, 1991). </w:t>
      </w:r>
      <w:r w:rsidRPr="00A965EA">
        <w:rPr>
          <w:b/>
          <w:u w:val="single"/>
        </w:rPr>
        <w:t>The specific materiality of an image further tells the situated story of it</w:t>
      </w:r>
      <w:r w:rsidRPr="00A965EA">
        <w:rPr>
          <w:sz w:val="16"/>
        </w:rPr>
        <w:t xml:space="preserve">. The physical locality of those images, the surface they occupy (legal/illegal graffiti walls, government building, under the bridge, gentrified and touristic areas), and </w:t>
      </w:r>
      <w:r w:rsidRPr="00A965EA">
        <w:rPr>
          <w:rStyle w:val="StyleUnderline"/>
        </w:rPr>
        <w:t>the tools used to produce them</w:t>
      </w:r>
      <w:r w:rsidRPr="00A965EA">
        <w:rPr>
          <w:sz w:val="16"/>
        </w:rPr>
        <w:t xml:space="preserve"> (paint, stencil, spray, print posters) </w:t>
      </w:r>
      <w:r w:rsidRPr="00A965EA">
        <w:rPr>
          <w:rStyle w:val="StyleUnderline"/>
        </w:rPr>
        <w:t>are all informative of the social life of the image</w:t>
      </w:r>
      <w:r w:rsidRPr="00A965EA">
        <w:rPr>
          <w:sz w:val="16"/>
        </w:rPr>
        <w:t>. In a gray sandy city as Cairo, colors easily strike recognition on the wall: a large yellow smiley face on a barricade wall in the middle of clashes between protestors and security forces creates a symbol for recognition; placing a stencil spray documenting the killing of a protestor in the same spot they were killed create an experience of remembrance in its situated immediacy; and the change of revolutionary graffiti from big murals to sprayed stencils in response to security risks and threat of arrest illustrates adapted resistance strategies in a changing political landscape (Awad, 2017; Awad et al., 2017). Or outside of Egypt: the placement of the graffiti of a relaxed nude body, which far from the aesthetic ideals of the society, by the natural topography of the beach in Chile helps to defy patriarchal notions of feminine beauty right where they are contested (see Lattore, this volume); and the strategic placement of markings on colonized space is a physical symbolic act of reclaiming lost land (see Smith, this volume).</w:t>
      </w:r>
      <w:r w:rsidRPr="00A965EA">
        <w:rPr>
          <w:rStyle w:val="StyleUnderline"/>
        </w:rPr>
        <w:t xml:space="preserve"> </w:t>
      </w:r>
      <w:r w:rsidRPr="00A965EA">
        <w:rPr>
          <w:b/>
          <w:u w:val="single"/>
        </w:rPr>
        <w:t>There are also surfaces that invite and trigger expression as they form physical and symbolic barriers that give shape to different forms of injustice. To name</w:t>
      </w:r>
      <w:r w:rsidRPr="00A965EA">
        <w:rPr>
          <w:rStyle w:val="StyleUnderline"/>
        </w:rPr>
        <w:t xml:space="preserve"> but </w:t>
      </w:r>
      <w:r w:rsidRPr="00A965EA">
        <w:rPr>
          <w:b/>
          <w:u w:val="single"/>
        </w:rPr>
        <w:t>a few</w:t>
      </w:r>
      <w:r w:rsidRPr="00A965EA">
        <w:rPr>
          <w:rStyle w:val="StyleUnderline"/>
        </w:rPr>
        <w:t xml:space="preserve"> examples: </w:t>
      </w:r>
      <w:r w:rsidRPr="00A965EA">
        <w:rPr>
          <w:b/>
          <w:u w:val="single"/>
        </w:rPr>
        <w:t>the</w:t>
      </w:r>
      <w:r w:rsidRPr="00A965EA">
        <w:rPr>
          <w:rStyle w:val="StyleUnderline"/>
        </w:rPr>
        <w:t xml:space="preserve"> </w:t>
      </w:r>
      <w:r w:rsidRPr="00A965EA">
        <w:rPr>
          <w:b/>
          <w:u w:val="single"/>
        </w:rPr>
        <w:t>Israeli–West Bank wall</w:t>
      </w:r>
      <w:r w:rsidRPr="00A965EA">
        <w:rPr>
          <w:sz w:val="16"/>
        </w:rPr>
        <w:t xml:space="preserve"> (see Jarbou, this volume), </w:t>
      </w:r>
      <w:r w:rsidRPr="00A965EA">
        <w:rPr>
          <w:b/>
          <w:u w:val="single"/>
        </w:rPr>
        <w:t>the USA–Mexico wall,</w:t>
      </w:r>
      <w:r w:rsidRPr="00A965EA">
        <w:rPr>
          <w:rStyle w:val="StyleUnderline"/>
        </w:rPr>
        <w:t xml:space="preserve"> new walls erected within Baghdad, ruins of the Berlin wall which stands as a reminder of a segregated past, </w:t>
      </w:r>
      <w:r w:rsidRPr="00A965EA">
        <w:rPr>
          <w:b/>
          <w:u w:val="single"/>
        </w:rPr>
        <w:t>and the sectarian divisions on walls in Northern Irelan</w:t>
      </w:r>
      <w:r w:rsidRPr="00A965EA">
        <w:rPr>
          <w:rStyle w:val="StyleUnderline"/>
        </w:rPr>
        <w:t>d</w:t>
      </w:r>
      <w:r w:rsidRPr="00A965EA">
        <w:rPr>
          <w:sz w:val="16"/>
        </w:rPr>
        <w:t xml:space="preserve"> (see Mattar, this volume).</w:t>
      </w:r>
    </w:p>
    <w:p xmlns:wp14="http://schemas.microsoft.com/office/word/2010/wordml" w:rsidRPr="00F047E3" w:rsidR="0082799E" w:rsidP="0082799E" w:rsidRDefault="0082799E" w14:paraId="3CF2D8B6" wp14:textId="77777777"/>
    <w:p xmlns:wp14="http://schemas.microsoft.com/office/word/2010/wordml" w:rsidR="0082799E" w:rsidP="0082799E" w:rsidRDefault="0082799E" w14:paraId="069CEAA6" wp14:textId="77777777">
      <w:pPr>
        <w:pStyle w:val="Heading3"/>
      </w:pPr>
      <w:r>
        <w:lastRenderedPageBreak/>
        <w:t>S: Futurity</w:t>
      </w:r>
    </w:p>
    <w:p xmlns:wp14="http://schemas.microsoft.com/office/word/2010/wordml" w:rsidRPr="00A965EA" w:rsidR="0082799E" w:rsidP="0082799E" w:rsidRDefault="0082799E" w14:paraId="24804A7D" wp14:textId="77777777">
      <w:pPr>
        <w:pStyle w:val="Heading4"/>
        <w:rPr>
          <w:rFonts w:cs="Arial"/>
        </w:rPr>
      </w:pPr>
      <w:r>
        <w:rPr>
          <w:rFonts w:cs="Arial"/>
        </w:rPr>
        <w:t>Illicit art challenges the pathologization of criminality and opens space for collective political imagination</w:t>
      </w:r>
    </w:p>
    <w:p xmlns:wp14="http://schemas.microsoft.com/office/word/2010/wordml" w:rsidRPr="00881A4E" w:rsidR="0082799E" w:rsidP="0082799E" w:rsidRDefault="0082799E" w14:paraId="62E45755" wp14:textId="77777777">
      <w:r w:rsidRPr="00881A4E">
        <w:rPr>
          <w:rStyle w:val="Style13ptBold"/>
        </w:rPr>
        <w:t>Glaveanu 15</w:t>
      </w:r>
      <w:r w:rsidRPr="00881A4E">
        <w:t xml:space="preserve"> (Vlad Petre. PhD in Social Psychology from the London School of Economics in the UK&gt; Associate Professor and Head of the Department at Webster University located in Geneva and Associate Professor at the Univerity of Bergen at the Center for the Science of Learning and technology. Art and Social Change: The Role of Creativity and Wonder (24-26) the book. Street Art of Resistance edited by Sarah H. Award and Brady Wagoner. 2015) /// ONW</w:t>
      </w:r>
    </w:p>
    <w:p xmlns:wp14="http://schemas.microsoft.com/office/word/2010/wordml" w:rsidRPr="00A965EA" w:rsidR="0082799E" w:rsidP="0082799E" w:rsidRDefault="0082799E" w14:paraId="59EEEFFA" wp14:textId="77777777">
      <w:pPr>
        <w:rPr>
          <w:b/>
          <w:sz w:val="16"/>
        </w:rPr>
      </w:pPr>
      <w:r w:rsidRPr="00A965EA">
        <w:rPr>
          <w:sz w:val="16"/>
        </w:rPr>
        <w:t xml:space="preserve">Asked in this manner the question probably surprises those who don’t even consider street art—for example tags, stencils, and graffiti—in terms of creativity. For some, </w:t>
      </w:r>
      <w:r w:rsidRPr="00A965EA">
        <w:rPr>
          <w:b/>
          <w:u w:val="single"/>
        </w:rPr>
        <w:t>the debate is whether graffiti is aesthetically pleasing or not, if it infringes private property or not, if it should be legal or not, etc.</w:t>
      </w:r>
      <w:r w:rsidRPr="00A965EA">
        <w:rPr>
          <w:sz w:val="16"/>
        </w:rPr>
        <w:t xml:space="preserve"> Many would also probably point to the difference between signing one’s name on the wall and a stencil by Banksy and consider the latter artistic (thus creative) rather than the former. However, what this implies is an a-contextual judgment of creativity based on the classic criteria of novelty, originality, and value. Even a tag can be considered creative depending on how it is made, when and where (for instance, tags placed in largely inaccessible places often make us wonder about how and when did their makers achieve their aims, often a sign of great ingenuity). </w:t>
      </w:r>
      <w:r w:rsidRPr="00A965EA">
        <w:rPr>
          <w:rStyle w:val="StyleUnderline"/>
        </w:rPr>
        <w:t>As any product of human activity, street art can very well be assessed in terms of how novel or unique it is, whether it contributes to community or not, and so on. And, indeed, we can discuss a continuum of creativity here—from simple tags to elaborate graffiti—just like in many other domains. But this kind of creativity assessment would focus us, once more, on the “what” rather than the “how” of creativity.</w:t>
      </w:r>
      <w:r w:rsidRPr="00A965EA">
        <w:rPr>
          <w:sz w:val="16"/>
        </w:rPr>
        <w:t xml:space="preserve"> In answering the “how” question, we need to move beyond street art as a product and understand it as a process reuniting makers and their audiences. The creative process in the case of a stencil or graffiti doesn’t begin with the idea and doesn’t end with its realization. On the contrary, the distributed notion of creativity I am advocating for (see Glăveanu, 2014) is sensitive to the expanded context of human creative action, in this case, of engaging in street art. Creative activism, for Harrebye (2016, p. 14), “can be regarded as being creative in two senses of the word: firstly, by creating a space for the revitalization of the political imagination and secondly, by doing so in inventive ways.” The latter is what we mostly consider when thinking about creativity and street art, for instance. Is there novelty in the topics chosen? In the methods used? In the location or message? The former, though, is a much more important and yet often neglected sign of creativity—the ability to open up spaces for thought, to connect us to what is possible in our lives and in our society. In other words</w:t>
      </w:r>
      <w:r w:rsidRPr="00A965EA">
        <w:rPr>
          <w:b/>
          <w:sz w:val="16"/>
        </w:rPr>
        <w:t xml:space="preserve">, </w:t>
      </w:r>
      <w:r w:rsidRPr="00A965EA">
        <w:rPr>
          <w:b/>
          <w:u w:val="single"/>
        </w:rPr>
        <w:t>street art is at least potentially creative because, even when seen as “ugly,” “useless,” “violent,” or even “criminal,” it does carry with it the capacity to make us wonder</w:t>
      </w:r>
      <w:r w:rsidRPr="00A965EA">
        <w:rPr>
          <w:sz w:val="16"/>
        </w:rPr>
        <w:t xml:space="preserve">. We wonder about the author or authors of graffiti, their motives, and life trajectory. </w:t>
      </w:r>
      <w:r w:rsidRPr="00A965EA">
        <w:rPr>
          <w:rStyle w:val="StyleUnderline"/>
        </w:rPr>
        <w:t>We wonder about the meaning of what is depicted and the significance of the space it occupies. We wonder about how other people might see it and perhaps about our own reactions (positive or negative) to it. Last but not least, we wonder about what can and cannot be done in public spaces and, in the best- case scenario, try to see society through the lenses of street artists and their work</w:t>
      </w:r>
      <w:r w:rsidRPr="00A965EA">
        <w:rPr>
          <w:sz w:val="16"/>
        </w:rPr>
        <w:t xml:space="preserve">. In other words, the potential creativity of these products and their capacity to make us wonder should not be read only in terms of the products themselves, their more or less aesthetic qualities—such  judgments need to consider a broader context of who, when, where, and how they were made and received by others. Of particular interest are experiences of wonder that can lead viewers, not only authors, to new understandings or insights about the social world, their place and possibilities to act within it. They nurture, even if in small, sometimes unperceivable ways, the political imagination mentioned by Harrebye (see also Glăveanu &amp; de Saint-Laurent, 2015). This is one possible answer to the “how” question above. </w:t>
      </w:r>
      <w:r w:rsidRPr="00A965EA">
        <w:rPr>
          <w:b/>
          <w:u w:val="single"/>
        </w:rPr>
        <w:t>Street art is creative for opening up a space for reflexivity, imagination, and future creativity for individuals and for the collective.</w:t>
      </w:r>
    </w:p>
    <w:p xmlns:wp14="http://schemas.microsoft.com/office/word/2010/wordml" w:rsidR="0082799E" w:rsidP="0082799E" w:rsidRDefault="0082799E" w14:paraId="20D75534" wp14:textId="77777777">
      <w:pPr>
        <w:pStyle w:val="Heading3"/>
      </w:pPr>
      <w:r>
        <w:lastRenderedPageBreak/>
        <w:t>S: Infra-politics</w:t>
      </w:r>
    </w:p>
    <w:p xmlns:wp14="http://schemas.microsoft.com/office/word/2010/wordml" w:rsidRPr="009F325C" w:rsidR="0082799E" w:rsidP="0082799E" w:rsidRDefault="0082799E" w14:paraId="68F2B7EF" wp14:textId="77777777">
      <w:pPr>
        <w:pStyle w:val="Heading4"/>
        <w:rPr>
          <w:rFonts w:asciiTheme="minorHAnsi" w:hAnsiTheme="minorHAnsi" w:cstheme="minorHAnsi"/>
        </w:rPr>
      </w:pPr>
      <w:r>
        <w:rPr>
          <w:rFonts w:asciiTheme="minorHAnsi" w:hAnsiTheme="minorHAnsi" w:cstheme="minorHAnsi"/>
        </w:rPr>
        <w:t>Graffiti is an infra-politics of opposition to authoritarian power</w:t>
      </w:r>
      <w:r w:rsidRPr="009F325C">
        <w:rPr>
          <w:rFonts w:asciiTheme="minorHAnsi" w:hAnsiTheme="minorHAnsi" w:cstheme="minorHAnsi"/>
        </w:rPr>
        <w:t xml:space="preserve">.  Graffiti utilizes humor, irony, and human emotions to spread messages in a way that is understandable, powerful, and easy for the common citizen to access. </w:t>
      </w:r>
    </w:p>
    <w:p xmlns:wp14="http://schemas.microsoft.com/office/word/2010/wordml" w:rsidRPr="009F325C" w:rsidR="0082799E" w:rsidP="0082799E" w:rsidRDefault="0082799E" w14:paraId="520E4AE4" wp14:textId="77777777">
      <w:pPr>
        <w:rPr>
          <w:rFonts w:asciiTheme="minorHAnsi" w:hAnsiTheme="minorHAnsi" w:cstheme="minorHAnsi"/>
          <w:b/>
          <w:bCs/>
          <w:sz w:val="26"/>
        </w:rPr>
      </w:pPr>
      <w:r w:rsidRPr="009F325C">
        <w:rPr>
          <w:rStyle w:val="Style13ptBold"/>
          <w:rFonts w:asciiTheme="minorHAnsi" w:hAnsiTheme="minorHAnsi" w:cstheme="minorHAnsi"/>
        </w:rPr>
        <w:t xml:space="preserve">Marche 12 </w:t>
      </w:r>
      <w:r w:rsidRPr="009F325C">
        <w:rPr>
          <w:rStyle w:val="marquage"/>
          <w:rFonts w:asciiTheme="minorHAnsi" w:hAnsiTheme="minorHAnsi" w:cstheme="minorHAnsi"/>
          <w:bCs/>
          <w:sz w:val="18"/>
        </w:rPr>
        <w:t>[</w:t>
      </w:r>
      <w:r w:rsidRPr="009F325C">
        <w:rPr>
          <w:rFonts w:asciiTheme="minorHAnsi" w:hAnsiTheme="minorHAnsi" w:cstheme="minorHAnsi"/>
          <w:sz w:val="18"/>
        </w:rPr>
        <w:t xml:space="preserve">Marche, Guillaume. </w:t>
      </w:r>
      <w:r w:rsidRPr="009F325C">
        <w:rPr>
          <w:rFonts w:asciiTheme="minorHAnsi" w:hAnsiTheme="minorHAnsi" w:cstheme="minorHAnsi"/>
          <w:i/>
          <w:iCs/>
          <w:sz w:val="18"/>
        </w:rPr>
        <w:t>Infrapolitics and Mobilizations Nfrapolitique Et Mobilisations</w:t>
      </w:r>
      <w:r w:rsidRPr="009F325C">
        <w:rPr>
          <w:rFonts w:asciiTheme="minorHAnsi" w:hAnsiTheme="minorHAnsi" w:cstheme="minorHAnsi"/>
          <w:sz w:val="18"/>
        </w:rPr>
        <w:t xml:space="preserve">. Belin, 2012. </w:t>
      </w:r>
      <w:r w:rsidRPr="009F325C">
        <w:rPr>
          <w:rStyle w:val="marquage"/>
          <w:rFonts w:asciiTheme="minorHAnsi" w:hAnsiTheme="minorHAnsi" w:cstheme="minorHAnsi"/>
          <w:bCs/>
          <w:sz w:val="18"/>
        </w:rPr>
        <w:t>Guillaume Marche</w:t>
      </w:r>
      <w:r w:rsidRPr="009F325C">
        <w:rPr>
          <w:rFonts w:asciiTheme="minorHAnsi" w:hAnsiTheme="minorHAnsi" w:cstheme="minorHAnsi"/>
          <w:sz w:val="18"/>
        </w:rPr>
        <w:t xml:space="preserve"> is an Associate Professor of American studies at Université Paris-Est Créteil (France) specializing in contemporary social movements. His research focuses on sexual identities, subjectivity, and the interplay between the cultural and political—as well as the symbolical and instrumental—dimensions of collective mobilization]</w:t>
      </w:r>
      <w:r>
        <w:rPr>
          <w:rFonts w:asciiTheme="minorHAnsi" w:hAnsiTheme="minorHAnsi" w:cstheme="minorHAnsi"/>
          <w:sz w:val="18"/>
        </w:rPr>
        <w:t>//MMS</w:t>
      </w:r>
    </w:p>
    <w:p xmlns:wp14="http://schemas.microsoft.com/office/word/2010/wordml" w:rsidR="0082799E" w:rsidP="0082799E" w:rsidRDefault="0082799E" w14:paraId="6F0BAA29" wp14:textId="77777777">
      <w:pPr>
        <w:rPr>
          <w:rFonts w:asciiTheme="minorHAnsi" w:hAnsiTheme="minorHAnsi" w:cstheme="minorHAnsi"/>
          <w:sz w:val="16"/>
        </w:rPr>
      </w:pPr>
      <w:r w:rsidRPr="009F325C">
        <w:rPr>
          <w:rFonts w:asciiTheme="minorHAnsi" w:hAnsiTheme="minorHAnsi" w:cstheme="minorHAnsi"/>
          <w:sz w:val="12"/>
        </w:rPr>
        <w:t xml:space="preserve">Graffiti is an ancient mode of expression which historians value as a useful source in order to identify the techniques available to perform it, accurately determine when a tomb was violated, or gauge evolutions in popular or oral speech (Riout 12; Lindsay; Garrucci; Reisner). Graffiti is also a vehicle of resistance. In World War Two Spain, inscribing “V” signs on the walls after RAF bombings signified support of the Allied forces, whereas during the Civil War anti-Franco activists wrote the letter “P” as a call to protest, using graffiti as a communication device to propagate censored information (Riout 16). Graffiti on the Berlin Wall from 1961 to 1989, and on the “Security Fence” currently separating Israel from part of the Palestinian territories are on the side opposite the builders’, thus expressing resistance to the building. Existing literature on graffiti as a protest medium highlights for instance the May 1968 uprising in France, whose situationist-inspired motto was to change life here and now without waiting for the Glorious Day (Riout 61; Harding 133; B. Macdonald 25-26). May 1968 graffiti expressed unauthorized social and political aphorisms, such as the famous “take your desires for realities” (No ©opyright 10). Murals are also a part of various popular or resistance movements: in Mexico in the 1920s and 1930s, social realist artists such as Diego Rivera, José Clemente Orozco, and David Alfaro Siquieros made political use of the </w:t>
      </w:r>
      <w:r w:rsidRPr="009F325C">
        <w:rPr>
          <w:rFonts w:asciiTheme="minorHAnsi" w:hAnsiTheme="minorHAnsi" w:cstheme="minorHAnsi"/>
          <w:i/>
          <w:iCs/>
          <w:sz w:val="12"/>
        </w:rPr>
        <w:t>pulquería</w:t>
      </w:r>
      <w:r w:rsidRPr="009F325C">
        <w:rPr>
          <w:rFonts w:asciiTheme="minorHAnsi" w:hAnsiTheme="minorHAnsi" w:cstheme="minorHAnsi"/>
          <w:sz w:val="12"/>
        </w:rPr>
        <w:t xml:space="preserve"> tradition—decorating the outside walls of stores or other buildings (Chaffee; Nevaer). This tradition was famously revived in the United States in the 1960s by the Chicano movement (Reed 106). Similarly murals in Ulster enhance either community’s cohesion by paying tribute to heroes or by reiterating and exalting the tenets of the conflict (Rolston).  But murals differ from graffiti in that they are usually made with a building’s owner’s or occupants’ assent</w:t>
      </w:r>
      <w:r w:rsidRPr="009F325C">
        <w:rPr>
          <w:rFonts w:asciiTheme="minorHAnsi" w:hAnsiTheme="minorHAnsi" w:cstheme="minorHAnsi"/>
          <w:sz w:val="16"/>
        </w:rPr>
        <w:t xml:space="preserve">. </w:t>
      </w:r>
      <w:r w:rsidRPr="002C24EE">
        <w:rPr>
          <w:rStyle w:val="StyleUnderline"/>
        </w:rPr>
        <w:t xml:space="preserve">Being illegal or unauthorized, graffiti amount to </w:t>
      </w:r>
      <w:r w:rsidRPr="009F325C">
        <w:rPr>
          <w:rFonts w:asciiTheme="minorHAnsi" w:hAnsiTheme="minorHAnsi" w:cstheme="minorHAnsi"/>
          <w:sz w:val="16"/>
        </w:rPr>
        <w:t>what Hank Johnston calls</w:t>
      </w:r>
      <w:r w:rsidRPr="002C24EE">
        <w:rPr>
          <w:rStyle w:val="StyleUnderline"/>
        </w:rPr>
        <w:t xml:space="preserve"> “oppositional speech acts.” These are crucial when it is difficult to engage in oppositional political acts: “when political opportunities are severely constricted, much of the doing of contentious politics is talking about it”</w:t>
      </w:r>
      <w:r w:rsidRPr="009F325C">
        <w:rPr>
          <w:rFonts w:asciiTheme="minorHAnsi" w:hAnsiTheme="minorHAnsi" w:cstheme="minorHAnsi"/>
          <w:sz w:val="16"/>
        </w:rPr>
        <w:t xml:space="preserve"> (108). </w:t>
      </w:r>
      <w:r w:rsidRPr="002C24EE">
        <w:rPr>
          <w:rStyle w:val="StyleUnderline"/>
        </w:rPr>
        <w:t xml:space="preserve">In unfavorable political </w:t>
      </w:r>
      <w:r w:rsidRPr="009F325C">
        <w:rPr>
          <w:rFonts w:asciiTheme="minorHAnsi" w:hAnsiTheme="minorHAnsi" w:cstheme="minorHAnsi"/>
          <w:sz w:val="16"/>
        </w:rPr>
        <w:t>circumstances, oppositional</w:t>
      </w:r>
      <w:r w:rsidRPr="002C24EE">
        <w:rPr>
          <w:rStyle w:val="StyleUnderline"/>
        </w:rPr>
        <w:t xml:space="preserve"> speech acts create</w:t>
      </w:r>
      <w:r w:rsidRPr="009F325C">
        <w:rPr>
          <w:rFonts w:asciiTheme="minorHAnsi" w:hAnsiTheme="minorHAnsi" w:cstheme="minorHAnsi"/>
          <w:sz w:val="16"/>
        </w:rPr>
        <w:t xml:space="preserve"> what Francesca Polletta terms </w:t>
      </w:r>
      <w:r w:rsidRPr="002C24EE">
        <w:rPr>
          <w:rStyle w:val="StyleUnderline"/>
        </w:rPr>
        <w:t>“free spaces”: physical or symbolical spaces where it becomes possible to develop oppositional frames</w:t>
      </w:r>
      <w:r w:rsidRPr="009F325C">
        <w:rPr>
          <w:rFonts w:asciiTheme="minorHAnsi" w:hAnsiTheme="minorHAnsi" w:cstheme="minorHAnsi"/>
          <w:sz w:val="16"/>
        </w:rPr>
        <w:t xml:space="preserve"> (Polletta 1-38; Johnston 109-110). For instance, Philippe Artières and Pawet Rodak describe graffiti in communist-led Poland as one of the main ways in which, in an “</w:t>
      </w:r>
      <w:r w:rsidRPr="002C24EE">
        <w:rPr>
          <w:rStyle w:val="StyleUnderline"/>
        </w:rPr>
        <w:t>urban space that is dominated by a graphic order… social actors engage in a resistance movement whose main weapon is written words</w:t>
      </w:r>
      <w:r w:rsidRPr="009F325C">
        <w:rPr>
          <w:rFonts w:asciiTheme="minorHAnsi" w:hAnsiTheme="minorHAnsi" w:cstheme="minorHAnsi"/>
          <w:sz w:val="16"/>
        </w:rPr>
        <w:t xml:space="preserve">” (134).  </w:t>
      </w:r>
      <w:r w:rsidRPr="009F325C">
        <w:rPr>
          <w:rFonts w:asciiTheme="minorHAnsi" w:hAnsiTheme="minorHAnsi" w:cstheme="minorHAnsi"/>
          <w:sz w:val="12"/>
        </w:rPr>
        <w:t xml:space="preserve">This contribution explores the oppositional potential of protest graffiti by highlighting the various implications of its being an infrapolitical form of intervention in public spaces. Drawing from the work of James Scott, Richard Fox and Orin Starn, and Robin Kelley, I regard as infrapolitics those practices which verge on being political, but lie below the threshold of what qualifies as such. As studied by Scott, Fox and Starn, or Kelley, infrapolitics refers to subjects in subaltern positions resisting by means of their own devising, usually for lack of access to, or opportunities in, the legitimate political field. This article does not so much address the issue of graffiti authors’ subaltern status, as the disqualified status of their medium of expression. This is why, unlike studies which approach protest graffiti as a not-quite-political manifestation of otherwise fully-fledged social movements, I hypothesize that protest graffiti achieves a peculiar form of intervention in the public sphere due to its being infrapolitical. I base my argument on a sample of protest graffiti against the War on Terror and the Iraq War. This focus is both opportunistic, due to the availability of abundant material, and scientifically pertinent: examining public inscriptions of dissent on a highly political topic helps highlight the significance of a protest vehicle which remains below the threshold of the political. Conducting interviews with graffiti authors would help assess their </w:t>
      </w:r>
      <w:r w:rsidRPr="009F325C">
        <w:rPr>
          <w:rFonts w:asciiTheme="minorHAnsi" w:hAnsiTheme="minorHAnsi" w:cstheme="minorHAnsi"/>
          <w:i/>
          <w:iCs/>
          <w:sz w:val="12"/>
        </w:rPr>
        <w:t>intent</w:t>
      </w:r>
      <w:r w:rsidRPr="009F325C">
        <w:rPr>
          <w:rFonts w:asciiTheme="minorHAnsi" w:hAnsiTheme="minorHAnsi" w:cstheme="minorHAnsi"/>
          <w:sz w:val="12"/>
        </w:rPr>
        <w:t xml:space="preserve">, but this article purports to grasp what protest graffiti may </w:t>
      </w:r>
      <w:r w:rsidRPr="009F325C">
        <w:rPr>
          <w:rFonts w:asciiTheme="minorHAnsi" w:hAnsiTheme="minorHAnsi" w:cstheme="minorHAnsi"/>
          <w:i/>
          <w:iCs/>
          <w:sz w:val="12"/>
        </w:rPr>
        <w:t>effect</w:t>
      </w:r>
      <w:r w:rsidRPr="009F325C">
        <w:rPr>
          <w:rFonts w:asciiTheme="minorHAnsi" w:hAnsiTheme="minorHAnsi" w:cstheme="minorHAnsi"/>
          <w:sz w:val="12"/>
        </w:rPr>
        <w:t>. This somewhat depersonalized approach paradoxically points to indirect forms of personalization, which are central to graffiti’s political significance, since graffiti are visual artifacts that confront their viewers with challenging messages, which often even defy intelligibility. After briefly contrasting the expressivism and resistance conveyed by graffiti, I focus on graffiti that have an explicit political referent to discuss whether the infrapolitics inherent to the medium limit the extent of its significance. I finally suggest that this infrapolitical medium allows complex virtual interactions between authors and viewers, which associate pleasure and emotions with the deployment of an oppositional consciousness.</w:t>
      </w:r>
      <w:r w:rsidRPr="009F325C">
        <w:rPr>
          <w:rFonts w:asciiTheme="minorHAnsi" w:hAnsiTheme="minorHAnsi" w:cstheme="minorHAnsi"/>
          <w:sz w:val="16"/>
        </w:rPr>
        <w:t xml:space="preserve">  </w:t>
      </w:r>
      <w:r w:rsidRPr="009F325C">
        <w:rPr>
          <w:rFonts w:asciiTheme="minorHAnsi" w:hAnsiTheme="minorHAnsi" w:cstheme="minorHAnsi"/>
          <w:bCs/>
          <w:kern w:val="36"/>
          <w:sz w:val="16"/>
        </w:rPr>
        <w:t xml:space="preserve">Expressivism </w:t>
      </w:r>
      <w:r w:rsidRPr="002C24EE">
        <w:rPr>
          <w:rStyle w:val="StyleUnderline"/>
        </w:rPr>
        <w:t>Graffiti can be seen as scriptural manifestations of social movements whose actual existence does not depend on them</w:t>
      </w:r>
      <w:r w:rsidRPr="009F325C">
        <w:rPr>
          <w:rFonts w:asciiTheme="minorHAnsi" w:hAnsiTheme="minorHAnsi" w:cstheme="minorHAnsi"/>
          <w:sz w:val="16"/>
        </w:rPr>
        <w:t xml:space="preserve">, </w:t>
      </w:r>
      <w:r w:rsidRPr="009F325C">
        <w:rPr>
          <w:rFonts w:asciiTheme="minorHAnsi" w:hAnsiTheme="minorHAnsi" w:cstheme="minorHAnsi"/>
          <w:sz w:val="12"/>
        </w:rPr>
        <w:t xml:space="preserve">but can graffiti be regarded as channels of a protest that is idiosyncratic to them? Or does being a form of public exhibition imply that graffiti are essentially individualistic displays of solipsism (Riout 14-15)? Part of the answer lies in the fact that graffiti is not always meant to be </w:t>
      </w:r>
      <w:r w:rsidRPr="009F325C">
        <w:rPr>
          <w:rFonts w:asciiTheme="minorHAnsi" w:hAnsiTheme="minorHAnsi" w:cstheme="minorHAnsi"/>
          <w:i/>
          <w:iCs/>
          <w:sz w:val="12"/>
        </w:rPr>
        <w:t>understood</w:t>
      </w:r>
      <w:r w:rsidRPr="009F325C">
        <w:rPr>
          <w:rFonts w:asciiTheme="minorHAnsi" w:hAnsiTheme="minorHAnsi" w:cstheme="minorHAnsi"/>
          <w:sz w:val="12"/>
        </w:rPr>
        <w:t xml:space="preserve">, as when it is used as a secret code. Vagabonds and thieves sometimes leave marks to indicate that a house is vacant during the day, accessible from the rooftop, or inhabited by a particularly welcoming woman (Riout 19; Salmon). Such graffiti can be read as passwords rather than as rallying cries (N. Macdonald 184; MacGillivray and Curwen 358–362).  Graffiti is often a </w:t>
      </w:r>
      <w:r w:rsidRPr="009F325C">
        <w:rPr>
          <w:rFonts w:asciiTheme="minorHAnsi" w:hAnsiTheme="minorHAnsi" w:cstheme="minorHAnsi"/>
          <w:i/>
          <w:iCs/>
          <w:sz w:val="12"/>
        </w:rPr>
        <w:t>non</w:t>
      </w:r>
      <w:r w:rsidRPr="009F325C">
        <w:rPr>
          <w:rFonts w:asciiTheme="minorHAnsi" w:hAnsiTheme="minorHAnsi" w:cstheme="minorHAnsi"/>
          <w:sz w:val="12"/>
        </w:rPr>
        <w:t xml:space="preserve">political form of expressivism if not a mere vindication of individual existence, as in tags and throw-ups (illus. 1; illus. 2), individual signatures whose main ostensible purpose is to resist anonymousness: “Fame, respect and status are not naturally evolving byproducts of [the graffiti] subculture, they are its sole reason for being, and a writer’s sole reason for being here” (N. Macdonald 68). Graffiti often tend toward pure hedonistic gratification rather than political contestation. In the 1970s and 1980s, tags evolved into large, elaborate usually multicolored pieces (illus. 3) (Cooper and Chalfant; Fitzpatrick). Painted on broader surfaces, these colorful pictorial graffiti emphasize the quality of the graphics and are “obstinately devoid of meaning” (Riout 92). But, as American artist Claes Oldenburg put it: “You’re standing there in the station, everything is gray and gloomy, and suddenly one of those graffiti trains slides in and brightens the place like a big bouquet from Latin America” (quoted in Fitzpatrick 187). Jean Baudrillard thus characterizes graffiti as simulacra, which “resist every interpretation and connotation, no longer denoting anyone or anything. In this way, with neither connotation, nor denotation, they escape the principle of signification and, as </w:t>
      </w:r>
      <w:r w:rsidRPr="009F325C">
        <w:rPr>
          <w:rFonts w:asciiTheme="minorHAnsi" w:hAnsiTheme="minorHAnsi" w:cstheme="minorHAnsi"/>
          <w:i/>
          <w:iCs/>
          <w:sz w:val="12"/>
        </w:rPr>
        <w:t>empty signifiers</w:t>
      </w:r>
      <w:r w:rsidRPr="009F325C">
        <w:rPr>
          <w:rFonts w:asciiTheme="minorHAnsi" w:hAnsiTheme="minorHAnsi" w:cstheme="minorHAnsi"/>
          <w:sz w:val="12"/>
        </w:rPr>
        <w:t xml:space="preserve">, erupt into the sphere of the </w:t>
      </w:r>
      <w:r w:rsidRPr="009F325C">
        <w:rPr>
          <w:rFonts w:asciiTheme="minorHAnsi" w:hAnsiTheme="minorHAnsi" w:cstheme="minorHAnsi"/>
          <w:i/>
          <w:iCs/>
          <w:sz w:val="12"/>
        </w:rPr>
        <w:t>full signs</w:t>
      </w:r>
      <w:r w:rsidRPr="009F325C">
        <w:rPr>
          <w:rFonts w:asciiTheme="minorHAnsi" w:hAnsiTheme="minorHAnsi" w:cstheme="minorHAnsi"/>
          <w:sz w:val="12"/>
        </w:rPr>
        <w:t xml:space="preserve"> of the city, dissolving on contact” (78-79; emphasis in original). Such graffiti basically perform resistance to the excess of signification with which urban environments are saturated.  </w:t>
      </w:r>
      <w:r w:rsidRPr="009F325C">
        <w:rPr>
          <w:rFonts w:asciiTheme="minorHAnsi" w:hAnsiTheme="minorHAnsi" w:cstheme="minorHAnsi"/>
          <w:bCs/>
          <w:kern w:val="36"/>
          <w:sz w:val="12"/>
        </w:rPr>
        <w:t xml:space="preserve">Resistance </w:t>
      </w:r>
      <w:r w:rsidRPr="009F325C">
        <w:rPr>
          <w:rFonts w:asciiTheme="minorHAnsi" w:hAnsiTheme="minorHAnsi" w:cstheme="minorHAnsi"/>
          <w:sz w:val="12"/>
        </w:rPr>
        <w:t xml:space="preserve">But </w:t>
      </w:r>
      <w:r w:rsidRPr="00CF4F5E">
        <w:rPr>
          <w:rFonts w:asciiTheme="minorHAnsi" w:hAnsiTheme="minorHAnsi" w:cstheme="minorHAnsi"/>
          <w:sz w:val="12"/>
          <w:szCs w:val="12"/>
        </w:rPr>
        <w:t>graffiti also allow forceful claims for space (Ley and Cybriwsky; Nandrea 113-115). Tags are sometimes used by gangs to claim territory (Milon 109; Ley and Cybriwsky; Phillips), although tagging is far from being systematically gang-related (Ferrell 84-86; MacGillivray and Curwen 354, 366).  The authors of the amply documented “top-to-bottom” pieces covering New York subway trains (Austin; Lange) vicariously haunt the whole city beyond their own, usually poorer neighborhoods (Myre 4; Ortiz). Subway pieces literally run counter to the ecology of social relegation by circulating the stigma of</w:t>
      </w:r>
      <w:r w:rsidRPr="009F325C">
        <w:rPr>
          <w:rFonts w:asciiTheme="minorHAnsi" w:hAnsiTheme="minorHAnsi" w:cstheme="minorHAnsi"/>
          <w:sz w:val="16"/>
        </w:rPr>
        <w:t xml:space="preserve"> </w:t>
      </w:r>
      <w:r w:rsidRPr="002C24EE">
        <w:rPr>
          <w:rStyle w:val="StyleUnderline"/>
        </w:rPr>
        <w:t>A good index of graffiti’s disruptiveness is that they are considered to justify costly removal policies</w:t>
      </w:r>
      <w:r w:rsidRPr="009F325C">
        <w:rPr>
          <w:rFonts w:asciiTheme="minorHAnsi" w:hAnsiTheme="minorHAnsi" w:cstheme="minorHAnsi"/>
          <w:sz w:val="16"/>
        </w:rPr>
        <w:t xml:space="preserve"> (Ferrell 80-82). </w:t>
      </w:r>
      <w:r w:rsidRPr="002C24EE">
        <w:rPr>
          <w:rStyle w:val="StyleUnderline"/>
        </w:rPr>
        <w:t>In 2006 the yearly cost of graffiti removal in the United States was estimated at 15 to 18 billion dollars (BBC), whereas in 1998-1999, New York City’s Giuliani administration spent 25 million dollars on graffiti removal and prevention</w:t>
      </w:r>
      <w:r w:rsidRPr="009F325C">
        <w:rPr>
          <w:rFonts w:asciiTheme="minorHAnsi" w:hAnsiTheme="minorHAnsi" w:cstheme="minorHAnsi"/>
          <w:sz w:val="16"/>
        </w:rPr>
        <w:t xml:space="preserve"> (Segal; Kramer; Dickinson). Loosely referring to the “broken window” theory (Kelling and Wilson), and rightfully convinced that </w:t>
      </w:r>
      <w:r w:rsidRPr="002C24EE">
        <w:rPr>
          <w:rStyle w:val="StyleUnderline"/>
        </w:rPr>
        <w:t>graffiti breeds more graffiti</w:t>
      </w:r>
      <w:r w:rsidRPr="009F325C">
        <w:rPr>
          <w:rFonts w:asciiTheme="minorHAnsi" w:hAnsiTheme="minorHAnsi" w:cstheme="minorHAnsi"/>
          <w:sz w:val="16"/>
        </w:rPr>
        <w:t xml:space="preserve"> (Myre 4; Milon 111), </w:t>
      </w:r>
      <w:r w:rsidRPr="009F325C">
        <w:rPr>
          <w:rFonts w:asciiTheme="minorHAnsi" w:hAnsiTheme="minorHAnsi" w:cstheme="minorHAnsi"/>
          <w:sz w:val="16"/>
        </w:rPr>
        <w:lastRenderedPageBreak/>
        <w:t xml:space="preserve">the New York municipality applied “zero tolerance” to graffiti, as the Bloomberg administration has since (Chan; Rahimi). But “generating scandal and panic is graffiti authors’ goal, for that is the means to express their resistance—rather than a sanction that may prevent them from it.” (N. Macdonald 173) In this sense, enforced prohibition ironically reinforces graffiti’s resistance potential.  By focusing on examples that do convey political meaning, I propose furthermore that </w:t>
      </w:r>
      <w:r w:rsidRPr="002C24EE">
        <w:rPr>
          <w:rStyle w:val="StyleUnderline"/>
        </w:rPr>
        <w:t xml:space="preserve">graffiti can be all the more effective a </w:t>
      </w:r>
      <w:r w:rsidRPr="009F325C">
        <w:rPr>
          <w:rFonts w:asciiTheme="minorHAnsi" w:hAnsiTheme="minorHAnsi" w:cstheme="minorHAnsi"/>
          <w:i/>
          <w:iCs/>
          <w:u w:val="single"/>
        </w:rPr>
        <w:t>vehicle</w:t>
      </w:r>
      <w:r w:rsidRPr="002C24EE">
        <w:rPr>
          <w:rStyle w:val="StyleUnderline"/>
        </w:rPr>
        <w:t xml:space="preserve"> of resistance for being infrapolitical</w:t>
      </w:r>
      <w:r w:rsidRPr="009F325C">
        <w:rPr>
          <w:rFonts w:asciiTheme="minorHAnsi" w:hAnsiTheme="minorHAnsi" w:cstheme="minorHAnsi"/>
          <w:sz w:val="16"/>
        </w:rPr>
        <w:t xml:space="preserve">. Although it is difficult to draw a firm line between political and nonpolitical content, I use examples whose political critique is explicit in order to single out the significance of this infrapolitical practice. </w:t>
      </w:r>
      <w:r w:rsidRPr="002C24EE">
        <w:rPr>
          <w:rStyle w:val="StyleUnderline"/>
        </w:rPr>
        <w:t>Simple, sometimes wordless messages can suffice to highlight that graffiti does not involve the exchange of money, thus expressing dissent from the consumer society. Graffiti sometimes also challenge the saturation of public spaces with commercial messages through “subvertisement,” either by producing images deriding well-known brand names or icons</w:t>
      </w:r>
      <w:r w:rsidRPr="009F325C">
        <w:rPr>
          <w:rFonts w:asciiTheme="minorHAnsi" w:hAnsiTheme="minorHAnsi" w:cstheme="minorHAnsi"/>
          <w:sz w:val="16"/>
        </w:rPr>
        <w:t xml:space="preserve"> (illus. 4), </w:t>
      </w:r>
      <w:r w:rsidRPr="002C24EE">
        <w:rPr>
          <w:rStyle w:val="StyleUnderline"/>
        </w:rPr>
        <w:t>or by superimposing a critical message on an actual advertisement</w:t>
      </w:r>
      <w:r w:rsidRPr="009F325C">
        <w:rPr>
          <w:rFonts w:asciiTheme="minorHAnsi" w:hAnsiTheme="minorHAnsi" w:cstheme="minorHAnsi"/>
          <w:sz w:val="16"/>
        </w:rPr>
        <w:t xml:space="preserve"> (illus. 5).  </w:t>
      </w:r>
      <w:r w:rsidRPr="002C24EE">
        <w:rPr>
          <w:rStyle w:val="StyleUnderline"/>
        </w:rPr>
        <w:t xml:space="preserve">Whether visually or verbally, such protest graffiti is meant to make viewers laugh and think: precisely </w:t>
      </w:r>
      <w:r w:rsidRPr="009F325C">
        <w:rPr>
          <w:rFonts w:asciiTheme="minorHAnsi" w:hAnsiTheme="minorHAnsi" w:cstheme="minorHAnsi"/>
          <w:i/>
          <w:iCs/>
          <w:u w:val="single"/>
        </w:rPr>
        <w:t>because</w:t>
      </w:r>
      <w:r w:rsidRPr="002C24EE">
        <w:rPr>
          <w:rStyle w:val="StyleUnderline"/>
        </w:rPr>
        <w:t xml:space="preserve"> it is mimetic of advertising—proliferating on the same surfaces, using the same codes and imagery— it potentially causes them to question their own opinions about a specific brand or advertisement, or about branding and advertising in general. With protest graffiti the medium </w:t>
      </w:r>
      <w:r w:rsidRPr="009F325C">
        <w:rPr>
          <w:rFonts w:asciiTheme="minorHAnsi" w:hAnsiTheme="minorHAnsi" w:cstheme="minorHAnsi"/>
          <w:i/>
          <w:iCs/>
          <w:u w:val="single"/>
        </w:rPr>
        <w:t>is</w:t>
      </w:r>
      <w:r w:rsidRPr="002C24EE">
        <w:rPr>
          <w:rStyle w:val="StyleUnderline"/>
        </w:rPr>
        <w:t xml:space="preserve"> indeed the message, </w:t>
      </w:r>
      <w:r w:rsidRPr="009F325C">
        <w:rPr>
          <w:rFonts w:asciiTheme="minorHAnsi" w:hAnsiTheme="minorHAnsi" w:cstheme="minorHAnsi"/>
          <w:sz w:val="16"/>
        </w:rPr>
        <w:t xml:space="preserve">as I now show with graffiti expressing protest against the War on Terror and the Iraq War.  </w:t>
      </w:r>
      <w:r w:rsidRPr="009F325C">
        <w:rPr>
          <w:rFonts w:asciiTheme="minorHAnsi" w:hAnsiTheme="minorHAnsi" w:cstheme="minorHAnsi"/>
          <w:bCs/>
          <w:kern w:val="36"/>
          <w:sz w:val="16"/>
        </w:rPr>
        <w:t xml:space="preserve">An Infrapolitical Medium </w:t>
      </w:r>
      <w:r w:rsidRPr="002C24EE">
        <w:rPr>
          <w:rStyle w:val="StyleUnderline"/>
        </w:rPr>
        <w:t>The word “torture” in multicolored capital letters on a freight train car is evocative of the graphic style of subway pieces</w:t>
      </w:r>
      <w:r w:rsidRPr="009F325C">
        <w:rPr>
          <w:rFonts w:asciiTheme="minorHAnsi" w:hAnsiTheme="minorHAnsi" w:cstheme="minorHAnsi"/>
          <w:sz w:val="16"/>
        </w:rPr>
        <w:t xml:space="preserve"> (illus. 6). </w:t>
      </w:r>
      <w:r w:rsidRPr="002C24EE">
        <w:rPr>
          <w:rStyle w:val="StyleUnderline"/>
        </w:rPr>
        <w:t>It brings up the image of purposeless, gratuitous dirtiness customarily associated with tags and pieces, but turns it into a signifier to be ascribed to the US armed forces’ interrogation methods in the War on Terror. The ironic twist is underlined by the shape of the letters, suggestive of an advertisement for a side-show.</w:t>
      </w:r>
      <w:r w:rsidRPr="009F325C">
        <w:rPr>
          <w:rFonts w:asciiTheme="minorHAnsi" w:hAnsiTheme="minorHAnsi" w:cstheme="minorHAnsi"/>
          <w:sz w:val="16"/>
        </w:rPr>
        <w:t xml:space="preserve"> </w:t>
      </w:r>
      <w:r w:rsidRPr="009F325C">
        <w:rPr>
          <w:rFonts w:asciiTheme="minorHAnsi" w:hAnsiTheme="minorHAnsi" w:cstheme="minorHAnsi"/>
          <w:sz w:val="12"/>
        </w:rPr>
        <w:t xml:space="preserve">Though characteristic of the likely author’s style, Impeach, the stylistic difference with other freight-train pieces is emphasized by the addition of other authors’ names, Servo and Alamo, “shouted out” in tribute on the left-hand side (illus. 7).  And on the right-hand side, the appended oxymoronic caption “outsourced atrocities” juxtaposes the businesslike euphemism “outsourced” next to the very straightforward denunciation “atrocities”—thus enhancing the latter.  The idiosyncratic language </w:t>
      </w:r>
      <w:r w:rsidRPr="009F325C">
        <w:rPr>
          <w:rFonts w:asciiTheme="minorHAnsi" w:hAnsiTheme="minorHAnsi" w:cstheme="minorHAnsi"/>
          <w:i/>
          <w:iCs/>
          <w:sz w:val="12"/>
        </w:rPr>
        <w:t>and</w:t>
      </w:r>
      <w:r w:rsidRPr="009F325C">
        <w:rPr>
          <w:rFonts w:asciiTheme="minorHAnsi" w:hAnsiTheme="minorHAnsi" w:cstheme="minorHAnsi"/>
          <w:sz w:val="12"/>
        </w:rPr>
        <w:t xml:space="preserve"> metalanguage of graffiti are also part of the political significance of the juxtaposition of a paste-up tersely saying “fuck Bush” below a more elaborate stencil with a threatening cartoon-like representation of then Vice-president Dick Cheney’s sneer, bearing the caption “you don’t know Dick.”  There is no telling with certainty whether the “fuck Bush” paste-up came after the Dick Cheney stencil—although this looks likely considering the gray smudge on which “fuck Bush” is pasted and which seems to be part of the stencil. But </w:t>
      </w:r>
      <w:r w:rsidRPr="009F325C">
        <w:rPr>
          <w:rFonts w:asciiTheme="minorHAnsi" w:hAnsiTheme="minorHAnsi" w:cstheme="minorHAnsi"/>
          <w:i/>
          <w:iCs/>
          <w:sz w:val="12"/>
        </w:rPr>
        <w:t>to the viewer</w:t>
      </w:r>
      <w:r w:rsidRPr="009F325C">
        <w:rPr>
          <w:rFonts w:asciiTheme="minorHAnsi" w:hAnsiTheme="minorHAnsi" w:cstheme="minorHAnsi"/>
          <w:sz w:val="12"/>
        </w:rPr>
        <w:t xml:space="preserve"> the paste-up reads like an appended commentary or subtitle to the stencil, whose coarseness over-determines the otherwise dubious innuendo in the more cryptic “you don’t know </w:t>
      </w:r>
      <w:r w:rsidRPr="009F325C">
        <w:rPr>
          <w:rFonts w:asciiTheme="minorHAnsi" w:hAnsiTheme="minorHAnsi" w:cstheme="minorHAnsi"/>
          <w:i/>
          <w:iCs/>
          <w:sz w:val="12"/>
        </w:rPr>
        <w:t>Dick</w:t>
      </w:r>
      <w:r w:rsidRPr="009F325C">
        <w:rPr>
          <w:rFonts w:asciiTheme="minorHAnsi" w:hAnsiTheme="minorHAnsi" w:cstheme="minorHAnsi"/>
          <w:sz w:val="12"/>
        </w:rPr>
        <w:t xml:space="preserve">.” The virtually intrinsic link between graffiti and excretion or ejaculation (Riout 21-24) is coextensive with graffiti being generally disparaged as irresponsible and immature behavior. The gratification of leaving one’s filthy stain on a public surface is akin to “a reminiscence of the young child’s scatological mode of expression in the anal sadistic stage” (Milon 121). The Cheney stencil uses a subtle reference to the downfall of Richard Nixon—which many, especially younger viewers likely miss—to signify either a threat directed at the Vice-president, or that Dick Cheney </w:t>
      </w:r>
      <w:r w:rsidRPr="009F325C">
        <w:rPr>
          <w:rFonts w:asciiTheme="minorHAnsi" w:hAnsiTheme="minorHAnsi" w:cstheme="minorHAnsi"/>
          <w:i/>
          <w:iCs/>
          <w:sz w:val="12"/>
        </w:rPr>
        <w:t>is</w:t>
      </w:r>
      <w:r w:rsidRPr="009F325C">
        <w:rPr>
          <w:rFonts w:asciiTheme="minorHAnsi" w:hAnsiTheme="minorHAnsi" w:cstheme="minorHAnsi"/>
          <w:sz w:val="12"/>
        </w:rPr>
        <w:t xml:space="preserve"> a threat. But this original message becomes secondary to the cathartic utterance of offense.  In this instance, the less political—the more </w:t>
      </w:r>
      <w:r w:rsidRPr="009F325C">
        <w:rPr>
          <w:rFonts w:asciiTheme="minorHAnsi" w:hAnsiTheme="minorHAnsi" w:cstheme="minorHAnsi"/>
          <w:i/>
          <w:iCs/>
          <w:sz w:val="12"/>
        </w:rPr>
        <w:t>infra</w:t>
      </w:r>
      <w:r w:rsidRPr="009F325C">
        <w:rPr>
          <w:rFonts w:asciiTheme="minorHAnsi" w:hAnsiTheme="minorHAnsi" w:cstheme="minorHAnsi"/>
          <w:sz w:val="12"/>
        </w:rPr>
        <w:t xml:space="preserve">-political—the mode of expression, the more protest graffiti verges on being a sheer outlet for angered citizens’ (both author and viewers) frustration with an administration leading an unjust war in their name and violating civil liberties in the process.  Does the cathartic dimension of insult defuse the resentment, make it less political? Scott challenges this “safety-valve hypothesis”: far from hampering “true” resistance, such minor offenses as petty thefts perpetrated against an abusive master or employer, make up a “hidden transcript” of resistance. Being able to develop this hidden transcript discreetly </w:t>
      </w:r>
      <w:r w:rsidRPr="009F325C">
        <w:rPr>
          <w:rFonts w:asciiTheme="minorHAnsi" w:hAnsiTheme="minorHAnsi" w:cstheme="minorHAnsi"/>
          <w:i/>
          <w:iCs/>
          <w:sz w:val="12"/>
        </w:rPr>
        <w:t>nourishes</w:t>
      </w:r>
      <w:r w:rsidRPr="009F325C">
        <w:rPr>
          <w:rFonts w:asciiTheme="minorHAnsi" w:hAnsiTheme="minorHAnsi" w:cstheme="minorHAnsi"/>
          <w:sz w:val="12"/>
        </w:rPr>
        <w:t xml:space="preserve"> the spirit of resistance, like embers ready to flare up into flames when the circumstances become favorable and a </w:t>
      </w:r>
      <w:r w:rsidRPr="009F325C">
        <w:rPr>
          <w:rFonts w:asciiTheme="minorHAnsi" w:hAnsiTheme="minorHAnsi" w:cstheme="minorHAnsi"/>
          <w:i/>
          <w:iCs/>
          <w:sz w:val="12"/>
        </w:rPr>
        <w:t>public</w:t>
      </w:r>
      <w:r w:rsidRPr="009F325C">
        <w:rPr>
          <w:rFonts w:asciiTheme="minorHAnsi" w:hAnsiTheme="minorHAnsi" w:cstheme="minorHAnsi"/>
          <w:sz w:val="12"/>
        </w:rPr>
        <w:t xml:space="preserve"> transcript of resistance can emerge (188-191). I argue that the very </w:t>
      </w:r>
      <w:r w:rsidRPr="009F325C">
        <w:rPr>
          <w:rFonts w:asciiTheme="minorHAnsi" w:hAnsiTheme="minorHAnsi" w:cstheme="minorHAnsi"/>
          <w:i/>
          <w:iCs/>
          <w:sz w:val="12"/>
        </w:rPr>
        <w:t>jouissance</w:t>
      </w:r>
      <w:r w:rsidRPr="009F325C">
        <w:rPr>
          <w:rFonts w:asciiTheme="minorHAnsi" w:hAnsiTheme="minorHAnsi" w:cstheme="minorHAnsi"/>
          <w:sz w:val="12"/>
        </w:rPr>
        <w:t xml:space="preserve"> of verbal offense in an act of vandalism—literally an </w:t>
      </w:r>
      <w:r w:rsidRPr="009F325C">
        <w:rPr>
          <w:rFonts w:asciiTheme="minorHAnsi" w:hAnsiTheme="minorHAnsi" w:cstheme="minorHAnsi"/>
          <w:i/>
          <w:iCs/>
          <w:sz w:val="12"/>
        </w:rPr>
        <w:t>offense</w:t>
      </w:r>
      <w:r w:rsidRPr="009F325C">
        <w:rPr>
          <w:rFonts w:asciiTheme="minorHAnsi" w:hAnsiTheme="minorHAnsi" w:cstheme="minorHAnsi"/>
          <w:sz w:val="12"/>
        </w:rPr>
        <w:t>—generates such infrapolitical resistance.  Of course</w:t>
      </w:r>
      <w:r w:rsidRPr="009F325C">
        <w:rPr>
          <w:rFonts w:asciiTheme="minorHAnsi" w:hAnsiTheme="minorHAnsi" w:cstheme="minorHAnsi"/>
          <w:sz w:val="16"/>
        </w:rPr>
        <w:t xml:space="preserve">, </w:t>
      </w:r>
      <w:r w:rsidRPr="002C24EE">
        <w:rPr>
          <w:rStyle w:val="StyleUnderline"/>
        </w:rPr>
        <w:t xml:space="preserve">graffiti is anything but hidden. Its very essence </w:t>
      </w:r>
      <w:r w:rsidRPr="009F325C">
        <w:rPr>
          <w:rFonts w:asciiTheme="minorHAnsi" w:hAnsiTheme="minorHAnsi" w:cstheme="minorHAnsi"/>
          <w:i/>
          <w:iCs/>
          <w:u w:val="single"/>
        </w:rPr>
        <w:t>is</w:t>
      </w:r>
      <w:r w:rsidRPr="002C24EE">
        <w:rPr>
          <w:rStyle w:val="StyleUnderline"/>
        </w:rPr>
        <w:t xml:space="preserve"> to be seen. Arguably, plain and visible though the message might be, it is delivered anonymously, which is in itself a form of disguise</w:t>
      </w:r>
      <w:r w:rsidRPr="009F325C">
        <w:rPr>
          <w:rFonts w:asciiTheme="minorHAnsi" w:hAnsiTheme="minorHAnsi" w:cstheme="minorHAnsi"/>
          <w:sz w:val="16"/>
        </w:rPr>
        <w:t xml:space="preserve"> (Scott 140-152). But, I further argue, this graffiti’s language and metalanguage stage it in a way that creates indeterminacy. </w:t>
      </w:r>
      <w:r w:rsidRPr="002C24EE">
        <w:rPr>
          <w:rStyle w:val="StyleUnderline"/>
        </w:rPr>
        <w:t>The tagging subculture underlying the “torture” piece rather obviously likens it to a hidden transcript, because its language is not quite understandable to all viewers</w:t>
      </w:r>
      <w:r w:rsidRPr="009F325C">
        <w:rPr>
          <w:rFonts w:asciiTheme="minorHAnsi" w:hAnsiTheme="minorHAnsi" w:cstheme="minorHAnsi"/>
          <w:sz w:val="16"/>
        </w:rPr>
        <w:t xml:space="preserve">. But in the latter example, the coexistence of two messages and the elliptic nature of one leave the whole open to the viewer’s interpretation—or puzzlement, or indifference. As a result, </w:t>
      </w:r>
      <w:r w:rsidRPr="002C24EE">
        <w:rPr>
          <w:rStyle w:val="StyleUnderline"/>
        </w:rPr>
        <w:t>even though the piece is on broad display and one of its component messages is rather blunt, it is “emerging ‘onstage’… in disguised [form]”</w:t>
      </w:r>
      <w:r w:rsidRPr="009F325C">
        <w:rPr>
          <w:rFonts w:asciiTheme="minorHAnsi" w:hAnsiTheme="minorHAnsi" w:cstheme="minorHAnsi"/>
          <w:sz w:val="16"/>
        </w:rPr>
        <w:t xml:space="preserve"> (Kelley 8).  “Studies of everyday resistance,” according to Fox and Starn, make it possible to better grasp “the dialectic of compliance and opposition that takes into account the concealed as well as the visible, the scattered as well as the organized, the small as well as the massive” (3). I argue that </w:t>
      </w:r>
      <w:r w:rsidRPr="002C24EE">
        <w:rPr>
          <w:rStyle w:val="StyleUnderline"/>
        </w:rPr>
        <w:t xml:space="preserve">the effectiveness of protest graffiti </w:t>
      </w:r>
      <w:r w:rsidRPr="009F325C">
        <w:rPr>
          <w:rFonts w:asciiTheme="minorHAnsi" w:hAnsiTheme="minorHAnsi" w:cstheme="minorHAnsi"/>
          <w:i/>
          <w:iCs/>
          <w:u w:val="single"/>
        </w:rPr>
        <w:t>qua</w:t>
      </w:r>
      <w:r w:rsidRPr="002C24EE">
        <w:rPr>
          <w:rStyle w:val="StyleUnderline"/>
        </w:rPr>
        <w:t xml:space="preserve"> infrapolitical resistance lies in the personalization it allows.</w:t>
      </w:r>
      <w:r w:rsidRPr="009F325C">
        <w:rPr>
          <w:rFonts w:asciiTheme="minorHAnsi" w:hAnsiTheme="minorHAnsi" w:cstheme="minorHAnsi"/>
          <w:sz w:val="16"/>
        </w:rPr>
        <w:t xml:space="preserve"> Not all of the famous British graffiti artist Banksy’s works convey explicit political content. But in representing an orange-clad, hooded kneeling figure (illus. 8) he quite literally </w:t>
      </w:r>
      <w:r w:rsidRPr="009F325C">
        <w:rPr>
          <w:rFonts w:asciiTheme="minorHAnsi" w:hAnsiTheme="minorHAnsi" w:cstheme="minorHAnsi"/>
          <w:i/>
          <w:iCs/>
          <w:sz w:val="16"/>
        </w:rPr>
        <w:t>embodies</w:t>
      </w:r>
      <w:r w:rsidRPr="009F325C">
        <w:rPr>
          <w:rFonts w:asciiTheme="minorHAnsi" w:hAnsiTheme="minorHAnsi" w:cstheme="minorHAnsi"/>
          <w:sz w:val="16"/>
        </w:rPr>
        <w:t xml:space="preserve"> a critique of abusive extrajudicial detention in the War on Terror. In order to represent this life-sized evocation of an Abu Ghraib prisoner, the author had to assume a posture similar to that of his subject—close to the ground—and the outcome puts the viewer in the presence of a literally </w:t>
      </w:r>
      <w:r w:rsidRPr="009F325C">
        <w:rPr>
          <w:rFonts w:asciiTheme="minorHAnsi" w:hAnsiTheme="minorHAnsi" w:cstheme="minorHAnsi"/>
          <w:i/>
          <w:iCs/>
          <w:sz w:val="16"/>
        </w:rPr>
        <w:t>humiliated</w:t>
      </w:r>
      <w:r w:rsidRPr="009F325C">
        <w:rPr>
          <w:rFonts w:asciiTheme="minorHAnsi" w:hAnsiTheme="minorHAnsi" w:cstheme="minorHAnsi"/>
          <w:sz w:val="16"/>
        </w:rPr>
        <w:t xml:space="preserve"> life-sized figure, which rather concretely brings home to the attentive passerby the reality of the far-off detention centers of Abu Ghraib or Guantánamo. </w:t>
      </w:r>
      <w:r w:rsidRPr="009F325C">
        <w:rPr>
          <w:rFonts w:asciiTheme="minorHAnsi" w:hAnsiTheme="minorHAnsi" w:cstheme="minorHAnsi"/>
          <w:bCs/>
          <w:kern w:val="36"/>
          <w:sz w:val="16"/>
        </w:rPr>
        <w:t xml:space="preserve">The Infrapolitics of Form: Pleasure and Emotion </w:t>
      </w:r>
      <w:r w:rsidRPr="009F325C">
        <w:rPr>
          <w:rFonts w:asciiTheme="minorHAnsi" w:hAnsiTheme="minorHAnsi" w:cstheme="minorHAnsi"/>
          <w:sz w:val="16"/>
        </w:rPr>
        <w:t xml:space="preserve">That attention to form is essential for interpreting the political significance of protest graffiti is clear when comparing the simple scrawling of a slogan on a highway overpass with </w:t>
      </w:r>
      <w:r w:rsidRPr="002C24EE">
        <w:rPr>
          <w:rStyle w:val="StyleUnderline"/>
        </w:rPr>
        <w:t xml:space="preserve">a sidewalk stencil graffiti imitating the shadow of a stop sign and </w:t>
      </w:r>
      <w:r w:rsidRPr="002C24EE">
        <w:rPr>
          <w:rStyle w:val="StyleUnderline"/>
        </w:rPr>
        <w:lastRenderedPageBreak/>
        <w:t>substituting the word “stop” with “war”</w:t>
      </w:r>
      <w:r w:rsidRPr="009F325C">
        <w:rPr>
          <w:rFonts w:asciiTheme="minorHAnsi" w:hAnsiTheme="minorHAnsi" w:cstheme="minorHAnsi"/>
          <w:sz w:val="16"/>
        </w:rPr>
        <w:t xml:space="preserve"> (illus. 9). The former example puts forth a direct, explicit, univocal message in a location where many people are bound to notice it. The second one by contrast reaches fewer viewers, since most drivers will presumably not see it, and not all pedestrians will. But the latter </w:t>
      </w:r>
      <w:r w:rsidRPr="002C24EE">
        <w:rPr>
          <w:rStyle w:val="StyleUnderline"/>
        </w:rPr>
        <w:t>has a potential for triggering an esthetic emotion in the passersby who notice it and are likely to reflect on the cleverness of the visual device</w:t>
      </w:r>
      <w:r w:rsidRPr="009F325C">
        <w:rPr>
          <w:rFonts w:asciiTheme="minorHAnsi" w:hAnsiTheme="minorHAnsi" w:cstheme="minorHAnsi"/>
          <w:sz w:val="16"/>
        </w:rPr>
        <w:t xml:space="preserve">. This graffiti’s </w:t>
      </w:r>
      <w:r w:rsidRPr="009F325C">
        <w:rPr>
          <w:rFonts w:asciiTheme="minorHAnsi" w:hAnsiTheme="minorHAnsi" w:cstheme="minorHAnsi"/>
          <w:i/>
          <w:iCs/>
          <w:sz w:val="16"/>
        </w:rPr>
        <w:t>lack</w:t>
      </w:r>
      <w:r w:rsidRPr="009F325C">
        <w:rPr>
          <w:rFonts w:asciiTheme="minorHAnsi" w:hAnsiTheme="minorHAnsi" w:cstheme="minorHAnsi"/>
          <w:sz w:val="16"/>
        </w:rPr>
        <w:t xml:space="preserve"> of obviousness serves its message by sparking off surprise and catching viewers off their guard. The amount of thinking and time involved in its conception and execution may touch the viewers with a sense of connectedness with the author. This is not to say that it necessarily will, as many viewers will be indifferent or annoyed, but its execution poises it to prompt certain kinds of viewer responses that other protest messages do not.  </w:t>
      </w:r>
      <w:r w:rsidRPr="002C24EE">
        <w:rPr>
          <w:rStyle w:val="StyleUnderline"/>
        </w:rPr>
        <w:t xml:space="preserve">By being evident yet concealed, this graffiti is likely to both reach its viewers’ gray matter, and cause them an esthetic emotion, which may in turn associate the deployment of an oppositional consciousness with pleasure.  </w:t>
      </w:r>
      <w:r w:rsidRPr="009F325C">
        <w:rPr>
          <w:rFonts w:asciiTheme="minorHAnsi" w:hAnsiTheme="minorHAnsi" w:cstheme="minorHAnsi"/>
          <w:sz w:val="16"/>
        </w:rPr>
        <w:t xml:space="preserve">James Jasper argues that a movement’s goals cannot suffice to sustain actors’ participation, if they do not derive some gratification from it. But if engaging in protest is pleasurable enough to justify participation, social actors are provided with an opportunity to be themselves and to find self-accomplishment: “The joy of protest… is very like the playful potential of art, which creates another reality for us to ‘try on.’ This other world often feels more real than our everyday life, for we can try on our ‘real’ selves there, penetrate to deeper truths and identities normally blocked by our everyday routines” (227). </w:t>
      </w:r>
      <w:r w:rsidRPr="002C24EE">
        <w:rPr>
          <w:rStyle w:val="StyleUnderline"/>
        </w:rPr>
        <w:t xml:space="preserve">The emotion stirred by a clever graffiti may similarly generate a subjective sense of authenticity, whereby the viewer feels moved by the recognition of a deep identification with the author. It is the graffiti’s </w:t>
      </w:r>
      <w:r w:rsidRPr="009F325C">
        <w:rPr>
          <w:rFonts w:asciiTheme="minorHAnsi" w:hAnsiTheme="minorHAnsi" w:cstheme="minorHAnsi"/>
          <w:i/>
          <w:iCs/>
          <w:u w:val="single"/>
        </w:rPr>
        <w:t>lack</w:t>
      </w:r>
      <w:r w:rsidRPr="002C24EE">
        <w:rPr>
          <w:rStyle w:val="StyleUnderline"/>
        </w:rPr>
        <w:t xml:space="preserve"> of instrumental purposefulness that endows it with this resistance-generating potential.  </w:t>
      </w:r>
      <w:r w:rsidRPr="009F325C">
        <w:rPr>
          <w:rFonts w:asciiTheme="minorHAnsi" w:hAnsiTheme="minorHAnsi" w:cstheme="minorHAnsi"/>
          <w:sz w:val="14"/>
        </w:rPr>
        <w:t xml:space="preserve">Thus, I suggest, pleasure creates empowerment by displaying personal, subjective creativity as a form of intervention in the public sphere. In a stencil photographed in 2008 the author represents then-presidential candidate John McCain embraced by Satan, whose right hand is clutching McCain’s bleeding heart, over a caption reading “Four More Years.”  image’s composition conveys a meaning that is far from univocal, or even evident. The discrepancy between the caption and the fact that John McCain was not an incumbent candidate implies that, try as he may to distance himself from George W. Bush, if elected he would not be such a different president. Additionally, the contrast between McCain’s reassuring facial expression and Satan’s sardonic smile may suggest opposite interpretations—either that McCain is just another embodiment of the devil, or that he is not even aware of being in the Great Deceiver’s grip—which both amount to a scathing mockery of the Republican candidate.  The sarcasm conveyed here is a form of humor which could not be expressed in the conventional political arena and pertains rather to satire. Beyond the importance of humor in social movements (‘t Hart; Obadare), this example suggests likening protest graffiti to what Jasper calls “post-citizenship” movements, which fail to address the state, not for lack of opportunities—as political opportunity structure (POS) theory would have it—but because such is not their </w:t>
      </w:r>
      <w:r w:rsidRPr="009F325C">
        <w:rPr>
          <w:rFonts w:asciiTheme="minorHAnsi" w:hAnsiTheme="minorHAnsi" w:cstheme="minorHAnsi"/>
          <w:i/>
          <w:iCs/>
          <w:sz w:val="14"/>
        </w:rPr>
        <w:t>choice</w:t>
      </w:r>
      <w:r w:rsidRPr="009F325C">
        <w:rPr>
          <w:rFonts w:asciiTheme="minorHAnsi" w:hAnsiTheme="minorHAnsi" w:cstheme="minorHAnsi"/>
          <w:sz w:val="14"/>
        </w:rPr>
        <w:t xml:space="preserve"> of tactics (235-237). </w:t>
      </w:r>
      <w:r w:rsidRPr="002C24EE">
        <w:rPr>
          <w:rStyle w:val="StyleUnderline"/>
        </w:rPr>
        <w:t xml:space="preserve">Taking the forms of protest seriously requires a focus on its cultural, expressive dimensions, which, in the case of protest graffiti, are the very </w:t>
      </w:r>
      <w:r w:rsidRPr="009F325C">
        <w:rPr>
          <w:rFonts w:asciiTheme="minorHAnsi" w:hAnsiTheme="minorHAnsi" w:cstheme="minorHAnsi"/>
          <w:i/>
          <w:iCs/>
          <w:u w:val="single"/>
        </w:rPr>
        <w:t>substance</w:t>
      </w:r>
      <w:r w:rsidRPr="002C24EE">
        <w:rPr>
          <w:rStyle w:val="StyleUnderline"/>
        </w:rPr>
        <w:t xml:space="preserve"> of action</w:t>
      </w:r>
      <w:r w:rsidRPr="009F325C">
        <w:rPr>
          <w:rFonts w:asciiTheme="minorHAnsi" w:hAnsiTheme="minorHAnsi" w:cstheme="minorHAnsi"/>
          <w:sz w:val="16"/>
        </w:rPr>
        <w:t xml:space="preserve">. This suggests that </w:t>
      </w:r>
      <w:r w:rsidRPr="002C24EE">
        <w:rPr>
          <w:rStyle w:val="StyleUnderline"/>
        </w:rPr>
        <w:t>the interactions between emotions and cognitions are crucial, and especially that emotions can play an important part in the emergence of oppositional cognitive frames. Such emotions as hostility can prove essential in enhancing a movement’s cohesion by providing an enemy or sustaining adversarial feelings</w:t>
      </w:r>
      <w:r w:rsidRPr="009F325C">
        <w:rPr>
          <w:rFonts w:asciiTheme="minorHAnsi" w:hAnsiTheme="minorHAnsi" w:cstheme="minorHAnsi"/>
          <w:sz w:val="16"/>
        </w:rPr>
        <w:t xml:space="preserve"> (Goodwin et al. 13-20). </w:t>
      </w:r>
      <w:r w:rsidRPr="002C24EE">
        <w:rPr>
          <w:rStyle w:val="StyleUnderline"/>
        </w:rPr>
        <w:t>Two paste-ups</w:t>
      </w:r>
      <w:r w:rsidRPr="009F325C">
        <w:rPr>
          <w:rFonts w:asciiTheme="minorHAnsi" w:hAnsiTheme="minorHAnsi" w:cstheme="minorHAnsi"/>
          <w:sz w:val="16"/>
        </w:rPr>
        <w:t xml:space="preserve">—both photographed in 2008— </w:t>
      </w:r>
      <w:r w:rsidRPr="002C24EE">
        <w:rPr>
          <w:rStyle w:val="StyleUnderline"/>
        </w:rPr>
        <w:t>representing Vice-president Cheney as the Star Wars villain Jabba the Hutt with President Bush as his jester, Salacious Crumb, squatting next to him, and Bush in football gear poised to throw a bomb in lieu of a ball</w:t>
      </w:r>
      <w:r w:rsidRPr="009F325C">
        <w:rPr>
          <w:rFonts w:asciiTheme="minorHAnsi" w:hAnsiTheme="minorHAnsi" w:cstheme="minorHAnsi"/>
          <w:sz w:val="16"/>
        </w:rPr>
        <w:t xml:space="preserve"> (illus. 10) </w:t>
      </w:r>
      <w:r w:rsidRPr="002C24EE">
        <w:rPr>
          <w:rStyle w:val="StyleUnderline"/>
        </w:rPr>
        <w:t>thus reframe anti-Bush antagonism by resorting to ridicule</w:t>
      </w:r>
      <w:r w:rsidRPr="009F325C">
        <w:rPr>
          <w:rFonts w:asciiTheme="minorHAnsi" w:hAnsiTheme="minorHAnsi" w:cstheme="minorHAnsi"/>
          <w:sz w:val="16"/>
        </w:rPr>
        <w:t xml:space="preserve">. In the former example the real villain is Cheney, and Bush is cast as his helpless slave, an ironic mockery of the president’s hyper-masculinized posture after 9/11 transformed his public image from that of Cheney and other neoconservatives’ puppet into that of a war president. The latter example reframes President Bush as his oft-derided Yale-days self, busier playing football than studying. The resulting image is that of a watered-down Dr. Strangelove, with none of the exhilarating edge and lunacy of the Kubrick character, so that the critique is paradoxically more political than if Bush were portrayed as a madman: depicting him as a sports jock harks back to the reasons why he should not have been elected in the first place, which was politically pertinent in a presidential election year when he was </w:t>
      </w:r>
      <w:r w:rsidRPr="009F325C">
        <w:rPr>
          <w:rFonts w:asciiTheme="minorHAnsi" w:hAnsiTheme="minorHAnsi" w:cstheme="minorHAnsi"/>
          <w:i/>
          <w:iCs/>
          <w:sz w:val="16"/>
        </w:rPr>
        <w:t>not</w:t>
      </w:r>
      <w:r w:rsidRPr="009F325C">
        <w:rPr>
          <w:rFonts w:asciiTheme="minorHAnsi" w:hAnsiTheme="minorHAnsi" w:cstheme="minorHAnsi"/>
          <w:sz w:val="16"/>
        </w:rPr>
        <w:t xml:space="preserve"> running for reelection. </w:t>
      </w:r>
      <w:r w:rsidRPr="002C24EE">
        <w:rPr>
          <w:rStyle w:val="StyleUnderline"/>
        </w:rPr>
        <w:t xml:space="preserve">Humor in protest graffiti generates a sense of complicity between subjects who are not, and are not </w:t>
      </w:r>
      <w:r w:rsidRPr="009F325C">
        <w:rPr>
          <w:rFonts w:asciiTheme="minorHAnsi" w:hAnsiTheme="minorHAnsi" w:cstheme="minorHAnsi"/>
          <w:i/>
          <w:iCs/>
          <w:u w:val="single"/>
        </w:rPr>
        <w:t>meant to be</w:t>
      </w:r>
      <w:r w:rsidRPr="002C24EE">
        <w:rPr>
          <w:rStyle w:val="StyleUnderline"/>
        </w:rPr>
        <w:t>, in each other’s presence. That is often an important dimension of “oppositional speech acts,” especially in authoritarian societies where, unlike the contemporary United States, upfront oppositional speech involves a direct risk of life and limb</w:t>
      </w:r>
      <w:r w:rsidRPr="009F325C">
        <w:rPr>
          <w:rFonts w:asciiTheme="minorHAnsi" w:hAnsiTheme="minorHAnsi" w:cstheme="minorHAnsi"/>
          <w:sz w:val="16"/>
        </w:rPr>
        <w:t xml:space="preserve"> (Johnston 123-124).  But the messages in the protest graffiti studied here would not be palatable to institutional or conventional channels of expression, nor is their form suitable for most print media, especially since the War on Terror </w:t>
      </w:r>
      <w:r w:rsidRPr="009F325C">
        <w:rPr>
          <w:rFonts w:asciiTheme="minorHAnsi" w:hAnsiTheme="minorHAnsi" w:cstheme="minorHAnsi"/>
          <w:i/>
          <w:iCs/>
          <w:sz w:val="16"/>
        </w:rPr>
        <w:t>has</w:t>
      </w:r>
      <w:r w:rsidRPr="009F325C">
        <w:rPr>
          <w:rFonts w:asciiTheme="minorHAnsi" w:hAnsiTheme="minorHAnsi" w:cstheme="minorHAnsi"/>
          <w:sz w:val="16"/>
        </w:rPr>
        <w:t xml:space="preserve"> brought legal restrictions on freedom of expression and discouraged conventional media from conveying provocative discourse.  The links between form and message—signifier and signified—show that </w:t>
      </w:r>
      <w:r w:rsidRPr="002C24EE">
        <w:rPr>
          <w:rStyle w:val="StyleUnderline"/>
        </w:rPr>
        <w:t xml:space="preserve">these graffiti give voice to oppositional consciences which resort to an alternative medium in order to express alternative meanings.  In this sense humor operates in the same way as the above-mentioned esthetic emotions: the less ostensibly political the denotative statement, the more </w:t>
      </w:r>
      <w:r w:rsidRPr="002C24EE">
        <w:rPr>
          <w:rStyle w:val="StyleUnderline"/>
        </w:rPr>
        <w:lastRenderedPageBreak/>
        <w:t>effective protest graffiti can be in generating such connivance. Thus not only does the infrapolitical medium of protest graffiti convey political meaning, but the graffiti’s discursive message is embedded in their graphic vocabulary</w:t>
      </w:r>
      <w:r w:rsidRPr="009F325C">
        <w:rPr>
          <w:rFonts w:asciiTheme="minorHAnsi" w:hAnsiTheme="minorHAnsi" w:cstheme="minorHAnsi"/>
          <w:sz w:val="16"/>
        </w:rPr>
        <w:t xml:space="preserve">. </w:t>
      </w:r>
      <w:r w:rsidRPr="009F325C">
        <w:rPr>
          <w:rFonts w:asciiTheme="minorHAnsi" w:hAnsiTheme="minorHAnsi" w:cstheme="minorHAnsi"/>
          <w:sz w:val="14"/>
        </w:rPr>
        <w:t xml:space="preserve">A piece photographed in 2008 features President Bush as a distressed-looking character with a balloon that reads “stop me before I kill again”.  Casting Bush as a serial killer out of a cartoon may in itself seem less daringly humorous than the above-mentioned Star Wars impersonation. But superimposed on this image is a series of pink hearts, all but one of which are outlined in black and inscribed with a peace sign. Whereas their differing graphic styles safely indicate that the black-ink stencil and the pink hearts have different authors, it seems impossible to decide whether the pink hearts were intended to bear peace signs, or whether that is yet a later addition. But the hearts partly cover the stencil, so that the visual effect results in a palimpsest where the various layers influence each other’s meaning. Not only does the subsequent inscription superimpose a “peace and love” signifier upon the original image, but the graphic </w:t>
      </w:r>
      <w:r w:rsidRPr="009F325C">
        <w:rPr>
          <w:rFonts w:asciiTheme="minorHAnsi" w:hAnsiTheme="minorHAnsi" w:cstheme="minorHAnsi"/>
          <w:i/>
          <w:iCs/>
          <w:sz w:val="14"/>
        </w:rPr>
        <w:t>style</w:t>
      </w:r>
      <w:r w:rsidRPr="009F325C">
        <w:rPr>
          <w:rFonts w:asciiTheme="minorHAnsi" w:hAnsiTheme="minorHAnsi" w:cstheme="minorHAnsi"/>
          <w:sz w:val="14"/>
        </w:rPr>
        <w:t xml:space="preserve"> of the hearts transfigures it: their shapes and lines have a childish touch which is enhanced by the color pink, so that they smack of innocence and freshness in a way that contrasts with the half-threatening, half-ridiculous stencil figure. In addition, their various shapes and sizes, and their randomly slanting distribution make them look like flying balloons—or butterflies like the paste-up on the left—which may inspire the viewer with light-heartedness and a sense of elation.The resulting image is largely accidental and certainly unintended on the part of the original author, and probably of the subsequent one(s).  But this should not disqualify its complex, multidimensional, partly contradictory and not totally understandable meaning. This outcome is reified by virtue of its various components being in each other’s presence at a given place for a limited period of time</w:t>
      </w:r>
      <w:r w:rsidRPr="009F325C">
        <w:rPr>
          <w:rFonts w:asciiTheme="minorHAnsi" w:hAnsiTheme="minorHAnsi" w:cstheme="minorHAnsi"/>
          <w:sz w:val="16"/>
        </w:rPr>
        <w:t xml:space="preserve">. </w:t>
      </w:r>
      <w:r w:rsidRPr="00CF4F5E">
        <w:rPr>
          <w:rFonts w:asciiTheme="minorHAnsi" w:hAnsiTheme="minorHAnsi" w:cstheme="minorHAnsi"/>
          <w:sz w:val="12"/>
          <w:szCs w:val="12"/>
        </w:rPr>
        <w:t>The accidental co-presence of various authors’ and various viewers’ subjective expressions and perceptions transforms the wall into a graphic forum where a virtual conversation is taking place</w:t>
      </w:r>
      <w:r w:rsidRPr="00CF4F5E">
        <w:rPr>
          <w:rFonts w:asciiTheme="minorHAnsi" w:hAnsiTheme="minorHAnsi" w:cstheme="minorHAnsi"/>
        </w:rPr>
        <w:t xml:space="preserve"> </w:t>
      </w:r>
      <w:r w:rsidRPr="009F325C">
        <w:rPr>
          <w:rFonts w:asciiTheme="minorHAnsi" w:hAnsiTheme="minorHAnsi" w:cstheme="minorHAnsi"/>
          <w:sz w:val="16"/>
        </w:rPr>
        <w:t xml:space="preserve">(Iddings et al. 8). </w:t>
      </w:r>
      <w:r w:rsidRPr="002C24EE">
        <w:rPr>
          <w:rStyle w:val="StyleUnderline"/>
        </w:rPr>
        <w:t>Its substance is emotional as much as it is discursive, and it gives voice to an oppositional conscience which cannot fully be expressed with words.</w:t>
      </w:r>
      <w:r w:rsidRPr="009F325C">
        <w:rPr>
          <w:rFonts w:asciiTheme="minorHAnsi" w:hAnsiTheme="minorHAnsi" w:cstheme="minorHAnsi"/>
          <w:sz w:val="16"/>
        </w:rPr>
        <w:t xml:space="preserve"> </w:t>
      </w:r>
      <w:r w:rsidRPr="009F325C">
        <w:rPr>
          <w:rFonts w:asciiTheme="minorHAnsi" w:hAnsiTheme="minorHAnsi" w:cstheme="minorHAnsi"/>
          <w:bCs/>
          <w:kern w:val="36"/>
          <w:sz w:val="16"/>
        </w:rPr>
        <w:t xml:space="preserve">Conclusion </w:t>
      </w:r>
      <w:r w:rsidRPr="009F325C">
        <w:rPr>
          <w:rFonts w:asciiTheme="minorHAnsi" w:hAnsiTheme="minorHAnsi" w:cstheme="minorHAnsi"/>
          <w:sz w:val="16"/>
        </w:rPr>
        <w:t>Do these remarks mean that what makes protest graffiti significant as infrapolitical vehicles of resistance is that they prefigure subsequent “real” political action? “</w:t>
      </w:r>
      <w:r w:rsidRPr="002C24EE">
        <w:rPr>
          <w:rStyle w:val="StyleUnderline"/>
        </w:rPr>
        <w:t>Culture becomes political when meanings become the source of processes that, implicitly or explicitly, seek to redefine social power</w:t>
      </w:r>
      <w:r w:rsidRPr="009F325C">
        <w:rPr>
          <w:rFonts w:asciiTheme="minorHAnsi" w:hAnsiTheme="minorHAnsi" w:cstheme="minorHAnsi"/>
          <w:sz w:val="16"/>
        </w:rPr>
        <w:t xml:space="preserve">,” Arturo Escobar writes (42). I suggest, rather, that </w:t>
      </w:r>
      <w:r w:rsidRPr="002C24EE">
        <w:rPr>
          <w:rStyle w:val="StyleUnderline"/>
        </w:rPr>
        <w:t xml:space="preserve">graffiti are infrapolitical vehicles of resistance in the sense that they make up a “subterranean magma of oppositional speech” which does not necessarily lead to fully-fledged political mobilization, but does literally make up the </w:t>
      </w:r>
      <w:r w:rsidRPr="009F325C">
        <w:rPr>
          <w:rFonts w:asciiTheme="minorHAnsi" w:hAnsiTheme="minorHAnsi" w:cstheme="minorHAnsi"/>
          <w:i/>
          <w:iCs/>
          <w:u w:val="single"/>
        </w:rPr>
        <w:t>substance</w:t>
      </w:r>
      <w:r w:rsidRPr="002C24EE">
        <w:rPr>
          <w:rStyle w:val="StyleUnderline"/>
        </w:rPr>
        <w:t xml:space="preserve"> of the “volcanic eruptions of protest” on which social movement scholarship tends to focus </w:t>
      </w:r>
      <w:r w:rsidRPr="009F325C">
        <w:rPr>
          <w:rFonts w:asciiTheme="minorHAnsi" w:hAnsiTheme="minorHAnsi" w:cstheme="minorHAnsi"/>
          <w:sz w:val="16"/>
        </w:rPr>
        <w:t>(Johnston 113). As a form of infrapolitics, protest graffiti achieve covert victories when they touch the conscience of receptive viewers with their idiosyncratic oppositional meanings. In the final analysis</w:t>
      </w:r>
      <w:r w:rsidRPr="002C24EE">
        <w:rPr>
          <w:rStyle w:val="StyleUnderline"/>
        </w:rPr>
        <w:t>, taking protest graffiti seriously makes it necessary to focus on the interplay between the cultural and political dimensions of dynamics of social protest, and thus points to the problematic gray zone between individual discontent and collective action</w:t>
      </w:r>
      <w:r w:rsidRPr="009F325C">
        <w:rPr>
          <w:rFonts w:asciiTheme="minorHAnsi" w:hAnsiTheme="minorHAnsi" w:cstheme="minorHAnsi"/>
          <w:sz w:val="16"/>
        </w:rPr>
        <w:t xml:space="preserve"> (Fox and Starn 3-6).</w:t>
      </w:r>
    </w:p>
    <w:p xmlns:wp14="http://schemas.microsoft.com/office/word/2010/wordml" w:rsidRPr="00A965EA" w:rsidR="0082799E" w:rsidP="0082799E" w:rsidRDefault="0082799E" w14:paraId="5DB356D3" wp14:textId="77777777">
      <w:pPr>
        <w:pStyle w:val="Heading4"/>
        <w:rPr>
          <w:rFonts w:cs="Arial"/>
        </w:rPr>
      </w:pPr>
      <w:r>
        <w:rPr>
          <w:rFonts w:cs="Arial"/>
        </w:rPr>
        <w:t>Graffiti is a vehicle for the infra-political</w:t>
      </w:r>
    </w:p>
    <w:p xmlns:wp14="http://schemas.microsoft.com/office/word/2010/wordml" w:rsidRPr="00A965EA" w:rsidR="0082799E" w:rsidP="0082799E" w:rsidRDefault="0082799E" w14:paraId="2E24702B" wp14:textId="77777777">
      <w:r w:rsidRPr="00881A4E">
        <w:rPr>
          <w:rStyle w:val="Style13ptBold"/>
        </w:rPr>
        <w:t>Marche 12</w:t>
      </w:r>
      <w:r w:rsidRPr="00A965EA">
        <w:rPr>
          <w:b/>
        </w:rPr>
        <w:t xml:space="preserve"> </w:t>
      </w:r>
      <w:r w:rsidRPr="00A965EA">
        <w:t>(Guillaume, Professor of American Studies at the Universite Paris-Est Creteil in France, Member of IMAGER (Institute for the Study of English-, German-, and Romance Langugage-Speaking Spheres. Studies sexual identties, subjectitivty and the interplay between the cultural and political dimensions of collective mobilization. Expressivism and Resistance: Graffiti as an Infrapolitical Form of Protest against the War on Terror: revue francaise d’etudes americaines. 2012 https://www.cairn.info/revue-francaise-d-etudes-americaines-2012-1-page-78.htm) /// ONW</w:t>
      </w:r>
    </w:p>
    <w:p xmlns:wp14="http://schemas.microsoft.com/office/word/2010/wordml" w:rsidRPr="00A965EA" w:rsidR="0082799E" w:rsidP="0082799E" w:rsidRDefault="0082799E" w14:paraId="33509462" wp14:textId="77777777">
      <w:pPr>
        <w:rPr>
          <w:u w:val="single"/>
        </w:rPr>
      </w:pPr>
      <w:r w:rsidRPr="00A965EA">
        <w:rPr>
          <w:sz w:val="16"/>
        </w:rPr>
        <w:t xml:space="preserve">But </w:t>
      </w:r>
      <w:r w:rsidRPr="00A965EA">
        <w:rPr>
          <w:b/>
          <w:u w:val="single"/>
        </w:rPr>
        <w:t>graffiti also allow forceful claims for space</w:t>
      </w:r>
      <w:r w:rsidRPr="00A965EA">
        <w:rPr>
          <w:sz w:val="16"/>
        </w:rPr>
        <w:t xml:space="preserve"> (Ley and Cybriwsky; Nandrea 113-115). </w:t>
      </w:r>
      <w:r w:rsidRPr="00A965EA">
        <w:rPr>
          <w:u w:val="single"/>
        </w:rPr>
        <w:t xml:space="preserve">Tags are sometimes used by gangs to claim territory </w:t>
      </w:r>
      <w:r w:rsidRPr="00A965EA">
        <w:rPr>
          <w:sz w:val="16"/>
        </w:rPr>
        <w:t xml:space="preserve">(Milon 109; Ley and Cybriwsky; Phillips), </w:t>
      </w:r>
      <w:r w:rsidRPr="00A965EA">
        <w:rPr>
          <w:u w:val="single"/>
        </w:rPr>
        <w:t>although tagging is far from being systematically gang-related</w:t>
      </w:r>
      <w:r w:rsidRPr="00A965EA">
        <w:rPr>
          <w:sz w:val="16"/>
        </w:rPr>
        <w:t xml:space="preserve"> (Ferrell 84-86; MacGillivray and Curwen 354, 366).3 The authors of the amply documented “top-to-bottom” pieces covering New York subway trains (Austin; Lange) vicariously haunt the whole city beyond their own, usually poorer neighborhoods (Myre 4; Ortiz). </w:t>
      </w:r>
      <w:r w:rsidRPr="00A965EA">
        <w:rPr>
          <w:u w:val="single"/>
        </w:rPr>
        <w:t xml:space="preserve">Subway pieces literally run counter to the ecology of social relegation by circulating the stigma of social problems out of their “natural” habitat. </w:t>
      </w:r>
      <w:r w:rsidRPr="00A965EA">
        <w:rPr>
          <w:b/>
          <w:highlight w:val="yellow"/>
          <w:u w:val="single"/>
        </w:rPr>
        <w:t xml:space="preserve">A good index of graffiti’s disruptiveness is that they are considered to justify costly removal policies </w:t>
      </w:r>
      <w:r w:rsidRPr="00A965EA">
        <w:rPr>
          <w:b/>
          <w:sz w:val="16"/>
          <w:highlight w:val="yellow"/>
        </w:rPr>
        <w:t>(</w:t>
      </w:r>
      <w:r w:rsidRPr="00A965EA">
        <w:rPr>
          <w:sz w:val="16"/>
        </w:rPr>
        <w:t xml:space="preserve">Ferrell 80-82). </w:t>
      </w:r>
      <w:r w:rsidRPr="00A965EA">
        <w:rPr>
          <w:u w:val="single"/>
        </w:rPr>
        <w:t>In 2006 the yearly cost of graffiti removal in the United States was estimated at 15 to 18 billion dollars</w:t>
      </w:r>
      <w:r w:rsidRPr="00A965EA">
        <w:rPr>
          <w:sz w:val="16"/>
        </w:rPr>
        <w:t xml:space="preserve"> (BBC), whereas in </w:t>
      </w:r>
      <w:r w:rsidRPr="00A965EA">
        <w:rPr>
          <w:u w:val="single"/>
        </w:rPr>
        <w:t>1998-1999, New York City’s Giuliani administration spent 25 million dollars on graffiti removal and prevention</w:t>
      </w:r>
      <w:r w:rsidRPr="00A965EA">
        <w:rPr>
          <w:sz w:val="16"/>
        </w:rPr>
        <w:t xml:space="preserve"> (Segal; Kramer; Dickinson). Loosely referring to the “broken window” theory (Kelling and Wilson), and rightfully convinced that graffiti breeds more graffiti (Myre 4; Milon 111), </w:t>
      </w:r>
      <w:r w:rsidRPr="00A965EA">
        <w:rPr>
          <w:u w:val="single"/>
        </w:rPr>
        <w:t>the New York municipality applied “zero tolerance” to graffiti, as the Bloomberg administration has since</w:t>
      </w:r>
      <w:r w:rsidRPr="00A965EA">
        <w:rPr>
          <w:sz w:val="16"/>
        </w:rPr>
        <w:t xml:space="preserve"> (Chan; Rahimi). But </w:t>
      </w:r>
      <w:r w:rsidRPr="00A965EA">
        <w:rPr>
          <w:u w:val="single"/>
        </w:rPr>
        <w:t xml:space="preserve">“generating scandal and panic is graffiti authors’ goal, </w:t>
      </w:r>
      <w:r w:rsidRPr="00A965EA">
        <w:rPr>
          <w:u w:val="single"/>
        </w:rPr>
        <w:lastRenderedPageBreak/>
        <w:t>for that is the means to express their resistance—rather than a sanction that may prevent them from it.</w:t>
      </w:r>
      <w:r w:rsidRPr="00A965EA">
        <w:rPr>
          <w:sz w:val="16"/>
        </w:rPr>
        <w:t xml:space="preserve">” (N. Macdonald 173) </w:t>
      </w:r>
      <w:r w:rsidRPr="00A965EA">
        <w:rPr>
          <w:u w:val="single"/>
        </w:rPr>
        <w:t>In this sense, enforced prohibition ironically reinforces graffiti’s resistance potential</w:t>
      </w:r>
      <w:r w:rsidRPr="00A965EA">
        <w:rPr>
          <w:sz w:val="16"/>
        </w:rPr>
        <w:t>.</w:t>
      </w:r>
      <w:r w:rsidRPr="00A965EA">
        <w:rPr>
          <w:b/>
          <w:u w:val="single"/>
        </w:rPr>
        <w:t xml:space="preserve">By focusing on examples that do convey political meaning, I propose furthermore that </w:t>
      </w:r>
      <w:r w:rsidRPr="00A965EA">
        <w:rPr>
          <w:b/>
          <w:highlight w:val="yellow"/>
          <w:u w:val="single"/>
        </w:rPr>
        <w:t>graffiti can be all the more effective a vehicle of resistance for being infrapolitical</w:t>
      </w:r>
      <w:r w:rsidRPr="00A965EA">
        <w:rPr>
          <w:sz w:val="16"/>
        </w:rPr>
        <w:t xml:space="preserve">. Although it is difficult to draw a firm line between political and nonpolitical content, I use examples whose political critique is explicit in order to single out the significance of this infrapolitical practice. Simple, sometimes wordless messages can suffice to highlight that graffiti does not involve the exchange of money, thus expressing dissent from the consumer society.4 </w:t>
      </w:r>
      <w:r w:rsidRPr="00A965EA">
        <w:rPr>
          <w:b/>
          <w:highlight w:val="yellow"/>
          <w:u w:val="single"/>
        </w:rPr>
        <w:t>Graffiti</w:t>
      </w:r>
      <w:r w:rsidRPr="00A965EA">
        <w:rPr>
          <w:b/>
          <w:u w:val="single"/>
        </w:rPr>
        <w:t xml:space="preserve"> sometimes </w:t>
      </w:r>
      <w:r w:rsidRPr="00A965EA">
        <w:rPr>
          <w:b/>
          <w:highlight w:val="yellow"/>
          <w:u w:val="single"/>
        </w:rPr>
        <w:t>also challenge the saturation of public spaces with commercial messages through “subvertisement</w:t>
      </w:r>
      <w:r w:rsidRPr="00A965EA">
        <w:rPr>
          <w:highlight w:val="yellow"/>
          <w:u w:val="single"/>
        </w:rPr>
        <w:t>,”</w:t>
      </w:r>
      <w:r w:rsidRPr="00A965EA">
        <w:rPr>
          <w:u w:val="single"/>
        </w:rPr>
        <w:t xml:space="preserve"> either by producing images deriding well-known brand names or icons</w:t>
      </w:r>
      <w:r w:rsidRPr="00A965EA">
        <w:rPr>
          <w:sz w:val="16"/>
        </w:rPr>
        <w:t xml:space="preserve"> (illus. 4), </w:t>
      </w:r>
      <w:r w:rsidRPr="00A965EA">
        <w:rPr>
          <w:u w:val="single"/>
        </w:rPr>
        <w:t>or by superimposing a critical message on an actual advertisement</w:t>
      </w:r>
      <w:r w:rsidRPr="00A965EA">
        <w:rPr>
          <w:sz w:val="16"/>
        </w:rPr>
        <w:t xml:space="preserve"> (illus. 5).5 </w:t>
      </w:r>
      <w:r w:rsidRPr="00A965EA">
        <w:rPr>
          <w:u w:val="single"/>
        </w:rPr>
        <w:t>Whether visually or verbally, such protest graffiti is meant to make viewers laugh and think: precisely</w:t>
      </w:r>
      <w:r w:rsidRPr="00A965EA">
        <w:rPr>
          <w:sz w:val="16"/>
        </w:rPr>
        <w:t xml:space="preserve"> </w:t>
      </w:r>
      <w:r w:rsidRPr="00A965EA">
        <w:rPr>
          <w:b/>
          <w:u w:val="single"/>
        </w:rPr>
        <w:t>because it is mimetic of advertising—proliferating on the same surfaces, using the same codes and imagery</w:t>
      </w:r>
      <w:r w:rsidRPr="00A965EA">
        <w:rPr>
          <w:b/>
          <w:sz w:val="16"/>
        </w:rPr>
        <w:t>—</w:t>
      </w:r>
      <w:r w:rsidRPr="00A965EA">
        <w:rPr>
          <w:sz w:val="16"/>
        </w:rPr>
        <w:t xml:space="preserve"> it potentially causes them to question their own opinions about a specific brand or advertisement, or about branding and advertising in general. </w:t>
      </w:r>
      <w:r w:rsidRPr="00A965EA">
        <w:rPr>
          <w:b/>
          <w:highlight w:val="yellow"/>
          <w:u w:val="single"/>
        </w:rPr>
        <w:t>With protest graffiti the medium is indeed the message,</w:t>
      </w:r>
      <w:r w:rsidRPr="00A965EA">
        <w:rPr>
          <w:b/>
          <w:u w:val="single"/>
        </w:rPr>
        <w:t xml:space="preserve"> </w:t>
      </w:r>
      <w:r w:rsidRPr="00A965EA">
        <w:rPr>
          <w:u w:val="single"/>
        </w:rPr>
        <w:t>as I now show with graffiti expressing protest against the War on Terror and the Iraq War.</w:t>
      </w:r>
    </w:p>
    <w:p xmlns:wp14="http://schemas.microsoft.com/office/word/2010/wordml" w:rsidRPr="00A965EA" w:rsidR="0082799E" w:rsidP="0082799E" w:rsidRDefault="0082799E" w14:paraId="160D6882" wp14:textId="77777777">
      <w:pPr>
        <w:pStyle w:val="Heading4"/>
        <w:rPr>
          <w:rFonts w:cs="Arial"/>
        </w:rPr>
      </w:pPr>
      <w:r>
        <w:rPr>
          <w:rFonts w:cs="Arial"/>
        </w:rPr>
        <w:t>Graffiti marks a space of infra-political resistance to techniques of purification</w:t>
      </w:r>
    </w:p>
    <w:p xmlns:wp14="http://schemas.microsoft.com/office/word/2010/wordml" w:rsidRPr="008A0558" w:rsidR="0082799E" w:rsidP="0082799E" w:rsidRDefault="0082799E" w14:paraId="0C15E2A0" wp14:textId="77777777">
      <w:r w:rsidRPr="008A0558">
        <w:rPr>
          <w:rStyle w:val="Style13ptBold"/>
        </w:rPr>
        <w:t>Marche 12</w:t>
      </w:r>
      <w:r w:rsidRPr="008A0558">
        <w:t xml:space="preserve"> (Guillaume, Professor of American Studies at the Universite Paris-Est Creteil in France, Member of IMAGER (Institute for the Study of English-, German-, and Romance Langugage-Speaking Spheres. Studies sexual identities, subjectivity and the interplay between the cultural and political dimensions of collective mobilization. Expressivism and Resistance: Graffiti as an Infrapolitical Form of Protest against the War on Terror: revue francaise d’etudes americaines. 2012 https://www.cairn.info/revue-francaise-d-etudes-americaines-2012-1-page-78.htm) /// ONW</w:t>
      </w:r>
    </w:p>
    <w:p xmlns:wp14="http://schemas.microsoft.com/office/word/2010/wordml" w:rsidRPr="00A965EA" w:rsidR="0082799E" w:rsidP="0082799E" w:rsidRDefault="0082799E" w14:paraId="5D049C17" wp14:textId="77777777">
      <w:pPr>
        <w:rPr>
          <w:sz w:val="12"/>
        </w:rPr>
      </w:pPr>
      <w:r w:rsidRPr="00A965EA">
        <w:rPr>
          <w:sz w:val="12"/>
        </w:rPr>
        <w:t xml:space="preserve">The idiosyncratic language and metalanguage of graffiti are also part of the political significance of the juxtaposition of a paste-up tersely saying “fuck Bush” below a more elaborate stencil with a threatening cartoon-like representation of then Vice-president Dick Cheney’s sneer, bearing the caption “you don’t know Dick.”8 There is no telling with certainty whether the “fuck Bush” paste-up came after the Dick Cheney stencil—although this looks likely considering the gray smudge on which “fuck Bush” is pasted and which seems to be part of the stencil. But to the viewer the paste-up reads like an appended commentary or subtitle to the stencil, whose coarseness overdetermines the otherwise dubious innuendo in the more cryptic “you don’t know Dick.” </w:t>
      </w:r>
      <w:r w:rsidRPr="00A965EA">
        <w:rPr>
          <w:b/>
          <w:u w:val="single"/>
        </w:rPr>
        <w:t xml:space="preserve">The </w:t>
      </w:r>
      <w:r w:rsidRPr="00A965EA">
        <w:rPr>
          <w:u w:val="single"/>
        </w:rPr>
        <w:t xml:space="preserve">virtually </w:t>
      </w:r>
      <w:r w:rsidRPr="00A965EA">
        <w:rPr>
          <w:b/>
          <w:u w:val="single"/>
        </w:rPr>
        <w:t xml:space="preserve">intrinsic link between graffiti and excretion </w:t>
      </w:r>
      <w:r w:rsidRPr="00A965EA">
        <w:rPr>
          <w:b/>
          <w:sz w:val="12"/>
        </w:rPr>
        <w:t>9</w:t>
      </w:r>
      <w:r w:rsidRPr="00A965EA">
        <w:rPr>
          <w:b/>
          <w:u w:val="single"/>
        </w:rPr>
        <w:t xml:space="preserve"> or ejaculation</w:t>
      </w:r>
      <w:r w:rsidRPr="00A965EA">
        <w:rPr>
          <w:u w:val="single"/>
        </w:rPr>
        <w:t xml:space="preserve"> </w:t>
      </w:r>
      <w:r w:rsidRPr="00A965EA">
        <w:rPr>
          <w:sz w:val="12"/>
        </w:rPr>
        <w:t xml:space="preserve">10 (Riout 21-24) </w:t>
      </w:r>
      <w:r w:rsidRPr="00A965EA">
        <w:rPr>
          <w:b/>
          <w:u w:val="single"/>
        </w:rPr>
        <w:t>is coextensive with graffiti being generally disparaged as irresponsible and immature behavior</w:t>
      </w:r>
      <w:r w:rsidRPr="00A965EA">
        <w:rPr>
          <w:u w:val="single"/>
        </w:rPr>
        <w:t xml:space="preserve">. </w:t>
      </w:r>
      <w:r w:rsidRPr="00A965EA">
        <w:rPr>
          <w:b/>
          <w:u w:val="single"/>
        </w:rPr>
        <w:t>The gratification of leaving one’s filthy stain on a public surface is akin to “a reminiscence of the young child’s scatological mode of expression in the anal sadistic stage”</w:t>
      </w:r>
      <w:r w:rsidRPr="00A965EA">
        <w:rPr>
          <w:sz w:val="12"/>
        </w:rPr>
        <w:t xml:space="preserve"> (Milon 121). The Cheney stencil uses a subtle reference to the downfall of Richard Nixon—which many, especially younger viewers likely miss—to signify either a threat directed at the Vice-president, or that Dick Cheney is a threat. But this original message becomes secondary to the cathartic utterance of offense. In this instance, </w:t>
      </w:r>
      <w:r w:rsidRPr="00A965EA">
        <w:rPr>
          <w:u w:val="single"/>
        </w:rPr>
        <w:t>the less political—</w:t>
      </w:r>
      <w:r w:rsidRPr="00A965EA">
        <w:rPr>
          <w:b/>
          <w:u w:val="single"/>
        </w:rPr>
        <w:t>the more infra-political</w:t>
      </w:r>
      <w:r w:rsidRPr="00A965EA">
        <w:rPr>
          <w:u w:val="single"/>
        </w:rPr>
        <w:t>—</w:t>
      </w:r>
      <w:r w:rsidRPr="00A965EA">
        <w:rPr>
          <w:b/>
          <w:u w:val="single"/>
        </w:rPr>
        <w:t>the mode of expression</w:t>
      </w:r>
      <w:r w:rsidRPr="00A965EA">
        <w:rPr>
          <w:u w:val="single"/>
        </w:rPr>
        <w:t xml:space="preserve">, </w:t>
      </w:r>
      <w:r w:rsidRPr="00A965EA">
        <w:rPr>
          <w:b/>
          <w:u w:val="single"/>
        </w:rPr>
        <w:t>the more protest graffiti verges on being a sheer outlet for angered citizens’</w:t>
      </w:r>
      <w:r w:rsidRPr="00A965EA">
        <w:rPr>
          <w:u w:val="single"/>
        </w:rPr>
        <w:t xml:space="preserve"> </w:t>
      </w:r>
      <w:r w:rsidRPr="00A965EA">
        <w:rPr>
          <w:sz w:val="12"/>
        </w:rPr>
        <w:t xml:space="preserve">(both author and viewers) </w:t>
      </w:r>
      <w:r w:rsidRPr="00A965EA">
        <w:rPr>
          <w:u w:val="single"/>
        </w:rPr>
        <w:t>frustration with an administration leading an unjust war in their name and violating civil liberties in the process.</w:t>
      </w:r>
      <w:r w:rsidRPr="00A965EA">
        <w:rPr>
          <w:sz w:val="12"/>
        </w:rPr>
        <w:t xml:space="preserve">11 Does the cathartic dimension of insult defuse the resentment, make it less political? Scott challenges this “safety-valve hypothesis”: far from hampering “true” resistance, such minor offenses as petty thefts perpetrated against an abusive master or employer, make up a “hidden transcript” of resistance. </w:t>
      </w:r>
      <w:r w:rsidRPr="00A965EA">
        <w:rPr>
          <w:b/>
          <w:u w:val="single"/>
        </w:rPr>
        <w:t>Being able to develop this hidden transcript discreetly nourishes the spirit of resistance</w:t>
      </w:r>
      <w:r w:rsidRPr="00A965EA">
        <w:rPr>
          <w:u w:val="single"/>
        </w:rPr>
        <w:t>, like embers ready to flare up into flames when the circumstances become favorable and a public transcript of resistance can emerge</w:t>
      </w:r>
      <w:r w:rsidRPr="00A965EA">
        <w:rPr>
          <w:sz w:val="12"/>
        </w:rPr>
        <w:t xml:space="preserve"> (188-191). I argue that </w:t>
      </w:r>
      <w:r w:rsidRPr="00A965EA">
        <w:rPr>
          <w:b/>
          <w:u w:val="single"/>
        </w:rPr>
        <w:t>the very jouissance of verbal offense in an act of vandalism</w:t>
      </w:r>
      <w:r w:rsidRPr="00A965EA">
        <w:rPr>
          <w:u w:val="single"/>
        </w:rPr>
        <w:t>—literally an offense—generates such infrapolitical resistance. Of course, graffiti is anything but hidden. Its very essence is to be seen.</w:t>
      </w:r>
      <w:r w:rsidRPr="00A965EA">
        <w:rPr>
          <w:sz w:val="12"/>
        </w:rPr>
        <w:t xml:space="preserve"> Arguably, plain and visible though the message might be, </w:t>
      </w:r>
      <w:r w:rsidRPr="00A965EA">
        <w:rPr>
          <w:u w:val="single"/>
        </w:rPr>
        <w:t xml:space="preserve">it is delivered anonymously, which is in itself a form of disguise </w:t>
      </w:r>
      <w:r w:rsidRPr="00A965EA">
        <w:rPr>
          <w:sz w:val="12"/>
        </w:rPr>
        <w:t xml:space="preserve">(Scott 140-152). But, I further argue, </w:t>
      </w:r>
      <w:r w:rsidRPr="00A965EA">
        <w:rPr>
          <w:b/>
          <w:u w:val="single"/>
        </w:rPr>
        <w:t>this graffiti’s language and metalanguage stage it in a way that creates indeterminacy</w:t>
      </w:r>
      <w:r w:rsidRPr="00A965EA">
        <w:rPr>
          <w:sz w:val="12"/>
        </w:rPr>
        <w:t>. The tagging subculture underlying the “torture” piece rather obviously likens it to a hidden transcript, because its language is not quite understandable to all viewers. But in the latter example, the coexistence of two messages and the elliptic nature of one leave the whole open to the viewer’s interpretation—or puzzlement, or indifference. As a result, even though the piece is on broad display and one of its component messages is rather blunt, it is “emerging ‘onstage’ . . . in disguised [form]” (Kelley 8). “</w:t>
      </w:r>
      <w:r w:rsidRPr="00A965EA">
        <w:rPr>
          <w:u w:val="single"/>
        </w:rPr>
        <w:t xml:space="preserve">Studies of </w:t>
      </w:r>
      <w:r w:rsidRPr="00A965EA">
        <w:rPr>
          <w:u w:val="single"/>
        </w:rPr>
        <w:lastRenderedPageBreak/>
        <w:t>everyday resistance,”</w:t>
      </w:r>
      <w:r w:rsidRPr="00A965EA">
        <w:rPr>
          <w:sz w:val="12"/>
        </w:rPr>
        <w:t xml:space="preserve"> according to Fox and Starn, make it possible to better grasp “</w:t>
      </w:r>
      <w:r w:rsidRPr="00A965EA">
        <w:rPr>
          <w:u w:val="single"/>
        </w:rPr>
        <w:t>the dialectic of compliance and opposition that takes into account the concealed as well as the visible, the scattered as well as the organized, the small as well as the massive”</w:t>
      </w:r>
      <w:r w:rsidRPr="00A965EA">
        <w:rPr>
          <w:sz w:val="12"/>
        </w:rPr>
        <w:t xml:space="preserve"> (3). I argue that </w:t>
      </w:r>
      <w:r w:rsidRPr="00A965EA">
        <w:rPr>
          <w:b/>
          <w:u w:val="single"/>
        </w:rPr>
        <w:t>the effectiveness of protest graffiti qua infrapolitical resistance lies in the personalization it allows</w:t>
      </w:r>
      <w:r w:rsidRPr="00A965EA">
        <w:rPr>
          <w:u w:val="single"/>
        </w:rPr>
        <w:t>.</w:t>
      </w:r>
      <w:r w:rsidRPr="00A965EA">
        <w:rPr>
          <w:sz w:val="12"/>
        </w:rPr>
        <w:t xml:space="preserve"> Not all of the famous British graffiti artist Banksy’s works convey explicit political content. But in representing an orange-clad, hooded kneeling figure (illus. 8) he quite literally embodies a critique of abusive extrajudicial detention in the War on Terror. In order to represent this life-sized evocation of an Abu Ghraib prisoner, the author had to assume a posture similar to that of his subject—close to the ground—and the outcome puts the viewer in the presence of a literally humiliated life-sized figure, which rather concretely brings home to the attentive passerby the reality of the far-off detention centers of Abu Ghraib or Guantánamo.12</w:t>
      </w:r>
    </w:p>
    <w:p xmlns:wp14="http://schemas.microsoft.com/office/word/2010/wordml" w:rsidRPr="00A965EA" w:rsidR="0082799E" w:rsidP="0082799E" w:rsidRDefault="0082799E" w14:paraId="751EA1A0" wp14:textId="77777777">
      <w:pPr>
        <w:pStyle w:val="Heading4"/>
        <w:rPr>
          <w:rStyle w:val="Style13ptBold"/>
          <w:rFonts w:cs="Arial"/>
          <w:b/>
          <w:u w:val="none"/>
        </w:rPr>
      </w:pPr>
      <w:r w:rsidRPr="00A965EA">
        <w:rPr>
          <w:rStyle w:val="Style13ptBold"/>
          <w:rFonts w:cs="Arial"/>
          <w:b/>
          <w:u w:val="none"/>
        </w:rPr>
        <w:t xml:space="preserve">Political Graffiti is illegal or unauthorized oppositional speech acts that operate within the infrapolitical and serve as a vehicle of resistance. </w:t>
      </w:r>
    </w:p>
    <w:p xmlns:wp14="http://schemas.microsoft.com/office/word/2010/wordml" w:rsidRPr="00A965EA" w:rsidR="0082799E" w:rsidP="0082799E" w:rsidRDefault="0082799E" w14:paraId="525F8F26" wp14:textId="77777777">
      <w:r w:rsidRPr="00A965EA">
        <w:rPr>
          <w:b/>
        </w:rPr>
        <w:t xml:space="preserve">Marche 12 </w:t>
      </w:r>
      <w:r w:rsidRPr="00A965EA">
        <w:t>(Guillaume, Professor of American Studies at the Universite Paris-Est Creteil in France, Member of IMAGER (Institute for the Study of English-, German-, and Romance Langugage-Speaking Spheres. Studies sexual identties, subjectitivty and the interplay between the cultural and political dimensions of collective mobilization. Expressivism and Resistance: Graffiti as an Infrapolitical Form of Protest against the War on Terror: revue francaise d’etudes americaines. 2012 https://www.cairn.info/revue-francaise-d-etudes-americaines-2012-1-page-78.htm) /// ONW</w:t>
      </w:r>
    </w:p>
    <w:p xmlns:wp14="http://schemas.microsoft.com/office/word/2010/wordml" w:rsidRPr="00A965EA" w:rsidR="0082799E" w:rsidP="0082799E" w:rsidRDefault="0082799E" w14:paraId="15522226" wp14:textId="77777777">
      <w:pPr>
        <w:rPr>
          <w:u w:val="single"/>
        </w:rPr>
      </w:pPr>
      <w:r w:rsidRPr="00A965EA">
        <w:rPr>
          <w:sz w:val="16"/>
        </w:rPr>
        <w:t>Graffiti is an ancient mode of expression which historians value as a useful source in order to identify the techniques available to perform it, accurately determine when a tomb was violated, or gauge evolutions in popular or oral speech (Riout 12; Lindsay; Garrucci; Reisner</w:t>
      </w:r>
      <w:r w:rsidRPr="00A965EA">
        <w:rPr>
          <w:sz w:val="16"/>
          <w:highlight w:val="yellow"/>
        </w:rPr>
        <w:t xml:space="preserve">). </w:t>
      </w:r>
      <w:r w:rsidRPr="00A965EA">
        <w:rPr>
          <w:b/>
          <w:highlight w:val="yellow"/>
          <w:u w:val="single"/>
        </w:rPr>
        <w:t>Graffiti</w:t>
      </w:r>
      <w:r w:rsidRPr="00A965EA">
        <w:rPr>
          <w:b/>
          <w:u w:val="single"/>
        </w:rPr>
        <w:t xml:space="preserve"> </w:t>
      </w:r>
      <w:r w:rsidRPr="00A965EA">
        <w:rPr>
          <w:b/>
          <w:highlight w:val="yellow"/>
          <w:u w:val="single"/>
        </w:rPr>
        <w:t>is</w:t>
      </w:r>
      <w:r w:rsidRPr="00A965EA">
        <w:rPr>
          <w:sz w:val="16"/>
        </w:rPr>
        <w:t xml:space="preserve"> also </w:t>
      </w:r>
      <w:r w:rsidRPr="00A965EA">
        <w:rPr>
          <w:b/>
          <w:highlight w:val="yellow"/>
          <w:u w:val="single"/>
        </w:rPr>
        <w:t>a vehicle of resistance</w:t>
      </w:r>
      <w:r w:rsidRPr="00A965EA">
        <w:rPr>
          <w:b/>
          <w:u w:val="single"/>
        </w:rPr>
        <w:t>.</w:t>
      </w:r>
      <w:r w:rsidRPr="00A965EA">
        <w:rPr>
          <w:sz w:val="16"/>
        </w:rPr>
        <w:t xml:space="preserve"> </w:t>
      </w:r>
      <w:r w:rsidRPr="00A965EA">
        <w:rPr>
          <w:u w:val="single"/>
        </w:rPr>
        <w:t xml:space="preserve">In World War Two Spain, inscribing “V” signs on the walls after RAF bombings signified support of the Allied forces, whereas </w:t>
      </w:r>
      <w:r w:rsidRPr="00A965EA">
        <w:rPr>
          <w:b/>
          <w:u w:val="single"/>
        </w:rPr>
        <w:t>during the Civil War anti-Franco activists wrote the letter “P” as a call to protest, using graffiti as a communication device to propagate censored information</w:t>
      </w:r>
      <w:r w:rsidRPr="00A965EA">
        <w:rPr>
          <w:sz w:val="16"/>
        </w:rPr>
        <w:t xml:space="preserve"> (Riout 16</w:t>
      </w:r>
      <w:r w:rsidRPr="00A965EA">
        <w:rPr>
          <w:b/>
          <w:sz w:val="16"/>
        </w:rPr>
        <w:t xml:space="preserve">). </w:t>
      </w:r>
      <w:r w:rsidRPr="00A965EA">
        <w:rPr>
          <w:b/>
          <w:highlight w:val="yellow"/>
          <w:u w:val="single"/>
        </w:rPr>
        <w:t>Graffiti on the Berlin Wall</w:t>
      </w:r>
      <w:r w:rsidRPr="00A965EA">
        <w:rPr>
          <w:u w:val="single"/>
        </w:rPr>
        <w:t xml:space="preserve"> from 1961 to 1989, and on the “Security Fence” currently separating Israel from part of the Palestinian territories are on the side opposite the builders’, thus </w:t>
      </w:r>
      <w:r w:rsidRPr="00A965EA">
        <w:rPr>
          <w:b/>
          <w:highlight w:val="yellow"/>
          <w:u w:val="single"/>
        </w:rPr>
        <w:t>express</w:t>
      </w:r>
      <w:r w:rsidRPr="00A965EA">
        <w:rPr>
          <w:u w:val="single"/>
        </w:rPr>
        <w:t xml:space="preserve">ing </w:t>
      </w:r>
      <w:r w:rsidRPr="00A965EA">
        <w:rPr>
          <w:b/>
          <w:highlight w:val="yellow"/>
          <w:u w:val="single"/>
        </w:rPr>
        <w:t>resistance to the building</w:t>
      </w:r>
      <w:r w:rsidRPr="00A965EA">
        <w:rPr>
          <w:b/>
          <w:u w:val="single"/>
        </w:rPr>
        <w:t>.</w:t>
      </w:r>
      <w:r w:rsidRPr="00A965EA">
        <w:rPr>
          <w:sz w:val="16"/>
        </w:rPr>
        <w:t xml:space="preserve">1 Existing literature on graffiti as a protest medium highlights for instance the May 1968 uprising in France, whose situationist-inspired motto was to change life here and now without waiting for the Glorious Day (Riout 61; Harding 133; B. Macdonald 25-26). May </w:t>
      </w:r>
      <w:r w:rsidRPr="00A965EA">
        <w:rPr>
          <w:u w:val="single"/>
        </w:rPr>
        <w:t>1</w:t>
      </w:r>
      <w:r w:rsidRPr="00A965EA">
        <w:rPr>
          <w:b/>
          <w:u w:val="single"/>
        </w:rPr>
        <w:t xml:space="preserve">968 </w:t>
      </w:r>
      <w:r w:rsidRPr="00A965EA">
        <w:rPr>
          <w:b/>
          <w:highlight w:val="yellow"/>
          <w:u w:val="single"/>
        </w:rPr>
        <w:t>graffiti expressed unauthorized social and political aphorisms, such as the famous “take your desires for realities</w:t>
      </w:r>
      <w:r w:rsidRPr="00A965EA">
        <w:rPr>
          <w:highlight w:val="yellow"/>
          <w:u w:val="single"/>
        </w:rPr>
        <w:t>”</w:t>
      </w:r>
      <w:r w:rsidRPr="00A965EA">
        <w:rPr>
          <w:u w:val="single"/>
        </w:rPr>
        <w:t xml:space="preserve"> </w:t>
      </w:r>
      <w:r w:rsidRPr="00A965EA">
        <w:rPr>
          <w:sz w:val="16"/>
        </w:rPr>
        <w:t xml:space="preserve">(No ©opyright 10). </w:t>
      </w:r>
      <w:r w:rsidRPr="00A965EA">
        <w:rPr>
          <w:u w:val="single"/>
        </w:rPr>
        <w:t xml:space="preserve">Murals are also a part of various popular or resistance movements: </w:t>
      </w:r>
      <w:r w:rsidRPr="00A965EA">
        <w:rPr>
          <w:sz w:val="16"/>
        </w:rPr>
        <w:t xml:space="preserve">in Mexico in the 1920s and 1930s, social realist artists such as Diego Rivera, José Clemente Orozco, and David Alfaro </w:t>
      </w:r>
      <w:r w:rsidRPr="00A965EA">
        <w:rPr>
          <w:u w:val="single"/>
        </w:rPr>
        <w:t>Siquieros made political use of the pulquería tradition—decorating the outside walls of stores or other buildings</w:t>
      </w:r>
      <w:r w:rsidRPr="00A965EA">
        <w:rPr>
          <w:sz w:val="16"/>
        </w:rPr>
        <w:t xml:space="preserve"> (Chaffee; Nevaer). </w:t>
      </w:r>
      <w:r w:rsidRPr="00A965EA">
        <w:rPr>
          <w:u w:val="single"/>
        </w:rPr>
        <w:t>This tradition was famously revived in the United States in the 1960s by the Chicano movemen</w:t>
      </w:r>
      <w:r w:rsidRPr="00A965EA">
        <w:rPr>
          <w:sz w:val="16"/>
        </w:rPr>
        <w:t xml:space="preserve">t (Reed 106). Similarly murals in Ulster enhance either community’s cohesion by paying tribute to heroes or by reiterating and exalting the tenets of the conflict (Rolston). But </w:t>
      </w:r>
      <w:r w:rsidRPr="00A965EA">
        <w:rPr>
          <w:u w:val="single"/>
        </w:rPr>
        <w:t xml:space="preserve">murals differ from graffiti in that they are usually made with a building’s owner’s or occupants’ assent. </w:t>
      </w:r>
      <w:r w:rsidRPr="00A965EA">
        <w:rPr>
          <w:b/>
          <w:highlight w:val="yellow"/>
          <w:u w:val="single"/>
        </w:rPr>
        <w:t>Being illegal or unauthorized, graffiti</w:t>
      </w:r>
      <w:r w:rsidRPr="00A965EA">
        <w:rPr>
          <w:b/>
          <w:u w:val="single"/>
        </w:rPr>
        <w:t xml:space="preserve"> </w:t>
      </w:r>
      <w:r w:rsidRPr="00A965EA">
        <w:rPr>
          <w:b/>
          <w:highlight w:val="yellow"/>
          <w:u w:val="single"/>
        </w:rPr>
        <w:t>amount to</w:t>
      </w:r>
      <w:r w:rsidRPr="00A965EA">
        <w:rPr>
          <w:b/>
          <w:u w:val="single"/>
        </w:rPr>
        <w:t xml:space="preserve"> </w:t>
      </w:r>
      <w:r w:rsidRPr="00A965EA">
        <w:rPr>
          <w:u w:val="single"/>
        </w:rPr>
        <w:t xml:space="preserve">what Hank Johnston calls </w:t>
      </w:r>
      <w:r w:rsidRPr="00A965EA">
        <w:rPr>
          <w:highlight w:val="yellow"/>
          <w:u w:val="single"/>
        </w:rPr>
        <w:t>“</w:t>
      </w:r>
      <w:r w:rsidRPr="00A965EA">
        <w:rPr>
          <w:b/>
          <w:highlight w:val="yellow"/>
          <w:u w:val="single"/>
        </w:rPr>
        <w:t>oppositional speech acts.”</w:t>
      </w:r>
      <w:r w:rsidRPr="00A965EA">
        <w:rPr>
          <w:b/>
          <w:u w:val="single"/>
        </w:rPr>
        <w:t xml:space="preserve"> These are crucial when it is difficult to engage in oppositional political acts: “when political opportunities are severely constricted, much of the doing of contentious politics is talking about it”</w:t>
      </w:r>
      <w:r w:rsidRPr="00A965EA">
        <w:rPr>
          <w:u w:val="single"/>
        </w:rPr>
        <w:t xml:space="preserve"> </w:t>
      </w:r>
      <w:r w:rsidRPr="00A965EA">
        <w:rPr>
          <w:sz w:val="16"/>
        </w:rPr>
        <w:t xml:space="preserve">(108). </w:t>
      </w:r>
      <w:r w:rsidRPr="00A965EA">
        <w:rPr>
          <w:u w:val="single"/>
        </w:rPr>
        <w:t xml:space="preserve">In unfavorable political circumstances, </w:t>
      </w:r>
      <w:r w:rsidRPr="00A965EA">
        <w:rPr>
          <w:b/>
          <w:highlight w:val="yellow"/>
          <w:u w:val="single"/>
        </w:rPr>
        <w:t>oppositional speech acts create</w:t>
      </w:r>
      <w:r w:rsidRPr="00A965EA">
        <w:rPr>
          <w:u w:val="single"/>
        </w:rPr>
        <w:t xml:space="preserve"> what Francesca Polletta terms </w:t>
      </w:r>
      <w:r w:rsidRPr="00A965EA">
        <w:rPr>
          <w:b/>
          <w:highlight w:val="yellow"/>
          <w:u w:val="single"/>
        </w:rPr>
        <w:t>“free spaces”: physical or symbolical spaces where it becomes possible to develop oppositional frames</w:t>
      </w:r>
      <w:r w:rsidRPr="00A965EA">
        <w:rPr>
          <w:b/>
          <w:sz w:val="16"/>
        </w:rPr>
        <w:t xml:space="preserve"> </w:t>
      </w:r>
      <w:r w:rsidRPr="00A965EA">
        <w:rPr>
          <w:sz w:val="16"/>
        </w:rPr>
        <w:t xml:space="preserve">(Polletta 1-38; Johnston 109-110). For instance, Philippe </w:t>
      </w:r>
      <w:r w:rsidRPr="00A965EA">
        <w:rPr>
          <w:u w:val="single"/>
        </w:rPr>
        <w:t>Artières and</w:t>
      </w:r>
      <w:r w:rsidRPr="00A965EA">
        <w:rPr>
          <w:sz w:val="16"/>
        </w:rPr>
        <w:t xml:space="preserve"> Pawet </w:t>
      </w:r>
      <w:r w:rsidRPr="00A965EA">
        <w:rPr>
          <w:u w:val="single"/>
        </w:rPr>
        <w:t>Rodak describe graffiti in communist-led Poland as one of the main ways in which, in an “urban space that is dominated by a graphic order . . . social actors engage in a resistance movement whose main weapon is written words” (134). This contribution explores the oppositional potential of protest graffiti by highlighting the various implications of its being an infrapolitical form of intervention in public spaces</w:t>
      </w:r>
      <w:r w:rsidRPr="00A965EA">
        <w:rPr>
          <w:sz w:val="16"/>
        </w:rPr>
        <w:t xml:space="preserve">.2 Drawing from the work of James Scott, Richard Fox and Orin Starn, and Robin Kelley, I regard as infrapolitics those practices which verge on being political, but lie below the threshold of what qualifies as such. As studied by Scott, Fox and Starn, or Kelley, infrapolitics refers to subjects in subaltern positions resisting by means of their own devising, </w:t>
      </w:r>
      <w:r w:rsidRPr="00A965EA">
        <w:rPr>
          <w:sz w:val="16"/>
        </w:rPr>
        <w:lastRenderedPageBreak/>
        <w:t xml:space="preserve">usually for lack of access to, or opportunities in, the legitimate political field. This article does not so much address the issue of graffiti authors’ subaltern status, as the disqualified status of their medium of expression. This is why, unlike studies which approach protest graffiti as a not-quite-political manifestation of otherwise fully-fledged social movements, I hypothesize that </w:t>
      </w:r>
      <w:r w:rsidRPr="00A965EA">
        <w:rPr>
          <w:b/>
          <w:highlight w:val="yellow"/>
          <w:u w:val="single"/>
        </w:rPr>
        <w:t>protest graffiti achieves a peculiar form of intervention in the public sphere due to its being infrapolitical</w:t>
      </w:r>
      <w:r w:rsidRPr="00A965EA">
        <w:rPr>
          <w:b/>
          <w:u w:val="single"/>
        </w:rPr>
        <w:t>.</w:t>
      </w:r>
      <w:r w:rsidRPr="00A965EA">
        <w:rPr>
          <w:b/>
          <w:sz w:val="16"/>
        </w:rPr>
        <w:t xml:space="preserve"> </w:t>
      </w:r>
      <w:r w:rsidRPr="00A965EA">
        <w:rPr>
          <w:sz w:val="16"/>
        </w:rPr>
        <w:t>I base my argument on a sample of protest graffiti against the War on Terror and the Iraq War. This focus is both opportunistic, due to the availability of abundant material, and scientifically pertinent: examining public inscriptions of dissent on a highly political topic helps highlight the significance of a protest vehicle which remains below the threshold of the political. Conducting interviews with graffiti authors would help assess their intent, but this article purports to grasp what protest graffiti may effect</w:t>
      </w:r>
      <w:r w:rsidRPr="00A965EA">
        <w:rPr>
          <w:u w:val="single"/>
        </w:rPr>
        <w:t xml:space="preserve">. This somewhat depersonalized approach paradoxically points to indirect forms of personalization, which are central to graffiti’s political significance, </w:t>
      </w:r>
      <w:r w:rsidRPr="00A965EA">
        <w:rPr>
          <w:b/>
          <w:highlight w:val="yellow"/>
          <w:u w:val="single"/>
        </w:rPr>
        <w:t>since graffiti are visual artifacts that confront their viewers with challenging messages, which often even defy intelligibility</w:t>
      </w:r>
      <w:r w:rsidRPr="00A965EA">
        <w:rPr>
          <w:u w:val="single"/>
        </w:rPr>
        <w:t>.</w:t>
      </w:r>
      <w:r w:rsidRPr="00A965EA">
        <w:rPr>
          <w:sz w:val="16"/>
        </w:rPr>
        <w:t xml:space="preserve"> After briefly contrasting the expressivism and resistance conveyed by graffiti, I focus on graffiti that have an explicit political referent to discuss whether the infrapolitics inherent to the medium limit the extent of its significance. I finally suggest that </w:t>
      </w:r>
      <w:r w:rsidRPr="00A965EA">
        <w:rPr>
          <w:b/>
          <w:u w:val="single"/>
        </w:rPr>
        <w:t>this infrapolitical medium allows complex virtual interactions between authors and viewers,</w:t>
      </w:r>
      <w:r w:rsidRPr="00A965EA">
        <w:rPr>
          <w:u w:val="single"/>
        </w:rPr>
        <w:t xml:space="preserve"> which associate pleasure and emotions with the deployment of an oppositional consciousness.</w:t>
      </w:r>
    </w:p>
    <w:p xmlns:wp14="http://schemas.microsoft.com/office/word/2010/wordml" w:rsidR="0082799E" w:rsidP="0082799E" w:rsidRDefault="0082799E" w14:paraId="40AD7C55" wp14:textId="77777777">
      <w:pPr>
        <w:pStyle w:val="Heading4"/>
        <w:rPr>
          <w:highlight w:val="white"/>
        </w:rPr>
      </w:pPr>
      <w:r>
        <w:rPr>
          <w:highlight w:val="white"/>
        </w:rPr>
        <w:t xml:space="preserve">Infra-politics are bomb – accounts for processes which are liminal to politics enabling us to think and act at the level of everyday practices and challenges the dominance of proper politics as the locus of change </w:t>
      </w:r>
    </w:p>
    <w:p xmlns:wp14="http://schemas.microsoft.com/office/word/2010/wordml" w:rsidR="0082799E" w:rsidP="0082799E" w:rsidRDefault="0082799E" w14:paraId="02C7AF15" wp14:textId="77777777">
      <w:pPr>
        <w:spacing w:line="240" w:lineRule="auto"/>
        <w:rPr>
          <w:color w:val="1F1F1F"/>
        </w:rPr>
      </w:pPr>
      <w:r w:rsidRPr="004C63D7">
        <w:rPr>
          <w:rStyle w:val="Style13ptBold"/>
          <w:highlight w:val="white"/>
        </w:rPr>
        <w:t>Marche 12</w:t>
      </w:r>
      <w:r>
        <w:rPr>
          <w:color w:val="323232"/>
          <w:highlight w:val="white"/>
        </w:rPr>
        <w:t xml:space="preserve"> [Guillaume. -- associate professor of American Studies at Universite Paris-Est Creteil who specializes in contemporary social movements. «Why Infrapolitics Matters», </w:t>
      </w:r>
      <w:r>
        <w:rPr>
          <w:i/>
          <w:color w:val="323232"/>
          <w:highlight w:val="white"/>
        </w:rPr>
        <w:t>Revue française d’études américaines</w:t>
      </w:r>
      <w:r>
        <w:rPr>
          <w:color w:val="323232"/>
          <w:highlight w:val="white"/>
        </w:rPr>
        <w:t>, vol. 131, no. 1, 2012, pp. 3-18.]</w:t>
      </w:r>
    </w:p>
    <w:p xmlns:wp14="http://schemas.microsoft.com/office/word/2010/wordml" w:rsidR="0082799E" w:rsidP="0082799E" w:rsidRDefault="0082799E" w14:paraId="7FF1DF03" wp14:textId="77777777">
      <w:pPr>
        <w:spacing w:before="220" w:line="240" w:lineRule="auto"/>
        <w:rPr>
          <w:color w:val="1F1F1F"/>
        </w:rPr>
      </w:pPr>
      <w:r>
        <w:rPr>
          <w:color w:val="1F1F1F"/>
        </w:rPr>
        <w:t xml:space="preserve">French specialists of the United States have also resorted to infrapolitics in order to account for processes which are liminal to politics, such as Emanuelle Le Texier’s study of everyday practices among Latina women in San Diego’s </w:t>
      </w:r>
      <w:r>
        <w:rPr>
          <w:i/>
          <w:color w:val="1F1F1F"/>
        </w:rPr>
        <w:t>barrio</w:t>
      </w:r>
      <w:r>
        <w:rPr>
          <w:color w:val="1F1F1F"/>
        </w:rPr>
        <w:t xml:space="preserve">, which achieve a distinct form of social organization or of collective identity. Such approaches specifically emphasize the cultural dimension of intermediary forms of resistance. As Fox and Starn put it: “Our premise is that protest necessarily involves struggle over ideas, identities, symbols, and strategies... and we assert the inextricability of the culture of politics and the politics of culture in mobilization” (3). The contributions to this issue also use infrapolitics to shed light on the liminality and interconnection between culture and politics. Whereas the essays by Macke and myself, and the interview with Shepard specifically focus on cultural practices—respectively musical, visual, and theatrical—to unveil how they </w:t>
      </w:r>
      <w:r>
        <w:rPr>
          <w:i/>
          <w:color w:val="1F1F1F"/>
        </w:rPr>
        <w:t>obliquely</w:t>
      </w:r>
      <w:r>
        <w:rPr>
          <w:color w:val="1F1F1F"/>
        </w:rPr>
        <w:t xml:space="preserve"> contribute to a political affirmation, Alvarez, Baudry, and Velut take culture in a broader sense to analyze everyday practices—dressing, gardening, and consuming—as vehicles of collective affirmation or collective action that </w:t>
      </w:r>
      <w:r>
        <w:rPr>
          <w:i/>
          <w:color w:val="1F1F1F"/>
        </w:rPr>
        <w:t>embody</w:t>
      </w:r>
      <w:r>
        <w:rPr>
          <w:color w:val="1F1F1F"/>
        </w:rPr>
        <w:t xml:space="preserve"> the political in social actors’ experience, thus making it at once more elusive and more intimate. However, the following essays suggest, invoking infrapolitics to make sense of mobilizations is not just shorthand for addressing the significance of culture in social movements. Scholars working within the “new social movement” paradigm of social movement theory in the wake of Alain Touraine and Alberto Melucci have, of course, highlighted the symbolical dimension of collective action. </w:t>
      </w:r>
      <w:hyperlink w:anchor="no4" r:id="rId9">
        <w:r>
          <w:rPr>
            <w:b/>
            <w:color w:val="4BB2AC"/>
          </w:rPr>
          <w:t>[3]</w:t>
        </w:r>
      </w:hyperlink>
      <w:hyperlink w:anchor="no4" r:id="rId10">
        <w:r>
          <w:rPr>
            <w:b/>
            <w:color w:val="4BB2AC"/>
          </w:rPr>
          <w:t>[3]</w:t>
        </w:r>
      </w:hyperlink>
      <w:hyperlink w:anchor="no4" r:id="rId11">
        <w:r>
          <w:t xml:space="preserve"> This is also the focus of two important collections...</w:t>
        </w:r>
      </w:hyperlink>
      <w:r>
        <w:rPr>
          <w:color w:val="1F1F1F"/>
        </w:rPr>
        <w:t xml:space="preserve"> More recently, Francesca Polletta’s groundbreaking work has also shown how narratives—whether truthful or not—are not just emotional additions to mobilizations, but play an effective part in them; and James Jasper has argued that, far from being an insignificant aspect of social movements, emotions are the mainspring whereby social actors construct—or fail to construct—political identities that are in agreement with their deep, subjective selves. This rich body of literature has claimed that, in order to attain a better understanding of the reasons why people participate in social movements, we need to wonder what participation </w:t>
      </w:r>
      <w:r>
        <w:rPr>
          <w:i/>
          <w:color w:val="1F1F1F"/>
        </w:rPr>
        <w:t>means</w:t>
      </w:r>
      <w:r>
        <w:rPr>
          <w:color w:val="1F1F1F"/>
        </w:rPr>
        <w:t xml:space="preserve"> to them. But focusing on infrapolitics means shifting the emphasis to the specific imbrications of culture and politics in </w:t>
      </w:r>
      <w:r>
        <w:rPr>
          <w:color w:val="1F1F1F"/>
        </w:rPr>
        <w:lastRenderedPageBreak/>
        <w:t xml:space="preserve">mobilizations that either fail to qualify as political (which we may term </w:t>
      </w:r>
      <w:r>
        <w:rPr>
          <w:i/>
          <w:color w:val="1F1F1F"/>
        </w:rPr>
        <w:t>sub-political</w:t>
      </w:r>
      <w:r>
        <w:rPr>
          <w:color w:val="1F1F1F"/>
        </w:rPr>
        <w:t xml:space="preserve">), or address political issues with politically disqualified means (which we may term </w:t>
      </w:r>
      <w:r>
        <w:rPr>
          <w:i/>
          <w:color w:val="1F1F1F"/>
        </w:rPr>
        <w:t>quasi-political</w:t>
      </w:r>
      <w:r>
        <w:rPr>
          <w:color w:val="1F1F1F"/>
        </w:rPr>
        <w:t xml:space="preserve">). This is not quite the same as likening “fragmented forms of resistance” to Gramsci’s “war of position,” which Owen Worth and Carmen Kuhling define as “subtle forms of contestation that are strategically aimed at transforming common sense and consciousness” (34-35). Nor is it equivalent, for instance, to Bleuwenn Lechaux’s recent study of activist street theater by such groups as the Billionaires for Bush and Reverend Billy, whose “non-preaching” irony allows participants to reconcile their militant identity with their professional identity as stage actors. Instead, I find truth in this definition by Alberto Moreiras: Infrapolitical action is the type of symbolic action in the real that refuses an identification with the political. That is, it refuses to understand itself as political action, as an action in the political sphere, which is the sphere of power relations between people. It enacts a rupture from the political, not in the name of the political, but rather in the name of an essential affirmation that, while involving the ethical, cannot confine itself to the ethical. Infrapolitical action exceeds the political and it exceeds the ethical, but it is still a practical action oriented to the relation between people. Even though it is articulated in a context, and for purposes, that considerably differ from ours—namely a philosophical exploration of Hispanism as a valid category for the study of Latin American literature—Moreiras’s definition invites us to consider how infrapolitics operates in its own right, rather than regarding it simply as a stepping stone or a preliminary to politics. </w:t>
      </w:r>
    </w:p>
    <w:p xmlns:wp14="http://schemas.microsoft.com/office/word/2010/wordml" w:rsidR="0082799E" w:rsidP="0082799E" w:rsidRDefault="0082799E" w14:paraId="5F90AEED" wp14:textId="77777777">
      <w:pPr>
        <w:pStyle w:val="Heading4"/>
      </w:pPr>
      <w:r>
        <w:t xml:space="preserve">This is a great card </w:t>
      </w:r>
    </w:p>
    <w:p xmlns:wp14="http://schemas.microsoft.com/office/word/2010/wordml" w:rsidR="0082799E" w:rsidP="0082799E" w:rsidRDefault="0082799E" w14:paraId="59B10772" wp14:textId="77777777">
      <w:pPr>
        <w:spacing w:line="240" w:lineRule="auto"/>
      </w:pPr>
      <w:r w:rsidRPr="00554A7E">
        <w:rPr>
          <w:rStyle w:val="Style13ptBold"/>
          <w:highlight w:val="white"/>
        </w:rPr>
        <w:t>Marche 1</w:t>
      </w:r>
      <w:r>
        <w:rPr>
          <w:color w:val="323232"/>
          <w:highlight w:val="white"/>
        </w:rPr>
        <w:t xml:space="preserve">2 [Guillaume. -- associate professor of American Studies at Universite Paris-Est Creteil who specializes in contemporary social movements. «Why Infrapolitics Matters», </w:t>
      </w:r>
      <w:r>
        <w:rPr>
          <w:i/>
          <w:color w:val="323232"/>
          <w:highlight w:val="white"/>
        </w:rPr>
        <w:t>Revue française d’études américaines</w:t>
      </w:r>
      <w:r>
        <w:rPr>
          <w:color w:val="323232"/>
          <w:highlight w:val="white"/>
        </w:rPr>
        <w:t>, vol. 131, no. 1, 2012, pp. 3-18.]</w:t>
      </w:r>
    </w:p>
    <w:p xmlns:wp14="http://schemas.microsoft.com/office/word/2010/wordml" w:rsidR="0082799E" w:rsidP="0082799E" w:rsidRDefault="0082799E" w14:paraId="3B675F59" wp14:textId="77777777">
      <w:pPr>
        <w:spacing w:line="240" w:lineRule="auto"/>
        <w:rPr>
          <w:color w:val="1F1F1F"/>
        </w:rPr>
      </w:pPr>
      <w:r>
        <w:rPr>
          <w:color w:val="1F1F1F"/>
        </w:rPr>
        <w:t xml:space="preserve">The concept of infrapolitics was most clearly articulated by anthropologist James C. Scott in his 1990 </w:t>
      </w:r>
      <w:r>
        <w:rPr>
          <w:i/>
          <w:color w:val="1F1F1F"/>
        </w:rPr>
        <w:t>Domination and the Arts of Resistance: Hidden Transcripts</w:t>
      </w:r>
      <w:r>
        <w:rPr>
          <w:color w:val="1F1F1F"/>
        </w:rPr>
        <w:t xml:space="preserve">, which defines the infrapolitical as the cultural and structural substratum of those more visible forms of action that attract most scholarly attention. “So long as we confine our conception of the political to activity that is openly declared,” Scott asserts, “we are driven to conclude that subordinate groups essentially lack a political life or that what political life they do have is restricted to those exceptional moments of popular explosion” (1990, 199). By focusing on subaltern people Scott has challenged scholarship on dissent and protest to reassess the definition of interventions in the public sphere. One of his contributions to an understanding of not quite political forms of action is his critique of the “safety valve” theory—the notion, for instance, that carnivals offer opportunities for cathartic representations of rebellion, which in turn deflect the possibility of actual rebellion. On the contrary, Scott claims, historical records document the occurrence of slave, peasant, and serf rebellions during carnivals (1990 172-182, 188). Subaltern forms of resistance produce “hidden transcripts,” that is to say critiques of power that escape the notice of the dominant and contrast with the “public transcripts” of power relations, which may contain no record of opposition. Such discretion allows the dominated to covertly resist being symbolically appropriated by the dominant. “[T]heft, pilfering, feigned ignorance, shirking or careless labor, foot-dragging, secret trade and production for sale, sabotage of crops, livestock, and machinery, arson, flight” are among the stratagems through which the dominated surreptitiously counter or minimize their material appropriation (1990 188). Not only do these hidden transcripts </w:t>
      </w:r>
      <w:r>
        <w:rPr>
          <w:i/>
          <w:color w:val="1F1F1F"/>
        </w:rPr>
        <w:t>not</w:t>
      </w:r>
      <w:r>
        <w:rPr>
          <w:color w:val="1F1F1F"/>
        </w:rPr>
        <w:t xml:space="preserve">hamper actual resistance, Scott argues, they “sustain resistance in the same way in which the informal peer pressure of factory workers discourage any individual worker from exceeding work norms and becoming a rate-buster” (1990 191). Infrapolitical acts thus operate insidiously, beneath the threshold of political detectability, which makes them all the more reliable vehicles of resistance: the less detectable they are, the more efficiently they conceal the resistance they inspire in the dominated. Infrapolitical forms of resistance thus do </w:t>
      </w:r>
      <w:r>
        <w:rPr>
          <w:color w:val="1F1F1F"/>
        </w:rPr>
        <w:lastRenderedPageBreak/>
        <w:t xml:space="preserve">matter politically, because these “offstage” discursive practices are “continually pressing against the limit of what is permitted onstage, much as a body of water might press against a dam” (Scott, 1990 196). Unobtrusive acts of insubordination not only exact a cost on the dominant, but they represent a threat if they are not held under check—and they </w:t>
      </w:r>
      <w:r>
        <w:rPr>
          <w:i/>
          <w:color w:val="1F1F1F"/>
        </w:rPr>
        <w:t>cannot</w:t>
      </w:r>
      <w:r>
        <w:rPr>
          <w:color w:val="1F1F1F"/>
        </w:rPr>
        <w:t xml:space="preserve"> be held under check for lack of being noticed, as Scott shows in his 1985 study of a small village in Malaysia, </w:t>
      </w:r>
      <w:r>
        <w:rPr>
          <w:i/>
          <w:color w:val="1F1F1F"/>
        </w:rPr>
        <w:t>Weapons of the Weak: Everyday Forms of Peasant Resistance</w:t>
      </w:r>
      <w:r>
        <w:rPr>
          <w:color w:val="1F1F1F"/>
        </w:rPr>
        <w:t xml:space="preserve">, which is also reminiscent of Eric Hobsbawm’s work on marginal rebellions in Europe in the nineteenth and twentieth centuries. Scott’s work thus raises crucial questions for this edited issue on infrapolitics and mobilizations, especially whether or not—or under which historical or social circumstances—actors go below the political radar for lack of opportunities to use institutional channels or conventional vehicles of collective action. This is, in part, why some analysts have characterized the 2005 urban riots in France as infrapolitical: the upsurge of rebellion expressed a sense of exasperation and outrage at being denied recognition and respect, on the part of youths of immigrant origin living in impoverished neighborhoods, whether it is to be regarded as a form of collective action unto itself despite its unorthodox form (Lapeyronnie), or as the nascent stage of a more distinctly political mobilization via elections or advocacy (Kokoreff). This issue of the </w:t>
      </w:r>
      <w:r>
        <w:rPr>
          <w:i/>
          <w:color w:val="1F1F1F"/>
        </w:rPr>
        <w:t>Revue française d’études américaines</w:t>
      </w:r>
      <w:r>
        <w:rPr>
          <w:color w:val="1F1F1F"/>
        </w:rPr>
        <w:t xml:space="preserve"> partly corroborates this view. Sandrine Baudry shows how disenfranchised urban populations use “greening”—i.e. urban horticulture and agriculture—in order to stake out their legitimate position as city denizens, in the face of a for-profit, privatized model of urbanism. Aline Macke presents young American Muslims’ use of punk-rock music as a way of shaping a collective identity in a social and political environment that pigeonholes them into categories with which they do not identify. To some extent, Jean-Baptiste Velut concurs with this view in his analysis of the student anti-sweatshop movement’s use of extra-governmental strategies, which argues that consumption-related means of action allow organizers to keep collective mobilization closer to their target audience’s biographical experience. But Scott’s definition of infrapolitics is also an invitation to pay attention to the relationship between the medium and the signification of infrapolitical protest, resistance, and mobilization: we may hypothesize that certain significations can only or will best be expressed in stealthy or discredited ways, and that the choice of informal or marginal channels may be the condition for the reception of certain meanings. This is what some of the following essays emphasize. In his piece on the 1943 zoot-suit riots in Los Angeles, Luis Alvarez shows social actors who forcefully challenged the contours of the national polity. Rather than compensating for lack of opportunities, my own contribution argues, protest graffiti can constitute powerful forms of infrapolitical mobilization because they have the potential to convey alternative oppositional meanings. Benjamin Shepard also insists that the Church Ladies for Choice contribute to an LGBT mobilization for abortion rights by deploying play, humor, and emotions such as friendship and mutual support. More generally, Baudry, Shepard, and I all refer to the legacy of situationist strategies of “</w:t>
      </w:r>
      <w:r>
        <w:rPr>
          <w:i/>
          <w:color w:val="1F1F1F"/>
        </w:rPr>
        <w:t>détournement</w:t>
      </w:r>
      <w:r>
        <w:rPr>
          <w:color w:val="1F1F1F"/>
        </w:rPr>
        <w:t xml:space="preserve">” whereby conventional signs are subverted to articulate oppositional messages. In this way, too, infrapolitical forms of mobilization are akin to the “tactics” which Michel de Certeau contrasts with “strategies”: these “apparently meaningless” practices can express resistance, since “they remain heterogeneous to the systems they infiltrate and in which they sketch out the guileful ruses of </w:t>
      </w:r>
      <w:r>
        <w:rPr>
          <w:i/>
          <w:color w:val="1F1F1F"/>
        </w:rPr>
        <w:t>different</w:t>
      </w:r>
      <w:r>
        <w:rPr>
          <w:color w:val="1F1F1F"/>
        </w:rPr>
        <w:t xml:space="preserve"> interests and desires” (34).</w:t>
      </w:r>
    </w:p>
    <w:p xmlns:wp14="http://schemas.microsoft.com/office/word/2010/wordml" w:rsidRPr="000A1182" w:rsidR="0082799E" w:rsidP="0082799E" w:rsidRDefault="0082799E" w14:paraId="0FB78278" wp14:textId="77777777"/>
    <w:p xmlns:wp14="http://schemas.microsoft.com/office/word/2010/wordml" w:rsidRPr="00186193" w:rsidR="0082799E" w:rsidP="0082799E" w:rsidRDefault="0082799E" w14:paraId="1FC39945" wp14:textId="77777777"/>
    <w:p xmlns:wp14="http://schemas.microsoft.com/office/word/2010/wordml" w:rsidR="0082799E" w:rsidP="0082799E" w:rsidRDefault="0082799E" w14:paraId="146BFE9B" wp14:textId="77777777">
      <w:pPr>
        <w:pStyle w:val="Heading3"/>
      </w:pPr>
      <w:r>
        <w:lastRenderedPageBreak/>
        <w:t>S: Oppositional Consciousness</w:t>
      </w:r>
    </w:p>
    <w:p xmlns:wp14="http://schemas.microsoft.com/office/word/2010/wordml" w:rsidRPr="00423217" w:rsidR="0082799E" w:rsidP="0082799E" w:rsidRDefault="0082799E" w14:paraId="5AC2074B" wp14:textId="77777777">
      <w:pPr>
        <w:pStyle w:val="Heading4"/>
      </w:pPr>
      <w:r w:rsidRPr="00423217">
        <w:t>Graffiti produces affective connections that incite oppositional consciousness and encourages the contestation of meaning in public space</w:t>
      </w:r>
    </w:p>
    <w:p xmlns:wp14="http://schemas.microsoft.com/office/word/2010/wordml" w:rsidRPr="00423217" w:rsidR="0082799E" w:rsidP="0082799E" w:rsidRDefault="0082799E" w14:paraId="52D9EE1D" wp14:textId="77777777">
      <w:r w:rsidRPr="00423217">
        <w:rPr>
          <w:rStyle w:val="Style13ptBold"/>
        </w:rPr>
        <w:t>Marche 12</w:t>
      </w:r>
      <w:r w:rsidRPr="00423217">
        <w:t xml:space="preserve"> (Guillaume, Professor of American Studies at the Universite Paris-Est Creteil in France, Member of IMAGER (Institute for the Study of English-, German-, and Romance Langugage-Speaking Spheres. Studies sexual identties, subjectitivty and the interplay between the cultural and political dimensions of collective mobilization. Expressivism and Resistance: Graffiti as an Infrapolitical Form of Protest against the War on Terror: revue francaise d’etudes americaines. 2012 https://www.cairn.info/revue-francaise-d-etudes-americaines-2012-1-page-78.htm) ///ONW</w:t>
      </w:r>
    </w:p>
    <w:p xmlns:wp14="http://schemas.microsoft.com/office/word/2010/wordml" w:rsidRPr="00A965EA" w:rsidR="0082799E" w:rsidP="0082799E" w:rsidRDefault="0082799E" w14:paraId="65C40F84" wp14:textId="77777777">
      <w:pPr>
        <w:rPr>
          <w:rStyle w:val="StyleUnderline"/>
        </w:rPr>
      </w:pPr>
      <w:r w:rsidRPr="00A965EA">
        <w:rPr>
          <w:sz w:val="16"/>
        </w:rPr>
        <w:t>That attention to form is essential for interpreting the political significance of protest graffiti is clear when comparing the simple scrawling of a slogan on a highway overpass 13 with a sidewalk stencil graffiti imitating the shadow of a stop sign and substituting the word “stop” with “war” (illus. 9). The former example puts forth a direct, explicit, univocal message in a location where many people are bound to notice it. The second one by contrast reaches fewer viewers, since most drivers will presumably not see it, and not all pedestrians will. But the latter has a potential for triggering an esthetic emotion in the passersby who notice it and are likely to reflect on the cleverness of the visual device. This graffiti’s lack of obviousness serves its message by sparking off surprise and catching viewers off their guard. The amount of thinking and time involved in its conception and execution may touch the viewers with a sense of connectedness with the author. This is not to say that it necessarily will, as many viewers will be indifferent or annoyed, but its execution poises it to prompt certain kinds of viewer responses that other protest messages do not.</w:t>
      </w:r>
      <w:r w:rsidRPr="00A965EA">
        <w:rPr>
          <w:rStyle w:val="StyleUnderline"/>
        </w:rPr>
        <w:t>14 By being evident yet concealed, this graffiti is likely to both reach its viewers’ gray matter, and cause them an esthetic emotion, which may in turn associate the deployment of an oppositional consciousness with pleasure</w:t>
      </w:r>
      <w:r w:rsidRPr="00A965EA">
        <w:rPr>
          <w:sz w:val="16"/>
        </w:rPr>
        <w:t>.15 James J</w:t>
      </w:r>
      <w:r w:rsidRPr="00A965EA">
        <w:rPr>
          <w:rStyle w:val="StyleUnderline"/>
        </w:rPr>
        <w:t>asper argues that a movement’s goals cannot suffice to sustain actors’ participation, if they do not derive some gratification from it. But if engaging in protest is pleasurable enough to justify participation, social actors are provided with an opportunity to be themselves and to find self-accomplishment:</w:t>
      </w:r>
      <w:r w:rsidRPr="00A965EA">
        <w:rPr>
          <w:sz w:val="16"/>
        </w:rPr>
        <w:t xml:space="preserve"> “The joy of protest . . . is very like the playful potential of art, which creates another reality for us to ‘try on.’ This other world often feels more real than our everyday life, for we can try on our ‘real’ selves there, penetrate to deeper truths and identities normally blocked by our everyday routines” (227). </w:t>
      </w:r>
      <w:r w:rsidRPr="00A965EA">
        <w:rPr>
          <w:rStyle w:val="StyleUnderline"/>
        </w:rPr>
        <w:t>The emotion stirred by a clever graffiti may similarly generate a subjective sense of authenticity, whereby the viewer feels moved by the recognition of a deep identification with the author. It is the graffiti’s lack of instrumental purposefulness that endows it with this resistance generating potential</w:t>
      </w:r>
      <w:r w:rsidRPr="00A965EA">
        <w:rPr>
          <w:sz w:val="16"/>
        </w:rPr>
        <w:t>. Thus, I suggest, pleasure creates empowerment by displaying personal, subjective creativity as a form of intervention in the public sphere. In a stencil photographed in 2008 the author represents then-presidential candidate John McCain embraced by Satan, whose right hand is clutching McCain’s bleeding heart, over a caption reading “Four More Years.”16 The image’s composition conveys a meaning that is far from univocal, or even evident. The discrepancy between the caption and the fact that John McCain was not an incumbent candidate implies that, try as he may to distance himself from George W. Bush, if elected he would not be such a different president. Additionally, the contrast between McCain’s reassuring facial expression and Satan’s sardonic smile may suggest opposite interpretations—either that McCain is just another embodiment of the devil, or that he is not even aware of being in the Great Deceiver’s grip—which both amount to a scathing mockery of the Republican candidate. The sarcasm conveyed here is a form of humor which could not be expressed in the conventional political arena and pertains rather to satire. Beyond the importance of humor in social movements (’t Hart; Obadare), this example suggests likening protest graffiti to what Jasper calls “post-citizenship” movements, which fail to address the state, not for lack of opportunities—as political opportunity structure (POS) theory would have it—but because such is not their choice of tactics (235-237). Ta</w:t>
      </w:r>
      <w:r w:rsidRPr="00A965EA">
        <w:rPr>
          <w:rStyle w:val="StyleUnderline"/>
        </w:rPr>
        <w:t>king the forms of protest seriously requires a focus on its cultural, expressive dimensions, which, in the case of protest graffiti, are the very substance of action. This suggests that the interactions between emotions and cognitions are crucial, and especially that emotions can play an important part in the emergence of oppositional cognitive frames.</w:t>
      </w:r>
      <w:r w:rsidRPr="00A965EA">
        <w:rPr>
          <w:sz w:val="16"/>
        </w:rPr>
        <w:t xml:space="preserve">17 Such emotions as hostility can prove essential in enhancing a movement’s cohesion by providing an enemy or sustaining adversarial feelings (Goodwin et al. 13-20). Two paste-ups—both photographed in 2008— representing Vice-president Cheney as the Star Wars villain Jabba the Hutt with President Bush as his jester, Salacious Crumb, squatting next to him,18 and Bush in football gear poised to throw a bomb in lieu of a ball (illus. 10) thus reframe anti-Bush antagonism by resorting to ridicule. In the former example the real villain is Cheney, and Bush is cast as his </w:t>
      </w:r>
      <w:r w:rsidRPr="00A965EA">
        <w:rPr>
          <w:sz w:val="16"/>
        </w:rPr>
        <w:lastRenderedPageBreak/>
        <w:t xml:space="preserve">helpless slave, an ironic mockery of the president’s hyper-masculinized posture after 9/11 transformed his public image from that of Cheney and other neoconservatives’ puppet into that of a war president. The latter example reframes President Bush as his oft-derided Yale-days self, busier playing football than studying. The resulting image is that of a watered-down Dr. Strangelove, with none of the exhilarating edge and lunacy of the Kubrick character, so that the critique is paradoxically more political than if Bush were portrayed as a madman: depicting him as a sports jock harks back to the reasons why he should not have been elected in the first place, which was politically pertinent in a presidential election year when he was not running for reelection. </w:t>
      </w:r>
      <w:r w:rsidRPr="00A965EA">
        <w:rPr>
          <w:rStyle w:val="StyleUnderline"/>
        </w:rPr>
        <w:t>Humor in protest graffiti generates a sense of complicity between subjects who are not, and are not meant to be, in each other’s presence. That is often an important dimension of “oppositional speech acts,” especially in authoritarian societies where, unlike the contemporary United States, upfront oppositional speech involves a direct risk of life and limb</w:t>
      </w:r>
      <w:r w:rsidRPr="00A965EA">
        <w:rPr>
          <w:sz w:val="16"/>
        </w:rPr>
        <w:t xml:space="preserve"> (Johnston 123-124).19 </w:t>
      </w:r>
      <w:r w:rsidRPr="00A965EA">
        <w:rPr>
          <w:rStyle w:val="StyleUnderline"/>
        </w:rPr>
        <w:t>But the messages in the protest graffiti studied here would not be palatable to institutional or conventional channels of expression, nor is their form suitable for most print media, especially since the War on Terror has brought legal restrictions on freedom of expression and discouraged conventional media from conveying provocative discourse.20 The links between form and message—signifier and signified—show that these graffiti give voice to oppositional consciences which resort to an alternative medium in order to express alternative meanings.</w:t>
      </w:r>
      <w:r w:rsidRPr="00A965EA">
        <w:rPr>
          <w:sz w:val="16"/>
        </w:rPr>
        <w:t xml:space="preserve">21 </w:t>
      </w:r>
      <w:r w:rsidRPr="00A965EA">
        <w:rPr>
          <w:rStyle w:val="StyleUnderline"/>
        </w:rPr>
        <w:t>In this sense humor operates in the same way as the above-mentioned esthetic emotions: the less ostensibly political the denotative statement, the more effective protest graffiti can be in generating such connivance. Thus not only does the infrapolitical medium of protest graffiti convey political meaning, but the graffiti’s discursive message is embedded in their graphic vocabulary.</w:t>
      </w:r>
      <w:r w:rsidRPr="00A965EA">
        <w:rPr>
          <w:sz w:val="16"/>
        </w:rPr>
        <w:t xml:space="preserve"> A piece photographed in 2008 features President Bush as a distressed-looking character with a balloon that reads “stop me before I kill again”.22 Casting Bush as a serial killer out of a cartoon may in itself seem less daringly humorous than the above-mentioned Star Wars impersonation. But superimposed on this image is a series of pink hearts, all but one of which are outlined in black and inscribed with a peace sign. Whereas their differing graphic styles safely indicate that the black-ink stencil and the pink hearts have different authors, it seems impossible to decide whether the pink hearts were intended to bear peace signs, or whether that is yet a later addition. But the hearts partly cover the stencil, so that the visual effect results in a palimpsest where the various layers influence each other’s meaning. Not only does the subsequent inscription superimpose a “peace and love” signifier upon the original image, but the graphic style of the hearts transfigures it: their shapes and lines have a childish touch which is enhanced by the color pink, so that they smack of innocence and freshness in a way that contrasts with the half-threatening, half-ridiculous stencil figure. In addition, their various shapes and sizes, and their randomly slanting distribution make them look like flying balloons—or butterflies like the paste-up on the left—which may inspire the viewer with light-heartedness and a sense of elation. The resulting image is largely accidental and certainly unintended on the part of the original author, and probably of the subsequent one(s).23 But this should not disqualify its complex, multidimensional, partly contradictory and not totally understandable meaning. This outcome is reified by virtue of its various components being in each other’s presence at a given place for a limited period of time. </w:t>
      </w:r>
      <w:r w:rsidRPr="00A965EA">
        <w:rPr>
          <w:rStyle w:val="StyleUnderline"/>
        </w:rPr>
        <w:t>The accidental co-presence of various authors’ and various viewers’ subjective expressions and perceptions transforms the wall into a graphic forum where a virtual conversation is taking place</w:t>
      </w:r>
      <w:r w:rsidRPr="00A965EA">
        <w:rPr>
          <w:sz w:val="16"/>
        </w:rPr>
        <w:t xml:space="preserve"> (Iddings et al. 8). </w:t>
      </w:r>
      <w:r w:rsidRPr="00A965EA">
        <w:rPr>
          <w:rStyle w:val="StyleUnderline"/>
        </w:rPr>
        <w:t>Its substance is emotional as much as it is discursive, and it gives voice to an oppositional conscience which cannot fully be expressed with words.</w:t>
      </w:r>
    </w:p>
    <w:p xmlns:wp14="http://schemas.microsoft.com/office/word/2010/wordml" w:rsidRPr="00423217" w:rsidR="0082799E" w:rsidP="0082799E" w:rsidRDefault="0082799E" w14:paraId="0562CB0E" wp14:textId="77777777"/>
    <w:p xmlns:wp14="http://schemas.microsoft.com/office/word/2010/wordml" w:rsidR="0082799E" w:rsidP="0082799E" w:rsidRDefault="0082799E" w14:paraId="6D2F1DF9" wp14:textId="77777777">
      <w:pPr>
        <w:pStyle w:val="Heading3"/>
      </w:pPr>
      <w:r>
        <w:lastRenderedPageBreak/>
        <w:t>S: Performance-scapes</w:t>
      </w:r>
    </w:p>
    <w:p xmlns:wp14="http://schemas.microsoft.com/office/word/2010/wordml" w:rsidRPr="00E37CAC" w:rsidR="0082799E" w:rsidP="0082799E" w:rsidRDefault="0082799E" w14:paraId="705EC872" wp14:textId="77777777">
      <w:pPr>
        <w:pStyle w:val="Heading4"/>
      </w:pPr>
      <w:r>
        <w:t xml:space="preserve">The improvisational nature of performance can create “performancespaces”’ that resist and undermine “borderscapes” that determine the flows of capital and migrant bodies. The process of aesthetic creation is worldmaking that disrupts both physical and symbolic borders’ power of subjection. </w:t>
      </w:r>
    </w:p>
    <w:p xmlns:wp14="http://schemas.microsoft.com/office/word/2010/wordml" w:rsidRPr="00135F9B" w:rsidR="0082799E" w:rsidP="0082799E" w:rsidRDefault="0082799E" w14:paraId="1E1D850D" wp14:textId="77777777">
      <w:r w:rsidRPr="00135F9B">
        <w:rPr>
          <w:rStyle w:val="Style13ptBold"/>
        </w:rPr>
        <w:t>Vourloumis 14</w:t>
      </w:r>
      <w:r w:rsidRPr="00135F9B">
        <w:t xml:space="preserve"> (Hypatia, Ph.D in performance studies from New York University, teaches at the International Center for Hellenic and Mediterranean Studies. “Come and See What We Do: Contemporary Migrant Performances in Athens, Greece.” Theatre Journal, Volume 66, Number 2, May 2014. pg 247-251)//ANH</w:t>
      </w:r>
    </w:p>
    <w:p xmlns:wp14="http://schemas.microsoft.com/office/word/2010/wordml" w:rsidRPr="00E37CAC" w:rsidR="0082799E" w:rsidP="0082799E" w:rsidRDefault="0082799E" w14:paraId="4216DDBA" wp14:textId="77777777">
      <w:pPr>
        <w:rPr>
          <w:sz w:val="16"/>
        </w:rPr>
      </w:pPr>
      <w:r w:rsidRPr="007A3406">
        <w:rPr>
          <w:rStyle w:val="StyleUnderline"/>
        </w:rPr>
        <w:t>By undermining the opposition between the migrant and the nation-state, the work of ELANADISTIKANOUME denaturalizes contingent categories and boundaries while drawing our attention to their material effects.</w:t>
      </w:r>
      <w:r w:rsidRPr="00E37CAC">
        <w:rPr>
          <w:rFonts w:cs="Calibri"/>
          <w:color w:val="000000"/>
          <w:sz w:val="16"/>
          <w:szCs w:val="27"/>
          <w:shd w:val="clear" w:color="auto" w:fill="FFFFFF"/>
        </w:rPr>
        <w:t xml:space="preserve"> In June 2013, more than three years after the performance described above, the now much larger group gathered at an antiracist summer festival held in Athens.28 While different events were taking place (concerts, speeches, panels), the collective informally engaged in a thirty-minute performance on the margins of the public forum of the festival held at the Olympic Stadium facilities. The main part of this performance, titled “PASStresPASS 2013,” depicted the group’s members moving together in a walking formation, from one end of the space to the other and back again, while occasionally a single dancer would abruptly stop walking to perform an improvised solo. This improvised dance that stood apart from the whole was then reconnected to the walking formation when it turned back to again reach the dancer, reabsorbing the solo performer into the group as it moved forward. As one dancer would disappear back into the fold of the moving whole, another would stop walking so as to appear outside the formation, and in separating herself from the line of moving bodies begin her own improvised dance. This recurrent dance vocabulary emerged from numerous contact-improvisation workshops the group held that summer in different rehearsal spaces in the city. </w:t>
      </w:r>
      <w:r w:rsidRPr="003A5EA0">
        <w:rPr>
          <w:rStyle w:val="StyleUnderline"/>
        </w:rPr>
        <w:t xml:space="preserve">Improvisational practices are the necessary conditions for the preparation, articulation, and shaping of all of ELANADISTIKANOUME’s performances, </w:t>
      </w:r>
      <w:r w:rsidRPr="00E37CAC">
        <w:rPr>
          <w:sz w:val="16"/>
        </w:rPr>
        <w:t>devised not by single authorship,</w:t>
      </w:r>
      <w:r w:rsidRPr="003A5EA0">
        <w:rPr>
          <w:rStyle w:val="StyleUnderline"/>
        </w:rPr>
        <w:t xml:space="preserve"> but by experiment and collaboration.</w:t>
      </w:r>
      <w:r w:rsidRPr="00E37CAC">
        <w:rPr>
          <w:rFonts w:cs="Calibri"/>
          <w:color w:val="000000"/>
          <w:sz w:val="16"/>
          <w:szCs w:val="27"/>
          <w:shd w:val="clear" w:color="auto" w:fill="FFFFFF"/>
        </w:rPr>
        <w:t xml:space="preserve"> Danielle Goldman uncovers how the practice of improvisation entails a rigorous preparedness for unpredictable and shifting situations, asking “Who moves? Who doesn’t?” and arguing that </w:t>
      </w:r>
      <w:r w:rsidRPr="003A5EA0">
        <w:rPr>
          <w:rStyle w:val="Emphasis"/>
        </w:rPr>
        <w:t>improvisation’s sped-up, imaginative, expressive negotiations with constraint defines its political potential</w:t>
      </w:r>
      <w:r w:rsidRPr="00E37CAC">
        <w:rPr>
          <w:rFonts w:cs="Calibri"/>
          <w:color w:val="000000"/>
          <w:sz w:val="16"/>
          <w:szCs w:val="27"/>
          <w:shd w:val="clear" w:color="auto" w:fill="FFFFFF"/>
        </w:rPr>
        <w:t xml:space="preserve">.29 She insists that </w:t>
      </w:r>
      <w:r w:rsidRPr="003A5EA0">
        <w:rPr>
          <w:rStyle w:val="StyleUnderline"/>
        </w:rPr>
        <w:t>improvisation should not be understood as a simple moment of liberation for a body seeking a desired end-point devoid of constraints:</w:t>
      </w:r>
      <w:r w:rsidRPr="00E37CAC">
        <w:rPr>
          <w:rFonts w:cs="Calibri"/>
          <w:color w:val="000000"/>
          <w:sz w:val="16"/>
          <w:szCs w:val="27"/>
          <w:shd w:val="clear" w:color="auto" w:fill="FFFFFF"/>
        </w:rPr>
        <w:t xml:space="preserve"> </w:t>
      </w:r>
      <w:r w:rsidRPr="000725DD">
        <w:rPr>
          <w:rStyle w:val="StyleUnderline"/>
        </w:rPr>
        <w:t>“[i]mprovised dance literally involves giving shape to oneself and deciding how to move in relation to an unsteady landscape,</w:t>
      </w:r>
      <w:r w:rsidRPr="00E37CAC">
        <w:rPr>
          <w:rFonts w:cs="Calibri"/>
          <w:color w:val="000000"/>
          <w:sz w:val="16"/>
          <w:szCs w:val="27"/>
          <w:shd w:val="clear" w:color="auto" w:fill="FFFFFF"/>
        </w:rPr>
        <w:t>” and is a practice that “</w:t>
      </w:r>
      <w:r w:rsidRPr="000725DD">
        <w:rPr>
          <w:rStyle w:val="StyleUnderline"/>
        </w:rPr>
        <w:t>involve[s] an ongoing stylization of the self where one both respects the constraints of reality and tries to violate them</w:t>
      </w:r>
      <w:r w:rsidRPr="00E37CAC">
        <w:rPr>
          <w:rFonts w:cs="Calibri"/>
          <w:color w:val="000000"/>
          <w:sz w:val="16"/>
          <w:szCs w:val="27"/>
          <w:shd w:val="clear" w:color="auto" w:fill="FFFFFF"/>
        </w:rPr>
        <w:t xml:space="preserve">.”30 Furthermore, Goldman reminds us that the reconciling with, or successful surpassing or resistance to, a set of constraints only leads, in effect, to another set of new constraints, and that </w:t>
      </w:r>
      <w:r w:rsidRPr="00DC744D">
        <w:rPr>
          <w:rStyle w:val="StyleUnderline"/>
        </w:rPr>
        <w:t>improvisation is a constant negotiation “with shifting tight places, whether created by power relations, social norms, aesthetic traditions, or physical technique</w:t>
      </w:r>
      <w:r w:rsidRPr="00E37CAC">
        <w:rPr>
          <w:rFonts w:cs="Calibri"/>
          <w:color w:val="000000"/>
          <w:sz w:val="16"/>
          <w:szCs w:val="27"/>
          <w:shd w:val="clear" w:color="auto" w:fill="FFFFFF"/>
        </w:rPr>
        <w:t xml:space="preserve">.”31 These “shifting tight places” were made evident in “PASStresPASS 2013” through the repeated juxtaposition between a gyrating whole moving in unison and the spasmodic solos of singular bodies expelled, and at times reabsorbed, into the symbolic multitude. At one point, a dancer faced the group and showed his “papers” to them. The dancers standing opposite him waved their index fingers at him, refusing his desire to return into the fold, this action expressing the varying constraints, power relations, and antagonistic forces at play within the common. In the end, after extensive sequences depicting the tensions between singularity and multiplicity, inclusion and exclusion, the performance linked all the participate bodies, including audience members who joined in to hold hands: they all moved in a circular formation reminiscent of Greek folk dances. Importantly, these improvisations are performed by a group that refuses technical expertise in favor of the inclusiveness of all kinds of bodies, including children, who are untrained and nonprofessional in their performance and dance capabilities. Similar to Goldman’s theorization of improvised dance as always being an interrogation of constraint “that can be carried into more pedestrian spheres of movement,”32 Randy Martin studies the way in which politics moves in the quotidian by looking at the specificities experienced by the dancing body. Thinking through dance practices as “critical moves,” he engages with the notion of the dancing body as a critical-thinking entity, and the way that political moves can be understood as danced moves. Requiring us not only to rethink political theory through the analysis of dance, but also to look at dance by using the tools of political critique, Martin argues that the study of the subjective experience of a moving body within a larger community is central if we are to begin to see more clearly how singularity contributes to the abstract notion of the political: “Theories of politics are full of ideas, but </w:t>
      </w:r>
      <w:r w:rsidRPr="00E37CAC">
        <w:rPr>
          <w:rFonts w:cs="Calibri"/>
          <w:color w:val="000000"/>
          <w:sz w:val="16"/>
          <w:szCs w:val="27"/>
          <w:shd w:val="clear" w:color="auto" w:fill="FFFFFF"/>
        </w:rPr>
        <w:lastRenderedPageBreak/>
        <w:t xml:space="preserve">they have been least successful in articulating how the concrete labor of participation necessary to execute those ideas is gathered through the movement of bodies in social time and space.”33 The fundamental issue of participation comes into question both in the analysis of contact-improvisation dance practices, as well as in the attempt to understand how subjective and collective political acts come to be through transformative and reactionary manifestations and effects. This is reflected in the recurrent motif in </w:t>
      </w:r>
      <w:r w:rsidRPr="00474F2E">
        <w:rPr>
          <w:rStyle w:val="StyleUnderline"/>
        </w:rPr>
        <w:t>“PASStresPASS 2013,”</w:t>
      </w:r>
      <w:r w:rsidRPr="00E37CAC">
        <w:rPr>
          <w:rFonts w:cs="Calibri"/>
          <w:color w:val="000000"/>
          <w:sz w:val="16"/>
          <w:szCs w:val="27"/>
          <w:shd w:val="clear" w:color="auto" w:fill="FFFFFF"/>
        </w:rPr>
        <w:t xml:space="preserve"> which </w:t>
      </w:r>
      <w:r w:rsidRPr="00474F2E">
        <w:rPr>
          <w:rStyle w:val="StyleUnderline"/>
        </w:rPr>
        <w:t>focuses on individual movement within and against collective, choreographed, and participatory motion.</w:t>
      </w:r>
      <w:r w:rsidRPr="00E37CAC">
        <w:rPr>
          <w:rFonts w:cs="Calibri"/>
          <w:color w:val="000000"/>
          <w:sz w:val="16"/>
          <w:szCs w:val="27"/>
          <w:shd w:val="clear" w:color="auto" w:fill="FFFFFF"/>
        </w:rPr>
        <w:t xml:space="preserve"> Martin offers the term mobilizations of participation to help define what happens and how when the actual process of action is carried out.34 In “PASStresPASS 2013,” as well as in Critical Moves, </w:t>
      </w:r>
      <w:r w:rsidRPr="00474F2E">
        <w:rPr>
          <w:rStyle w:val="StyleUnderline"/>
        </w:rPr>
        <w:t xml:space="preserve">the focus on an individual dance within a larger one opens up a space for an understanding of how the whole moves as a function of its separate components, and how </w:t>
      </w:r>
      <w:r w:rsidRPr="00474F2E">
        <w:rPr>
          <w:rStyle w:val="Emphasis"/>
        </w:rPr>
        <w:t>the individual can sustain and emerge from a rubric of collective organization</w:t>
      </w:r>
      <w:r w:rsidRPr="00E37CAC">
        <w:rPr>
          <w:rFonts w:cs="Calibri"/>
          <w:color w:val="000000"/>
          <w:sz w:val="16"/>
          <w:szCs w:val="27"/>
          <w:shd w:val="clear" w:color="auto" w:fill="FFFFFF"/>
        </w:rPr>
        <w:t xml:space="preserve">. Inspired by the political reading of dance practices in Goldman’s and Martin’s work, I would like to complicate this notion of mobilizations of participation, approaching it through the concept of the multiplication of heterogeneous borders that traverse and inflect political subjects and formations. “PASStresPASS 2013” began through the performative and productive use of the red-and-white-striped tape used by police to mark off certain spaces, such as crime scenes. This tape was stuck on stepped ground and vertically crossed the horizontal planes of a large and wide flight of exterior stairs. At the bottom of the stairs, another strip of this tape hanging waist-high demarcated the main space of the festival as a no-go zone. The performers appeared at the top of the stairs in single file and slowly began to precariously descend, careful to only step on the narrow strip beneath their feet. As they slowly made their way down, placing one foot in front of the other, their bodies swayed violently from left to right as they attempted not to lose their balance, their arms extended outward to help them stay upright. As Malick Ndiaye, who led the line, reached the bottom of the steps, he ripped the tape that divided the stairs from the performance area and the performers behind him spilled out into the space, where they began their dance.35 </w:t>
      </w:r>
      <w:r w:rsidRPr="00CE3AEC">
        <w:rPr>
          <w:rStyle w:val="StyleUnderline"/>
        </w:rPr>
        <w:t>The performance started with the border as actor and with bodies struggling to maintain a coherence among their motion, directionality, and a determining line</w:t>
      </w:r>
      <w:r w:rsidRPr="00E37CAC">
        <w:rPr>
          <w:rFonts w:cs="Calibri"/>
          <w:color w:val="000000"/>
          <w:sz w:val="16"/>
          <w:szCs w:val="27"/>
          <w:shd w:val="clear" w:color="auto" w:fill="FFFFFF"/>
        </w:rPr>
        <w:t xml:space="preserve">. Echoing Goldman’s notion that improvisation concerns a constant negotiation with constraint and how “social and historical positions in the world affect one’s ability to move, both literally and figuratively,” </w:t>
      </w:r>
      <w:r w:rsidRPr="00CE3AEC">
        <w:rPr>
          <w:rStyle w:val="StyleUnderline"/>
        </w:rPr>
        <w:t>the performers did not engage in a facile breaching or disavowal of the borderline, but rather a serious acknowledgment of its materiality and power to determine and shape movement</w:t>
      </w:r>
      <w:r w:rsidRPr="00E37CAC">
        <w:rPr>
          <w:rFonts w:cs="Calibri"/>
          <w:color w:val="000000"/>
          <w:sz w:val="16"/>
          <w:szCs w:val="27"/>
          <w:shd w:val="clear" w:color="auto" w:fill="FFFFFF"/>
        </w:rPr>
        <w:t xml:space="preserve">.36 </w:t>
      </w:r>
      <w:r w:rsidRPr="00CE3AEC">
        <w:rPr>
          <w:rStyle w:val="Emphasis"/>
        </w:rPr>
        <w:t>This consideration of the border as constitutive and performative</w:t>
      </w:r>
      <w:r w:rsidRPr="00CE3AEC">
        <w:rPr>
          <w:rStyle w:val="StyleUnderline"/>
        </w:rPr>
        <w:t xml:space="preserve"> echoes Sandro Mezzadra and Brett Neilson’s notion of the “border as method.”</w:t>
      </w:r>
      <w:r w:rsidRPr="00E37CAC">
        <w:rPr>
          <w:rFonts w:cs="Calibri"/>
          <w:color w:val="000000"/>
          <w:sz w:val="16"/>
          <w:szCs w:val="27"/>
          <w:shd w:val="clear" w:color="auto" w:fill="FFFFFF"/>
        </w:rPr>
        <w:t>37 A</w:t>
      </w:r>
      <w:r w:rsidRPr="006C221C">
        <w:rPr>
          <w:rStyle w:val="StyleUnderline"/>
        </w:rPr>
        <w:t xml:space="preserve">nalyzing the productive power of the border to both include and exclude certain bodies, they activate the border as epistemic device that, with their concept of the “multiplication of labor,” addresses the differential divisions within motions of labor. </w:t>
      </w:r>
      <w:r w:rsidRPr="00E37CAC">
        <w:rPr>
          <w:rFonts w:cs="Calibri"/>
          <w:color w:val="000000"/>
          <w:sz w:val="16"/>
          <w:szCs w:val="27"/>
          <w:shd w:val="clear" w:color="auto" w:fill="FFFFFF"/>
        </w:rPr>
        <w:t xml:space="preserve">In so doing, </w:t>
      </w:r>
      <w:r w:rsidRPr="006C221C">
        <w:rPr>
          <w:rStyle w:val="Emphasis"/>
        </w:rPr>
        <w:t>they reveal the inextricable and increasing complexities of “contemporary living labor” in relation to proliferating borders determining the flows of global capital and migrant bodies.</w:t>
      </w:r>
      <w:r w:rsidRPr="00E37CAC">
        <w:rPr>
          <w:rFonts w:cs="Calibri"/>
          <w:color w:val="000000"/>
          <w:sz w:val="16"/>
          <w:szCs w:val="27"/>
          <w:shd w:val="clear" w:color="auto" w:fill="FFFFFF"/>
        </w:rPr>
        <w:t xml:space="preserve">38 </w:t>
      </w:r>
      <w:r w:rsidRPr="006C221C">
        <w:rPr>
          <w:rStyle w:val="StyleUnderline"/>
        </w:rPr>
        <w:t>The authors</w:t>
      </w:r>
      <w:r w:rsidRPr="00E37CAC">
        <w:rPr>
          <w:rFonts w:cs="Calibri"/>
          <w:color w:val="000000"/>
          <w:sz w:val="16"/>
          <w:szCs w:val="27"/>
          <w:shd w:val="clear" w:color="auto" w:fill="FFFFFF"/>
        </w:rPr>
        <w:t xml:space="preserve"> seek to contribute to the ongoing debates surrounding the modes of formation of the commons as social cooperation by </w:t>
      </w:r>
      <w:r w:rsidRPr="006C221C">
        <w:rPr>
          <w:rStyle w:val="StyleUnderline"/>
        </w:rPr>
        <w:t>emphasiz</w:t>
      </w:r>
      <w:r w:rsidRPr="00E37CAC">
        <w:rPr>
          <w:rFonts w:cs="Calibri"/>
          <w:color w:val="000000"/>
          <w:sz w:val="16"/>
          <w:szCs w:val="27"/>
          <w:shd w:val="clear" w:color="auto" w:fill="FFFFFF"/>
        </w:rPr>
        <w:t xml:space="preserve">ing </w:t>
      </w:r>
      <w:r w:rsidRPr="006C221C">
        <w:rPr>
          <w:rStyle w:val="StyleUnderline"/>
        </w:rPr>
        <w:t xml:space="preserve">questions regarding border-crossing, difference, and translation: </w:t>
      </w:r>
      <w:r w:rsidRPr="006C221C">
        <w:rPr>
          <w:rStyle w:val="Emphasis"/>
        </w:rPr>
        <w:t>they consider border as method “precisely insofar as it is conceived as a site of struggle</w:t>
      </w:r>
      <w:r w:rsidRPr="006C221C">
        <w:rPr>
          <w:rStyle w:val="StyleUnderline"/>
        </w:rPr>
        <w:t>,</w:t>
      </w:r>
      <w:r w:rsidRPr="00E37CAC">
        <w:rPr>
          <w:rFonts w:cs="Calibri"/>
          <w:color w:val="000000"/>
          <w:sz w:val="16"/>
          <w:szCs w:val="27"/>
          <w:shd w:val="clear" w:color="auto" w:fill="FFFFFF"/>
        </w:rPr>
        <w:t xml:space="preserve">”39 </w:t>
      </w:r>
      <w:r w:rsidRPr="006C221C">
        <w:rPr>
          <w:rStyle w:val="StyleUnderline"/>
        </w:rPr>
        <w:t>and account for the tension between heterogeneity and unity by way of the “contestation of the border practiced daily by subjects in transit.”</w:t>
      </w:r>
      <w:r w:rsidRPr="00E37CAC">
        <w:rPr>
          <w:rFonts w:cs="Calibri"/>
          <w:color w:val="000000"/>
          <w:sz w:val="16"/>
          <w:szCs w:val="27"/>
          <w:shd w:val="clear" w:color="auto" w:fill="FFFFFF"/>
        </w:rPr>
        <w:t xml:space="preserve">40 Mezzadra and Neilson’s book Border as Method alludes to the ways in which borders crisscross subject-formation itself, and in turn, providing for a sense of performance as both crossroad and method, in addition to a gleaning of the body as moving border. As we have seen, </w:t>
      </w:r>
      <w:r w:rsidRPr="006C221C">
        <w:rPr>
          <w:rStyle w:val="StyleUnderline"/>
        </w:rPr>
        <w:t xml:space="preserve">the historically outlawed and policed bodies of </w:t>
      </w:r>
      <w:r w:rsidRPr="006C221C">
        <w:rPr>
          <w:rStyle w:val="Emphasis"/>
        </w:rPr>
        <w:t>rebetika were criminalized as dangerous autonomous agents precisely because they improvised, played with, and connected physical and symbolic borders</w:t>
      </w:r>
      <w:r w:rsidRPr="006C221C">
        <w:rPr>
          <w:rStyle w:val="StyleUnderline"/>
        </w:rPr>
        <w:t>, such as those between East and West, bourgeois and proletarian.</w:t>
      </w:r>
      <w:r w:rsidRPr="00E37CAC">
        <w:rPr>
          <w:rFonts w:cs="Calibri"/>
          <w:color w:val="000000"/>
          <w:sz w:val="16"/>
          <w:szCs w:val="27"/>
          <w:shd w:val="clear" w:color="auto" w:fill="FFFFFF"/>
        </w:rPr>
        <w:t xml:space="preserve"> Attuned to this oppressed history, </w:t>
      </w:r>
      <w:r w:rsidRPr="006C221C">
        <w:rPr>
          <w:rStyle w:val="StyleUnderline"/>
        </w:rPr>
        <w:t>ELANADISTIKANOUME consciously embodies the literal border between the nation-state and its constructed Other. I</w:t>
      </w:r>
      <w:r w:rsidRPr="00E37CAC">
        <w:rPr>
          <w:rFonts w:cs="Calibri"/>
          <w:color w:val="000000"/>
          <w:sz w:val="16"/>
          <w:szCs w:val="27"/>
          <w:shd w:val="clear" w:color="auto" w:fill="FFFFFF"/>
        </w:rPr>
        <w:t xml:space="preserve">nterestingly, after the dancers precariously negotiated with the tape as “border” that led them into the main space of their dance, one discerned that the tape was again utilized, but this time as extensions of their own bodies: each performer revealed the same red-and-white-striped tape dangling from under their sleeves and from their arms. </w:t>
      </w:r>
      <w:r w:rsidRPr="006C221C">
        <w:rPr>
          <w:rStyle w:val="StyleUnderline"/>
        </w:rPr>
        <w:t xml:space="preserve">As they danced, their arms extended outward and were made one with the material that signaled the border performed now as a dancing body, as moving and embodied demarcation, as object and </w:t>
      </w:r>
      <w:r w:rsidRPr="006C221C">
        <w:rPr>
          <w:rStyle w:val="StyleUnderline"/>
        </w:rPr>
        <w:lastRenderedPageBreak/>
        <w:t>subject. This use of the border as constitutive of bodies, as well as the ways in which they move, echoes Mezzadra and Neilson’s notion of the productive power of the border</w:t>
      </w:r>
      <w:r w:rsidRPr="00E37CAC">
        <w:rPr>
          <w:rFonts w:cs="Calibri"/>
          <w:color w:val="000000"/>
          <w:sz w:val="16"/>
          <w:szCs w:val="27"/>
          <w:shd w:val="clear" w:color="auto" w:fill="FFFFFF"/>
        </w:rPr>
        <w:t xml:space="preserve">. By becoming one with the tape that signals border control, </w:t>
      </w:r>
      <w:r w:rsidRPr="006C221C">
        <w:rPr>
          <w:rStyle w:val="Emphasis"/>
        </w:rPr>
        <w:t>the performers show how the boundary is performative, and how border struggles invoke necessary experimentations with borders’ productive powers of subjection</w:t>
      </w:r>
      <w:r w:rsidRPr="00E37CAC">
        <w:rPr>
          <w:rFonts w:cs="Calibri"/>
          <w:color w:val="000000"/>
          <w:sz w:val="16"/>
          <w:szCs w:val="27"/>
          <w:shd w:val="clear" w:color="auto" w:fill="FFFFFF"/>
        </w:rPr>
        <w:t xml:space="preserve">. In their respective use of the figure of the border as constitutive both Mezzadra and Neilson’s study and </w:t>
      </w:r>
      <w:r w:rsidRPr="006C221C">
        <w:rPr>
          <w:rStyle w:val="StyleUnderline"/>
        </w:rPr>
        <w:t>the performance described above point to the performativity of the border, as struggle always being about border struggles, and the necessary experimentation that borders’ capacities for categorization, delineation, and temporal and spatial subjection call out for</w:t>
      </w:r>
      <w:r w:rsidRPr="00E37CAC">
        <w:rPr>
          <w:rFonts w:cs="Calibri"/>
          <w:color w:val="000000"/>
          <w:sz w:val="16"/>
          <w:szCs w:val="27"/>
          <w:shd w:val="clear" w:color="auto" w:fill="FFFFFF"/>
        </w:rPr>
        <w:t xml:space="preserve">. Mezzadra and Neilson use the term borderscapes to describe patterns of new spatial organizations informed by the connections and divisions among radically different fault lines, encounters, temporalities, and conflicts. </w:t>
      </w:r>
      <w:r w:rsidRPr="006C221C">
        <w:rPr>
          <w:rStyle w:val="StyleUnderline"/>
        </w:rPr>
        <w:t>Their notion of borderscapes points to the dynamic character of the border understood as a “set of practices and discourses that ‘spread’ into the whole of society.”</w:t>
      </w:r>
      <w:r w:rsidRPr="00E37CAC">
        <w:rPr>
          <w:rFonts w:cs="Calibri"/>
          <w:color w:val="000000"/>
          <w:sz w:val="16"/>
          <w:szCs w:val="27"/>
          <w:shd w:val="clear" w:color="auto" w:fill="FFFFFF"/>
        </w:rPr>
        <w:t xml:space="preserve">41 </w:t>
      </w:r>
      <w:r w:rsidRPr="006C221C">
        <w:rPr>
          <w:rStyle w:val="Emphasis"/>
        </w:rPr>
        <w:t>This opens up the possibility for the notion of performancescapes, where one could argue that all the performances studied here summon and enact performancescapes as borderscapes, manifested as states of inbetweenness, improvisational practices, critical moves, and world-making</w:t>
      </w:r>
      <w:r w:rsidRPr="00E37CAC">
        <w:rPr>
          <w:rFonts w:cs="Calibri"/>
          <w:color w:val="000000"/>
          <w:sz w:val="16"/>
          <w:szCs w:val="27"/>
          <w:shd w:val="clear" w:color="auto" w:fill="FFFFFF"/>
        </w:rPr>
        <w:t xml:space="preserve">. Further still, Border as Method’s </w:t>
      </w:r>
      <w:r w:rsidRPr="00E37CAC">
        <w:rPr>
          <w:rStyle w:val="StyleUnderline"/>
        </w:rPr>
        <w:t>analysis of the relationship between global flows of capital and commodities in relation</w:t>
      </w:r>
      <w:r w:rsidRPr="00E37CAC">
        <w:rPr>
          <w:rFonts w:cs="Calibri"/>
          <w:color w:val="000000"/>
          <w:sz w:val="16"/>
          <w:szCs w:val="27"/>
          <w:shd w:val="clear" w:color="auto" w:fill="FFFFFF"/>
        </w:rPr>
        <w:t xml:space="preserve"> to sovereignty, dispossession, labor, and </w:t>
      </w:r>
      <w:r w:rsidRPr="00E37CAC">
        <w:rPr>
          <w:rStyle w:val="StyleUnderline"/>
        </w:rPr>
        <w:t>migration acts as a useful counterpoint to</w:t>
      </w:r>
      <w:r w:rsidRPr="00E37CAC">
        <w:rPr>
          <w:rFonts w:cs="Calibri"/>
          <w:color w:val="000000"/>
          <w:sz w:val="16"/>
          <w:szCs w:val="27"/>
          <w:shd w:val="clear" w:color="auto" w:fill="FFFFFF"/>
        </w:rPr>
        <w:t xml:space="preserve"> ELANADISTIKANOUME’s </w:t>
      </w:r>
      <w:r w:rsidRPr="00E37CAC">
        <w:rPr>
          <w:rStyle w:val="StyleUnderline"/>
        </w:rPr>
        <w:t>negotiations through</w:t>
      </w:r>
      <w:r w:rsidRPr="00E37CAC">
        <w:rPr>
          <w:rFonts w:cs="Calibri"/>
          <w:color w:val="000000"/>
          <w:sz w:val="16"/>
          <w:szCs w:val="27"/>
          <w:shd w:val="clear" w:color="auto" w:fill="FFFFFF"/>
        </w:rPr>
        <w:t xml:space="preserve"> improvised dance and song </w:t>
      </w:r>
      <w:r w:rsidRPr="00E37CAC">
        <w:rPr>
          <w:sz w:val="16"/>
        </w:rPr>
        <w:t>their</w:t>
      </w:r>
      <w:r w:rsidRPr="00E37CAC">
        <w:rPr>
          <w:rStyle w:val="StyleUnderline"/>
        </w:rPr>
        <w:t xml:space="preserve"> resistance to exploitation, marginalization, and racism.</w:t>
      </w:r>
      <w:r w:rsidRPr="00E37CAC">
        <w:rPr>
          <w:rFonts w:cs="Calibri"/>
          <w:color w:val="000000"/>
          <w:sz w:val="16"/>
          <w:szCs w:val="27"/>
          <w:shd w:val="clear" w:color="auto" w:fill="FFFFFF"/>
        </w:rPr>
        <w:t xml:space="preserve"> The following and final staged event provides an example of how the group’s performance strategies bridge and border the performers’ experiences and relationship between their everyday political and aesthetic labor.</w:t>
      </w:r>
    </w:p>
    <w:p xmlns:wp14="http://schemas.microsoft.com/office/word/2010/wordml" w:rsidR="0082799E" w:rsidP="0082799E" w:rsidRDefault="0082799E" w14:paraId="5206FD52" wp14:textId="77777777">
      <w:pPr>
        <w:pStyle w:val="Heading3"/>
      </w:pPr>
      <w:r>
        <w:lastRenderedPageBreak/>
        <w:t>S: Rebellion</w:t>
      </w:r>
    </w:p>
    <w:p xmlns:wp14="http://schemas.microsoft.com/office/word/2010/wordml" w:rsidRPr="00A965EA" w:rsidR="0082799E" w:rsidP="0082799E" w:rsidRDefault="0082799E" w14:paraId="61E56D71" wp14:textId="77777777">
      <w:pPr>
        <w:pStyle w:val="Heading4"/>
        <w:rPr>
          <w:rFonts w:cs="Arial"/>
        </w:rPr>
      </w:pPr>
      <w:r>
        <w:rPr>
          <w:rFonts w:cs="Arial"/>
        </w:rPr>
        <w:t>Graffiti inspires and sustains revolution</w:t>
      </w:r>
    </w:p>
    <w:p xmlns:wp14="http://schemas.microsoft.com/office/word/2010/wordml" w:rsidRPr="00E84FE9" w:rsidR="0082799E" w:rsidP="0082799E" w:rsidRDefault="0082799E" w14:paraId="4D7F50A0" wp14:textId="77777777">
      <w:r w:rsidRPr="00E84FE9">
        <w:rPr>
          <w:rStyle w:val="Style13ptBold"/>
        </w:rPr>
        <w:t>Glaveanu 15</w:t>
      </w:r>
      <w:r w:rsidRPr="00E84FE9">
        <w:t xml:space="preserve"> (Vlad Petre. PhD in Social Psychology from the London School of Economics in the UK&gt; Associate Professor and Head of the Department at Webster University located in Geneva and Associate Professor at the Univerity of Bergen at the Center for the Science of Learning and technology. Art and Social Change: The Role of Creativity and Wonder. In the book, Street Art of Resistance edited by Sarah H. Award and Brady Wagoner. 2015) /// ONW</w:t>
      </w:r>
    </w:p>
    <w:p xmlns:wp14="http://schemas.microsoft.com/office/word/2010/wordml" w:rsidRPr="00A965EA" w:rsidR="0082799E" w:rsidP="0082799E" w:rsidRDefault="0082799E" w14:paraId="547E6DC7" wp14:textId="77777777">
      <w:pPr>
        <w:rPr>
          <w:sz w:val="16"/>
        </w:rPr>
      </w:pPr>
      <w:r w:rsidRPr="00A965EA">
        <w:rPr>
          <w:sz w:val="16"/>
        </w:rPr>
        <w:t xml:space="preserve">Following 18 days of intensive nationwide protests with an epicenter in Cairo’s Tahrir Square, then-president Hosni Mubarak resigned on 11 February 2011 after having been in power for 30 years. </w:t>
      </w:r>
      <w:r w:rsidRPr="00A965EA">
        <w:rPr>
          <w:rStyle w:val="StyleUnderline"/>
        </w:rPr>
        <w:t xml:space="preserve">One of the most </w:t>
      </w:r>
      <w:r w:rsidRPr="00A965EA">
        <w:rPr>
          <w:b/>
          <w:u w:val="single"/>
        </w:rPr>
        <w:t>visible signs of</w:t>
      </w:r>
      <w:r w:rsidRPr="00A965EA">
        <w:rPr>
          <w:rStyle w:val="StyleUnderline"/>
        </w:rPr>
        <w:t xml:space="preserve"> the momentous </w:t>
      </w:r>
      <w:r w:rsidRPr="00A965EA">
        <w:rPr>
          <w:b/>
          <w:u w:val="single"/>
        </w:rPr>
        <w:t>change was a flourishing of street art in the country’s major cities, includin</w:t>
      </w:r>
      <w:r w:rsidRPr="00A965EA">
        <w:rPr>
          <w:rStyle w:val="StyleUnderline"/>
        </w:rPr>
        <w:t xml:space="preserve">g songs, monuments, posters, performances, and most of all </w:t>
      </w:r>
      <w:r w:rsidRPr="00A965EA">
        <w:rPr>
          <w:b/>
          <w:u w:val="single"/>
        </w:rPr>
        <w:t>graffiti.</w:t>
      </w:r>
      <w:r w:rsidRPr="00A965EA">
        <w:rPr>
          <w:rStyle w:val="StyleUnderline"/>
        </w:rPr>
        <w:t xml:space="preserve"> </w:t>
      </w:r>
      <w:r w:rsidRPr="00A965EA">
        <w:rPr>
          <w:b/>
          <w:u w:val="single"/>
        </w:rPr>
        <w:t xml:space="preserve">Simple paintings of flags, fists, and other </w:t>
      </w:r>
      <w:r w:rsidRPr="00A965EA">
        <w:rPr>
          <w:rStyle w:val="Emphasis"/>
        </w:rPr>
        <w:t>symbols of solidarity and empowerment</w:t>
      </w:r>
      <w:r w:rsidRPr="00A965EA">
        <w:rPr>
          <w:b/>
          <w:u w:val="single"/>
        </w:rPr>
        <w:t xml:space="preserve"> became ubiquitous in the streets</w:t>
      </w:r>
      <w:r w:rsidRPr="00A965EA">
        <w:rPr>
          <w:rStyle w:val="StyleUnderline"/>
        </w:rPr>
        <w:t>, whereas sophisticated murals expressing revolution’s values, memory, and project for the future were created in key sights, such as Tahrir</w:t>
      </w:r>
      <w:r w:rsidRPr="00A965EA">
        <w:rPr>
          <w:sz w:val="16"/>
        </w:rPr>
        <w:t xml:space="preserve"> (which appropriately means “Liberation” in Arabic). </w:t>
      </w:r>
      <w:r w:rsidRPr="00A965EA">
        <w:rPr>
          <w:rStyle w:val="StyleUnderline"/>
        </w:rPr>
        <w:t xml:space="preserve">The revolution provided the right conditions for the emergence of major artistic talents energized by the hope for a new Egypt. </w:t>
      </w:r>
      <w:r w:rsidRPr="00A965EA">
        <w:rPr>
          <w:b/>
          <w:u w:val="single"/>
        </w:rPr>
        <w:t>Their aesthetic success brought the cause international recognition through the countless newspaper articles devoted to their art. Street art, in general, and murals, in particular, became a major tool for the Egyptian revolutionaries. They have continued to use it until this day to fight for the unrealized ideals of “bread, freedom and social justice”.</w:t>
      </w:r>
      <w:r w:rsidRPr="00A965EA">
        <w:rPr>
          <w:b/>
          <w:sz w:val="16"/>
        </w:rPr>
        <w:t xml:space="preserve"> </w:t>
      </w:r>
      <w:r w:rsidRPr="00A965EA">
        <w:rPr>
          <w:sz w:val="16"/>
        </w:rPr>
        <w:t xml:space="preserve">Figure 1 is an exemplary mural, painted by graffiti artist Omar Fathy (graffiti signature: Picasso) in September 2012 at which time the Muslim Brotherhood had taken power through the election of Mohamed Morsi. The Brotherhood was perceived by many to care little about promoting the revolutionary agenda; they had probably also made a backroom deal with the military during the transitional period before the presidential election. </w:t>
      </w:r>
      <w:r w:rsidRPr="00A965EA">
        <w:rPr>
          <w:rStyle w:val="StyleUnderline"/>
        </w:rPr>
        <w:t>The mural is significant in a number of ways, each of which points to key aspects of street art that will be addressed in the present book. First, it is painted on the corner of Tahrir Square and Mohamed Mahmoud Street, which became the most widely known site for revolutionary graffiti and was the location of many street battles with the military and police</w:t>
      </w:r>
      <w:r w:rsidRPr="00A965EA">
        <w:rPr>
          <w:b/>
          <w:u w:val="single"/>
        </w:rPr>
        <w:t xml:space="preserve">. Occupying central places in the city ensures high visibility and infuses the space with a revolutionary identity, showing it is not under full state control. </w:t>
      </w:r>
      <w:r w:rsidRPr="00A965EA">
        <w:rPr>
          <w:b/>
          <w:sz w:val="16"/>
        </w:rPr>
        <w:t xml:space="preserve">Throughout </w:t>
      </w:r>
      <w:r w:rsidRPr="00A965EA">
        <w:rPr>
          <w:sz w:val="16"/>
        </w:rPr>
        <w:t xml:space="preserve">this book we will see examples of strategic placement of images to advance a particular political project, as well as how places and images mutually interrelate (see Latorre, this volume; Mattar, this volume; Smith, this volume; Agustín, this volume). Second, </w:t>
      </w:r>
      <w:r w:rsidRPr="00A965EA">
        <w:rPr>
          <w:b/>
          <w:u w:val="single"/>
        </w:rPr>
        <w:t>the mural powerfully positions the viewer,</w:t>
      </w:r>
      <w:r w:rsidRPr="00A965EA">
        <w:rPr>
          <w:rStyle w:val="StyleUnderline"/>
        </w:rPr>
        <w:t xml:space="preserve"> in this case quite literally. We stand together with the artist and the Egyptian flag from inside Tahrir, </w:t>
      </w:r>
      <w:r w:rsidRPr="00A965EA">
        <w:rPr>
          <w:b/>
          <w:u w:val="single"/>
        </w:rPr>
        <w:t>facing the violent police and military, who, in turn, shield election</w:t>
      </w:r>
      <w:r w:rsidRPr="00A965EA">
        <w:rPr>
          <w:rStyle w:val="StyleUnderline"/>
        </w:rPr>
        <w:t>.</w:t>
      </w:r>
      <w:r w:rsidRPr="00A965EA">
        <w:rPr>
          <w:sz w:val="16"/>
        </w:rPr>
        <w:t xml:space="preserve"> In the case studies of this book the positioning takes other forms, such as between conflicting social groups (e.g., Irish Catholics and Protestants— see Mattar, this volume), indigenous groups’ struggle with post- colonialism (see Latorre, this volume; Smith, this volume), between artists and the governing system (see Helmy &amp; Frerichs, this volume; Nielsen, this volume; Howell, this volume; Jarbou, this volume) or positioning oneself within city space affirming presence (Zanella, this volume; Mcphie, this volume). Third, </w:t>
      </w:r>
      <w:r w:rsidRPr="00A965EA">
        <w:rPr>
          <w:rStyle w:val="StyleUnderline"/>
        </w:rPr>
        <w:t xml:space="preserve">the image is filled with local and international symbols. The military and police are represented as violent in nature through blood, skull and crossbones, fanged teeth, and a club. ACAB is an international symbol standing for “All Copes Are Bastards”. </w:t>
      </w:r>
      <w:r w:rsidRPr="00A965EA">
        <w:rPr>
          <w:sz w:val="16"/>
        </w:rPr>
        <w:t xml:space="preserve">The artist clothed in the colours of the Egyptian flag, represented with the tools of a more traditional painter. The composite head builds equivalences between past and present authorities, on the right Mubarak and on the left Tantawi, who was the leader of the Supreme Council of the Armed Forces (SCAF). </w:t>
      </w:r>
      <w:r w:rsidRPr="00A965EA">
        <w:rPr>
          <w:rStyle w:val="StyleUnderline"/>
        </w:rPr>
        <w:t xml:space="preserve">Behind them is Mohammad Badie, the Muslim Brotherhood leader, who was thought to be running the show from behind the scenes. The text below reads “the commander never dies,” which rhymes a local proverb that offspring are similar to their parents, so that the parents, in a way, never die. All these symbols operate through feelings that they produce in the viewer, rather than through their “face” value. In the studies of this book we see symbolism </w:t>
      </w:r>
      <w:r w:rsidRPr="00A965EA">
        <w:rPr>
          <w:rStyle w:val="StyleUnderline"/>
        </w:rPr>
        <w:lastRenderedPageBreak/>
        <w:t>borrowed from diverse cultural streams, which are threaded together in street art that aims to challenge local structures of power. This is also illustrated in the book in the use of language and its iconic meaning</w:t>
      </w:r>
      <w:r w:rsidRPr="00A965EA">
        <w:rPr>
          <w:sz w:val="16"/>
        </w:rPr>
        <w:t xml:space="preserve"> (see Hamdy, this volume), </w:t>
      </w:r>
      <w:r w:rsidRPr="00A965EA">
        <w:rPr>
          <w:rStyle w:val="StyleUnderline"/>
        </w:rPr>
        <w:t>as well as indigenous motifs</w:t>
      </w:r>
      <w:r w:rsidRPr="00A965EA">
        <w:rPr>
          <w:sz w:val="16"/>
        </w:rPr>
        <w:t xml:space="preserve"> (see Latorre, this volume; Smith, this volume). </w:t>
      </w:r>
      <w:r w:rsidRPr="00A965EA">
        <w:rPr>
          <w:rStyle w:val="StyleUnderline"/>
        </w:rPr>
        <w:t xml:space="preserve">Finally, </w:t>
      </w:r>
      <w:r w:rsidRPr="00A965EA">
        <w:rPr>
          <w:b/>
          <w:u w:val="single"/>
        </w:rPr>
        <w:t>it is the nature of street art to be transitory</w:t>
      </w:r>
      <w:r w:rsidRPr="00A965EA">
        <w:rPr>
          <w:sz w:val="16"/>
        </w:rPr>
        <w:t xml:space="preserve">. The above mural was, in fact, the third version painted on the same spot, after earlier ones had been painted over. The first version had just the composite face of Mubarak and Tantawi with the phrase below it. The second version was painted during the presidential elections and included, behind the composite face, the faces of Amr Moussa and Ahmed Shafik, who were earlier members of Mubarak’s political party. After the mural in Fig. 1, a fourth version was painted that included the face of ousted president Mohamed Morsi and the silhouette of a face with a beret behind him, suggesting the coming of military rule. </w:t>
      </w:r>
      <w:r w:rsidRPr="00A965EA">
        <w:rPr>
          <w:rStyle w:val="StyleUnderline"/>
        </w:rPr>
        <w:t>The next day, the artist painted a civilian face to replace the beret, feeling that it might stifle the collective optimism following Morsi’s downfall</w:t>
      </w:r>
      <w:r w:rsidRPr="00A965EA">
        <w:rPr>
          <w:sz w:val="16"/>
        </w:rPr>
        <w:t xml:space="preserve"> (Hamdy &amp; Karl, 2014). </w:t>
      </w:r>
      <w:r w:rsidRPr="00A965EA">
        <w:rPr>
          <w:rStyle w:val="StyleUnderline"/>
        </w:rPr>
        <w:t xml:space="preserve">Thus, </w:t>
      </w:r>
      <w:r w:rsidRPr="00A965EA">
        <w:rPr>
          <w:b/>
          <w:u w:val="single"/>
        </w:rPr>
        <w:t>this mural took on multiple forms through time, representing the changing power dynamics and popular feelings in Egypt. In addition to being repainted, pictures of the mural were also distributed online and in the publications of numerous books about revolutionary graffiti in Egypt.</w:t>
      </w:r>
      <w:r w:rsidRPr="00A965EA">
        <w:rPr>
          <w:sz w:val="16"/>
        </w:rPr>
        <w:t xml:space="preserve"> The best of these books, Walls of Freedom (Hamdy &amp; Karl, 2014) is now outlawed there.</w:t>
      </w:r>
    </w:p>
    <w:p xmlns:wp14="http://schemas.microsoft.com/office/word/2010/wordml" w:rsidR="0082799E" w:rsidP="0082799E" w:rsidRDefault="0082799E" w14:paraId="0263360A" wp14:textId="77777777">
      <w:pPr>
        <w:pStyle w:val="Heading3"/>
      </w:pPr>
      <w:r>
        <w:lastRenderedPageBreak/>
        <w:t>S: Sabotage</w:t>
      </w:r>
    </w:p>
    <w:p xmlns:wp14="http://schemas.microsoft.com/office/word/2010/wordml" w:rsidRPr="002C24EE" w:rsidR="0082799E" w:rsidP="0082799E" w:rsidRDefault="0082799E" w14:paraId="4E9F3ED3" wp14:textId="77777777">
      <w:pPr>
        <w:pStyle w:val="Heading4"/>
        <w:tabs>
          <w:tab w:val="left" w:pos="2970"/>
        </w:tabs>
        <w:rPr>
          <w:rFonts w:cs="Arial"/>
        </w:rPr>
      </w:pPr>
      <w:r w:rsidRPr="002C24EE">
        <w:rPr>
          <w:rFonts w:cs="Arial"/>
        </w:rPr>
        <w:t xml:space="preserve">Graffiti </w:t>
      </w:r>
      <w:r>
        <w:rPr>
          <w:rFonts w:cs="Arial"/>
        </w:rPr>
        <w:t>sabotages authority</w:t>
      </w:r>
    </w:p>
    <w:p xmlns:wp14="http://schemas.microsoft.com/office/word/2010/wordml" w:rsidRPr="002C24EE" w:rsidR="0082799E" w:rsidP="0082799E" w:rsidRDefault="0082799E" w14:paraId="7BEB124A" wp14:textId="77777777">
      <w:pPr>
        <w:rPr>
          <w:sz w:val="18"/>
          <w:szCs w:val="18"/>
        </w:rPr>
      </w:pPr>
      <w:r w:rsidRPr="002C24EE">
        <w:rPr>
          <w:rStyle w:val="Style13ptBold"/>
        </w:rPr>
        <w:t>Bartolomeo 2001</w:t>
      </w:r>
      <w:r w:rsidRPr="002C24EE">
        <w:t xml:space="preserve"> </w:t>
      </w:r>
      <w:r w:rsidRPr="002C24EE">
        <w:rPr>
          <w:sz w:val="18"/>
        </w:rPr>
        <w:t xml:space="preserve">[Bartolomeo, Bradley J. </w:t>
      </w:r>
      <w:r w:rsidRPr="002C24EE">
        <w:rPr>
          <w:i/>
          <w:sz w:val="18"/>
        </w:rPr>
        <w:t>Cement or Canvas: Aerosol Art &amp; The Changing Face of Graffiti in the 21st Century</w:t>
      </w:r>
      <w:r w:rsidRPr="002C24EE">
        <w:rPr>
          <w:sz w:val="18"/>
        </w:rPr>
        <w:t xml:space="preserve">. Union College, 2001.  </w:t>
      </w:r>
      <w:hyperlink w:history="1" w:anchor="Symptoms_of_Change" r:id="rId12">
        <w:r w:rsidRPr="002C24EE">
          <w:rPr>
            <w:rStyle w:val="Hyperlink"/>
            <w:sz w:val="18"/>
          </w:rPr>
          <w:t>https://www.graffiti.org/faq/graffiti-is-part-of-us.html#Symptoms_of_Change</w:t>
        </w:r>
      </w:hyperlink>
      <w:r w:rsidRPr="002C24EE">
        <w:rPr>
          <w:sz w:val="18"/>
        </w:rPr>
        <w:t xml:space="preserve">  Graduate of Union College and Benjamin N. Cardozo School of Law with degrees in anthropology, psychology, and law.]</w:t>
      </w:r>
      <w:r w:rsidRPr="002C24EE">
        <w:rPr>
          <w:sz w:val="18"/>
          <w:szCs w:val="18"/>
        </w:rPr>
        <w:t>//MMS</w:t>
      </w:r>
    </w:p>
    <w:p xmlns:wp14="http://schemas.microsoft.com/office/word/2010/wordml" w:rsidRPr="002C24EE" w:rsidR="0082799E" w:rsidP="0082799E" w:rsidRDefault="0082799E" w14:paraId="0ED682A8" wp14:textId="77777777">
      <w:pPr>
        <w:pStyle w:val="NormalWeb"/>
        <w:rPr>
          <w:rFonts w:ascii="Arial" w:hAnsi="Arial" w:cs="Arial"/>
          <w:sz w:val="16"/>
          <w:szCs w:val="22"/>
        </w:rPr>
      </w:pPr>
      <w:r w:rsidRPr="002C24EE">
        <w:rPr>
          <w:rFonts w:ascii="Arial" w:hAnsi="Arial" w:cs="Arial"/>
          <w:sz w:val="16"/>
          <w:szCs w:val="22"/>
        </w:rPr>
        <w:t xml:space="preserve">Many authors, including Ferrell (1993), have interpreted </w:t>
      </w:r>
      <w:r w:rsidRPr="002C24EE">
        <w:rPr>
          <w:rStyle w:val="StyleUnderline"/>
          <w:rFonts w:ascii="Arial" w:hAnsi="Arial" w:cs="Arial"/>
        </w:rPr>
        <w:t>the rebellious nature of graffiti as a type of anarchist resistance. Graffiti can naturally be viewed as a contemporary type of expressive opposition to authority</w:t>
      </w:r>
      <w:r w:rsidRPr="002C24EE">
        <w:rPr>
          <w:rFonts w:ascii="Arial" w:hAnsi="Arial" w:cs="Arial"/>
          <w:sz w:val="16"/>
          <w:szCs w:val="22"/>
        </w:rPr>
        <w:t>; though each individual graffito contains a complex message of its own</w:t>
      </w:r>
      <w:r w:rsidRPr="002C24EE">
        <w:rPr>
          <w:rStyle w:val="StyleUnderline"/>
          <w:rFonts w:ascii="Arial" w:hAnsi="Arial" w:cs="Arial"/>
        </w:rPr>
        <w:t>, there is the simple, implicit assumption that every graffito opposes authority</w:t>
      </w:r>
      <w:r w:rsidRPr="002C24EE">
        <w:rPr>
          <w:rFonts w:ascii="Arial" w:hAnsi="Arial" w:cs="Arial"/>
          <w:sz w:val="16"/>
          <w:szCs w:val="22"/>
        </w:rPr>
        <w:t xml:space="preserve">. Ferrell outlines the different aspects of graffiti that define it as a type of anarchism; first, he argues, </w:t>
      </w:r>
      <w:r w:rsidRPr="002C24EE">
        <w:rPr>
          <w:rStyle w:val="StyleUnderline"/>
          <w:rFonts w:ascii="Arial" w:hAnsi="Arial" w:cs="Arial"/>
        </w:rPr>
        <w:t xml:space="preserve">that graffiti may be considered anarchy due to "adrenaline rush" that is experienced by graffiti artists while engage in the illicit behavior. </w:t>
      </w:r>
      <w:r w:rsidRPr="002C24EE">
        <w:rPr>
          <w:rFonts w:ascii="Arial" w:hAnsi="Arial" w:cs="Arial"/>
          <w:sz w:val="16"/>
          <w:szCs w:val="22"/>
        </w:rPr>
        <w:t xml:space="preserve">"The adrenaline rush of graffiti writing — the moment of illicit pleasure that emerges from the intersection of creativity and illegality — signifies a resistance to authority, a resistance experienced as much in the pit of the stomach as in the head" (Ferrell 1993:172).  </w:t>
      </w:r>
      <w:r w:rsidRPr="002C24EE">
        <w:rPr>
          <w:rStyle w:val="StyleUnderline"/>
          <w:rFonts w:ascii="Arial" w:hAnsi="Arial" w:cs="Arial"/>
        </w:rPr>
        <w:t>The second defining element of graffiti that filters its ideological base towards anarchism lies in the fact that graffiti is a creative and stylistic means through which a message of resistance is conveyed.</w:t>
      </w:r>
      <w:r w:rsidRPr="002C24EE">
        <w:rPr>
          <w:rFonts w:ascii="Arial" w:hAnsi="Arial" w:cs="Arial"/>
          <w:sz w:val="16"/>
          <w:szCs w:val="22"/>
        </w:rPr>
        <w:t xml:space="preserve"> There is a dimension of graffiti that will be addressed later that indicates the emphasis placed on creativity and style. </w:t>
      </w:r>
      <w:r w:rsidRPr="002C24EE">
        <w:rPr>
          <w:rStyle w:val="StyleUnderline"/>
          <w:rFonts w:ascii="Arial" w:hAnsi="Arial" w:cs="Arial"/>
        </w:rPr>
        <w:t>Graffiti writers, therefore, can be considered artists, whose message is conveyed through artistic expression that promotes spontaneity, individuality and creative thought. Ferrell summarizes this argument when he says, "Without the spark of playful creativity, resistance becomes another drudgery, reproducing in its seriousness the structures of authority it seeks to undermine"</w:t>
      </w:r>
      <w:r w:rsidRPr="002C24EE">
        <w:rPr>
          <w:rFonts w:ascii="Arial" w:hAnsi="Arial" w:cs="Arial"/>
          <w:sz w:val="16"/>
          <w:szCs w:val="22"/>
        </w:rPr>
        <w:t xml:space="preserve"> (Ferrell 1993:173).  Ferrell indicates another aspect of graffiti that may be used to define this expressive act as a type of resistance in that within its nature, </w:t>
      </w:r>
      <w:r w:rsidRPr="002C24EE">
        <w:rPr>
          <w:rStyle w:val="StyleUnderline"/>
          <w:rFonts w:ascii="Arial" w:hAnsi="Arial" w:cs="Arial"/>
        </w:rPr>
        <w:t>graffiti is unpredictable and mysterious; when and where graffiti may next be found is a question that will forever remain unanswerable. The lack of predictability inherent in graffiti's nature makes it a threat to those in authority; most graffiti is done whenever the artist feels an urge to 'create'. This lack of a linear, pre-ordained time schedule removes the graffiti artist from the mass society, in turn, making not only their mode of expression an act of anti-social ideology, but also, their behavior a piece of resistance-oriented social commentary</w:t>
      </w:r>
      <w:r w:rsidRPr="002C24EE">
        <w:rPr>
          <w:rFonts w:ascii="Arial" w:hAnsi="Arial" w:cs="Arial"/>
          <w:sz w:val="16"/>
          <w:szCs w:val="22"/>
        </w:rPr>
        <w:t xml:space="preserve">.  Finally, Ferrell identifies, what I and many others would propose as the most significant feature of graffiti; </w:t>
      </w:r>
      <w:r w:rsidRPr="002C24EE">
        <w:rPr>
          <w:rStyle w:val="StyleUnderline"/>
          <w:rFonts w:ascii="Arial" w:hAnsi="Arial" w:cs="Arial"/>
        </w:rPr>
        <w:t>graffiti inherently maintains a position that opposes the authoritative, dominant, and hierarchically structured capitalist society in which we live</w:t>
      </w:r>
      <w:r w:rsidRPr="002C24EE">
        <w:rPr>
          <w:rFonts w:ascii="Arial" w:hAnsi="Arial" w:cs="Arial"/>
          <w:sz w:val="16"/>
          <w:szCs w:val="22"/>
        </w:rPr>
        <w:t xml:space="preserve">. Graffiti shows up when, where, and how it wants; </w:t>
      </w:r>
      <w:r w:rsidRPr="002C24EE">
        <w:rPr>
          <w:rStyle w:val="StyleUnderline"/>
          <w:rFonts w:ascii="Arial" w:hAnsi="Arial" w:cs="Arial"/>
        </w:rPr>
        <w:t>the graffiti artist, in fact, breaks down the 'walls' between the people and their environment.</w:t>
      </w:r>
      <w:r w:rsidRPr="002C24EE">
        <w:rPr>
          <w:rFonts w:ascii="Arial" w:hAnsi="Arial" w:cs="Arial"/>
          <w:sz w:val="16"/>
          <w:szCs w:val="22"/>
        </w:rPr>
        <w:t xml:space="preserve"> This is exactly what is anthropologically significant; </w:t>
      </w:r>
      <w:r w:rsidRPr="002C24EE">
        <w:rPr>
          <w:rStyle w:val="StyleUnderline"/>
          <w:rFonts w:ascii="Arial" w:hAnsi="Arial" w:cs="Arial"/>
        </w:rPr>
        <w:t>graffiti, in its nature, is a reflection on the relationship between people and their environment.</w:t>
      </w:r>
      <w:r w:rsidRPr="002C24EE">
        <w:rPr>
          <w:rFonts w:ascii="Arial" w:hAnsi="Arial" w:cs="Arial"/>
          <w:sz w:val="16"/>
          <w:szCs w:val="22"/>
        </w:rPr>
        <w:t xml:space="preserve"> A testimony to an aspect of culture, the spontaneity with which graffiti is created gives us insight as to the people that do it; though the graffitist's behavior sporadic, his/her message remains the same. </w:t>
      </w:r>
      <w:r w:rsidRPr="002C24EE">
        <w:rPr>
          <w:rStyle w:val="StyleUnderline"/>
          <w:rFonts w:ascii="Arial" w:hAnsi="Arial" w:cs="Arial"/>
        </w:rPr>
        <w:t>Graffiti artists contest the elitist control of the fate of our society's living environment</w:t>
      </w:r>
      <w:r w:rsidRPr="002C24EE">
        <w:rPr>
          <w:rFonts w:ascii="Arial" w:hAnsi="Arial" w:cs="Arial"/>
          <w:sz w:val="16"/>
          <w:szCs w:val="22"/>
        </w:rPr>
        <w:t xml:space="preserve">. Ferrell summarizes this argument when he says: </w:t>
      </w:r>
      <w:r w:rsidRPr="002C24EE">
        <w:rPr>
          <w:rStyle w:val="StyleUnderline"/>
          <w:rFonts w:ascii="Arial" w:hAnsi="Arial" w:cs="Arial"/>
        </w:rPr>
        <w:t>Graffiti writing breaks the hegemonic hold of corporate/governmental style over the urban environment and the situations of daily life. As a form of aesthetic sabotage, it interrupts the pleasant, efficient uniformity of "planned" urban space and predictable urban living. For the writers, graffiti disrupts the lived experience of mass culture, the passivity of mediated consumption.</w:t>
      </w:r>
      <w:r w:rsidRPr="002C24EE">
        <w:rPr>
          <w:rFonts w:ascii="Arial" w:hAnsi="Arial" w:cs="Arial"/>
          <w:sz w:val="16"/>
          <w:szCs w:val="22"/>
        </w:rPr>
        <w:t xml:space="preserve"> (Ferrell 1993:176)</w:t>
      </w:r>
      <w:r w:rsidRPr="002C24EE">
        <w:rPr>
          <w:rFonts w:ascii="Arial" w:hAnsi="Arial" w:cs="Arial"/>
          <w:sz w:val="16"/>
        </w:rPr>
        <w:t xml:space="preserve"> </w:t>
      </w:r>
      <w:r w:rsidRPr="002C24EE">
        <w:rPr>
          <w:rFonts w:ascii="Arial" w:hAnsi="Arial" w:cs="Arial"/>
          <w:sz w:val="16"/>
          <w:szCs w:val="22"/>
        </w:rPr>
        <w:t>Thus, graffiti, in of itself, is a type of discourse that lends us to many different paths of exploration. On the one hand, the behavior of the graffiti artist remains a mystery to many of us; a psychological exploration of the intrinsic pleasures of its creation may only be understood through speaking with those people who engage in the behavior. This is where the anthropological perspective becomes significant. Through ethnographic research and personal graffiti narratives, it will be possible to uncover many of the underlying motivations for the behavior and also illuminate how graffiti implicitly comments on contemporary culture and the people who create it.</w:t>
      </w:r>
    </w:p>
    <w:p xmlns:wp14="http://schemas.microsoft.com/office/word/2010/wordml" w:rsidRPr="000A1182" w:rsidR="0082799E" w:rsidP="0082799E" w:rsidRDefault="0082799E" w14:paraId="34CE0A41" wp14:textId="77777777"/>
    <w:p xmlns:wp14="http://schemas.microsoft.com/office/word/2010/wordml" w:rsidR="00C519FF" w:rsidP="00C519FF" w:rsidRDefault="00C519FF" w14:paraId="1F4AF8EE" wp14:textId="77777777">
      <w:pPr>
        <w:pStyle w:val="Heading2"/>
      </w:pPr>
      <w:r>
        <w:lastRenderedPageBreak/>
        <w:t>AFF Answers</w:t>
      </w:r>
    </w:p>
    <w:p xmlns:wp14="http://schemas.microsoft.com/office/word/2010/wordml" w:rsidR="0082799E" w:rsidP="00C519FF" w:rsidRDefault="0082799E" w14:paraId="5E66CAD2" wp14:textId="77777777">
      <w:pPr>
        <w:pStyle w:val="Heading3"/>
      </w:pPr>
      <w:r>
        <w:lastRenderedPageBreak/>
        <w:t>A2: No Spillover</w:t>
      </w:r>
    </w:p>
    <w:p xmlns:wp14="http://schemas.microsoft.com/office/word/2010/wordml" w:rsidRPr="009F325C" w:rsidR="0082799E" w:rsidP="0082799E" w:rsidRDefault="0082799E" w14:paraId="697EA8EB" wp14:textId="77777777">
      <w:pPr>
        <w:pStyle w:val="Heading4"/>
        <w:rPr>
          <w:rFonts w:eastAsia="TimesNewRomanPSMT" w:asciiTheme="minorHAnsi" w:hAnsiTheme="minorHAnsi" w:cstheme="minorHAnsi"/>
        </w:rPr>
      </w:pPr>
      <w:r>
        <w:rPr>
          <w:rFonts w:eastAsia="TimesNewRomanPSMT" w:asciiTheme="minorHAnsi" w:hAnsiTheme="minorHAnsi" w:cstheme="minorHAnsi"/>
        </w:rPr>
        <w:t xml:space="preserve">Illicit performance and aesthetics facilitate post-border attitudes that materially aid in illicit migration, for example the transborder immigrant tool combines aesthetics with praxis to help individuals cross the US-Mexico border but also is a virtual art piece that challenge ideological and cultural boundaries of the US nation-state </w:t>
      </w:r>
    </w:p>
    <w:p xmlns:wp14="http://schemas.microsoft.com/office/word/2010/wordml" w:rsidRPr="009F325C" w:rsidR="0082799E" w:rsidP="0082799E" w:rsidRDefault="0082799E" w14:paraId="1EDE8BF6" wp14:textId="77777777">
      <w:pPr>
        <w:autoSpaceDE w:val="0"/>
        <w:autoSpaceDN w:val="0"/>
        <w:adjustRightInd w:val="0"/>
        <w:spacing w:after="0" w:line="240" w:lineRule="auto"/>
        <w:rPr>
          <w:rFonts w:eastAsia="TimesNewRomanPSMT" w:asciiTheme="minorHAnsi" w:hAnsiTheme="minorHAnsi" w:cstheme="minorHAnsi"/>
        </w:rPr>
      </w:pPr>
      <w:r w:rsidRPr="009F325C">
        <w:rPr>
          <w:rStyle w:val="Style13ptBold"/>
          <w:rFonts w:asciiTheme="minorHAnsi" w:hAnsiTheme="minorHAnsi" w:cstheme="minorHAnsi"/>
        </w:rPr>
        <w:t>Aushana 2012</w:t>
      </w:r>
      <w:r w:rsidRPr="009F325C">
        <w:rPr>
          <w:rFonts w:asciiTheme="minorHAnsi" w:hAnsiTheme="minorHAnsi" w:cstheme="minorHAnsi"/>
        </w:rPr>
        <w:t xml:space="preserve"> </w:t>
      </w:r>
      <w:r w:rsidRPr="009F325C">
        <w:rPr>
          <w:rFonts w:asciiTheme="minorHAnsi" w:hAnsiTheme="minorHAnsi" w:cstheme="minorHAnsi"/>
          <w:sz w:val="18"/>
        </w:rPr>
        <w:t xml:space="preserve">[Aushana, Christina A. </w:t>
      </w:r>
      <w:r w:rsidRPr="009F325C">
        <w:rPr>
          <w:rFonts w:asciiTheme="minorHAnsi" w:hAnsiTheme="minorHAnsi" w:cstheme="minorHAnsi"/>
          <w:bCs/>
          <w:i/>
          <w:sz w:val="18"/>
        </w:rPr>
        <w:t>Transborder Art Activism and the U.S.-Mexico Border: Analyzing “Artscapes” as Forms of Resistance and Cultural Production in the Frame of Globalization</w:t>
      </w:r>
      <w:r w:rsidRPr="009F325C">
        <w:rPr>
          <w:rFonts w:asciiTheme="minorHAnsi" w:hAnsiTheme="minorHAnsi" w:cstheme="minorHAnsi"/>
          <w:bCs/>
          <w:sz w:val="18"/>
        </w:rPr>
        <w:t xml:space="preserve">. 2012 Christna Aushana holds degrees in communication and visual arts studies.  She also co founded an organization in San Diego called </w:t>
      </w:r>
      <w:r w:rsidRPr="009F325C">
        <w:rPr>
          <w:rFonts w:eastAsia="TimesNewRomanPSMT" w:asciiTheme="minorHAnsi" w:hAnsiTheme="minorHAnsi" w:cstheme="minorHAnsi"/>
          <w:sz w:val="18"/>
        </w:rPr>
        <w:t>Rethink Art: Afterschool Art Activism</w:t>
      </w:r>
      <w:r w:rsidRPr="009F325C">
        <w:rPr>
          <w:rFonts w:asciiTheme="minorHAnsi" w:hAnsiTheme="minorHAnsi" w:cstheme="minorHAnsi"/>
          <w:bCs/>
          <w:sz w:val="18"/>
        </w:rPr>
        <w:t>]</w:t>
      </w:r>
      <w:r>
        <w:rPr>
          <w:rFonts w:asciiTheme="minorHAnsi" w:hAnsiTheme="minorHAnsi" w:cstheme="minorHAnsi"/>
          <w:bCs/>
          <w:sz w:val="18"/>
        </w:rPr>
        <w:t>//MMS</w:t>
      </w:r>
    </w:p>
    <w:p xmlns:wp14="http://schemas.microsoft.com/office/word/2010/wordml" w:rsidRPr="009F325C" w:rsidR="0082799E" w:rsidP="0082799E" w:rsidRDefault="0082799E" w14:paraId="04920993" wp14:textId="77777777">
      <w:pPr>
        <w:autoSpaceDE w:val="0"/>
        <w:autoSpaceDN w:val="0"/>
        <w:adjustRightInd w:val="0"/>
        <w:spacing w:after="0" w:line="240" w:lineRule="auto"/>
        <w:rPr>
          <w:rFonts w:eastAsia="TimesNewRomanPSMT" w:asciiTheme="minorHAnsi" w:hAnsiTheme="minorHAnsi" w:cstheme="minorHAnsi"/>
          <w:sz w:val="16"/>
        </w:rPr>
      </w:pPr>
      <w:r w:rsidRPr="009F325C">
        <w:rPr>
          <w:rFonts w:asciiTheme="minorHAnsi" w:hAnsiTheme="minorHAnsi" w:cstheme="minorHAnsi"/>
          <w:bCs/>
          <w:sz w:val="16"/>
        </w:rPr>
        <w:t xml:space="preserve">Art Activism in the 1960s and 1970s: Brief History of the Chicano Art Movement </w:t>
      </w:r>
      <w:r w:rsidRPr="009F325C">
        <w:rPr>
          <w:rFonts w:eastAsia="TimesNewRomanPSMT" w:asciiTheme="minorHAnsi" w:hAnsiTheme="minorHAnsi" w:cstheme="minorHAnsi"/>
          <w:sz w:val="16"/>
        </w:rPr>
        <w:t xml:space="preserve">Historically speaking, the notion of art as a vehicle for social change and as a form of resistance to and re-contextualization of global cultural flows is a relatively new idea, born out of necessity during social upheavals or changes in political climate. This theoretical social and political environment characterized the United States </w:t>
      </w:r>
      <w:r w:rsidRPr="002C24EE">
        <w:rPr>
          <w:rStyle w:val="StyleUnderline"/>
        </w:rPr>
        <w:t>in the 1960s and 1970s, a period in which political and ethnic minority groups were pushed to the margins of mainstream, heteronormative American culture. These particular individuals and groups attempted to find their own voices through various modalities. One avenue that was utilized as a tool for social and political mobility was contemporary art, which included a multitude of mediums, from performance to installation art. One movement in particular pushed back against America’s history of cultural imperialism -the Chicano Art Movement</w:t>
      </w:r>
      <w:r w:rsidRPr="009F325C">
        <w:rPr>
          <w:rFonts w:eastAsia="TimesNewRomanPSMT" w:asciiTheme="minorHAnsi" w:hAnsiTheme="minorHAnsi" w:cstheme="minorHAnsi"/>
          <w:sz w:val="16"/>
        </w:rPr>
        <w:t xml:space="preserve">. By examining some of the work of artists within this movement, one can see how the “ideas developed by the different...thinkers discussed here have been influenced and have influenced strategies of struggle within the Chicano and Border art communities” (Malagamba-Ansótegui 28). Within these communities, </w:t>
      </w:r>
      <w:r w:rsidRPr="002C24EE">
        <w:rPr>
          <w:rStyle w:val="StyleUnderline"/>
        </w:rPr>
        <w:t xml:space="preserve">Chicano artists created new hybrid identities for borderlanders and those who lived in relation to the border fence.  The notion of a hybrid community was brought to the foreground by artists involved in the Chicano Art Movement, </w:t>
      </w:r>
      <w:r w:rsidRPr="009F325C">
        <w:rPr>
          <w:rFonts w:eastAsia="TimesNewRomanPSMT" w:asciiTheme="minorHAnsi" w:hAnsiTheme="minorHAnsi" w:cstheme="minorHAnsi"/>
          <w:sz w:val="16"/>
        </w:rPr>
        <w:t xml:space="preserve">who were attempting to make visible the individuals who had been marginalized and stereotyped as outside of American society through their artworks.  </w:t>
      </w:r>
      <w:r w:rsidRPr="002C24EE">
        <w:rPr>
          <w:rStyle w:val="StyleUnderline"/>
        </w:rPr>
        <w:t>By using the border as a fertile site for installations and performance art, artists affiliated with the Chicano Art Movement made marginalized individuals who lived by the border symbolically visible.</w:t>
      </w:r>
      <w:r w:rsidRPr="009F325C">
        <w:rPr>
          <w:rFonts w:eastAsia="TimesNewRomanPSMT" w:asciiTheme="minorHAnsi" w:hAnsiTheme="minorHAnsi" w:cstheme="minorHAnsi"/>
          <w:sz w:val="16"/>
        </w:rPr>
        <w:t xml:space="preserve"> In the case of Chicano artist Malaquías Montoya, his works have functioned as modes of resistance against dominant discourses about the U.S.-Mexico border and those who cross it daily. Through his paintings and silkscreens, most created in the late 1970s, Montoya explored the human landscape of Mexican migration in order to give new meanings to buzz words like “alien” and “undocumented.” This is vividly illustrated in his </w:t>
      </w:r>
      <w:r w:rsidRPr="002C24EE">
        <w:rPr>
          <w:rStyle w:val="StyleUnderline"/>
        </w:rPr>
        <w:t xml:space="preserve">1981 silkscreen piece </w:t>
      </w:r>
      <w:r w:rsidRPr="009F325C">
        <w:rPr>
          <w:rFonts w:asciiTheme="minorHAnsi" w:hAnsiTheme="minorHAnsi" w:cstheme="minorHAnsi"/>
          <w:i/>
          <w:iCs/>
          <w:u w:val="single"/>
        </w:rPr>
        <w:t>Undocumented</w:t>
      </w:r>
      <w:r w:rsidRPr="002C24EE">
        <w:rPr>
          <w:rStyle w:val="StyleUnderline"/>
        </w:rPr>
        <w:t xml:space="preserve">, in which a faceless figure is caught between rows of barbed wire. The fact that the figure lacks recognizable facial features seems to echo notions of social and political invisibility, </w:t>
      </w:r>
      <w:r w:rsidRPr="009F325C">
        <w:rPr>
          <w:rFonts w:eastAsia="TimesNewRomanPSMT" w:asciiTheme="minorHAnsi" w:hAnsiTheme="minorHAnsi" w:cstheme="minorHAnsi"/>
          <w:sz w:val="16"/>
        </w:rPr>
        <w:t>an issue which many border artists have attempted to tackle (See Appendix, Fig. 1). However, the most salient symbol used in this piece is the barbed wire, which works on a variety of connotative levels to provide layers of complex meaning to the piece. For instance, the presence of the barbed wire seems to connote notions of forced confinement, such as in the case of the Jewish Holocaust. However, while “</w:t>
      </w:r>
      <w:r w:rsidRPr="002C24EE">
        <w:rPr>
          <w:rStyle w:val="StyleUnderline"/>
        </w:rPr>
        <w:t>used in relation to the border, barbed wire suggests a contemporary, ongoing holocaust.</w:t>
      </w:r>
      <w:r w:rsidRPr="009F325C">
        <w:rPr>
          <w:rFonts w:eastAsia="TimesNewRomanPSMT" w:asciiTheme="minorHAnsi" w:hAnsiTheme="minorHAnsi" w:cstheme="minorHAnsi"/>
          <w:sz w:val="16"/>
        </w:rPr>
        <w:t>..most importantly...</w:t>
      </w:r>
      <w:r w:rsidRPr="002C24EE">
        <w:rPr>
          <w:rStyle w:val="StyleUnderline"/>
        </w:rPr>
        <w:t>barbed wire</w:t>
      </w:r>
      <w:r w:rsidRPr="009F325C">
        <w:rPr>
          <w:rFonts w:eastAsia="TimesNewRomanPSMT" w:asciiTheme="minorHAnsi" w:hAnsiTheme="minorHAnsi" w:cstheme="minorHAnsi"/>
          <w:sz w:val="16"/>
        </w:rPr>
        <w:t xml:space="preserve"> in this and other pieces by Montoya, </w:t>
      </w:r>
      <w:r w:rsidRPr="002C24EE">
        <w:rPr>
          <w:rStyle w:val="StyleUnderline"/>
        </w:rPr>
        <w:t>functions as a direct reference to the border as a place</w:t>
      </w:r>
      <w:r w:rsidRPr="009F325C">
        <w:rPr>
          <w:rFonts w:eastAsia="TimesNewRomanPSMT" w:asciiTheme="minorHAnsi" w:hAnsiTheme="minorHAnsi" w:cstheme="minorHAnsi"/>
          <w:sz w:val="16"/>
        </w:rPr>
        <w:t xml:space="preserve">” (Malagamba-Ansótegui 64). By utilizing the physical barbed wire of the border as a symbol, Montoya is able to illustrate the physical conditions of location and place that are at work in grounding global cultural flows. </w:t>
      </w:r>
      <w:r w:rsidRPr="002C24EE">
        <w:rPr>
          <w:rStyle w:val="StyleUnderline"/>
        </w:rPr>
        <w:t>This discourse</w:t>
      </w:r>
      <w:r w:rsidRPr="009F325C">
        <w:rPr>
          <w:rFonts w:eastAsia="TimesNewRomanPSMT" w:asciiTheme="minorHAnsi" w:hAnsiTheme="minorHAnsi" w:cstheme="minorHAnsi"/>
          <w:sz w:val="16"/>
        </w:rPr>
        <w:t xml:space="preserve">, which Montoya attempts to create in his artwork, </w:t>
      </w:r>
      <w:r w:rsidRPr="002C24EE">
        <w:rPr>
          <w:rStyle w:val="StyleUnderline"/>
        </w:rPr>
        <w:t>pushes back against the dominant ideologies and visual representations that the mass media has often employed in stereotyping Mexican migrants as lawless intruders</w:t>
      </w:r>
      <w:r w:rsidRPr="009F325C">
        <w:rPr>
          <w:rFonts w:eastAsia="TimesNewRomanPSMT" w:asciiTheme="minorHAnsi" w:hAnsiTheme="minorHAnsi" w:cstheme="minorHAnsi"/>
          <w:sz w:val="16"/>
        </w:rPr>
        <w:t xml:space="preserve">. Newspaper articles and photographs have often illustrated that “stereotypes loom largest at the border, beyond which awaits the ‘other’, threatening to cross” (Kelley 18). These stereotypes are indicative of Edward Said’s notion of the “Other,” which many Chicano artists during this period referenced by using representations of the “Other” in their work. By looking at the modes by which art activists of the 1970s critiqued stereotypes about the border, one can see how new cultural constructions were formed and how they were created in opposition to hegemonic global cultural flows which deemed borderlanders as others. After this period in the 1970s, performance artist Guillermo Gómez-Peña and </w:t>
      </w:r>
      <w:r w:rsidRPr="002C24EE">
        <w:rPr>
          <w:rStyle w:val="StyleUnderline"/>
        </w:rPr>
        <w:t>the art collective known as the Border Art Workshop/Taller de Arte Fronterizo</w:t>
      </w:r>
      <w:r w:rsidRPr="009F325C">
        <w:rPr>
          <w:rFonts w:eastAsia="TimesNewRomanPSMT" w:asciiTheme="minorHAnsi" w:hAnsiTheme="minorHAnsi" w:cstheme="minorHAnsi"/>
          <w:sz w:val="16"/>
        </w:rPr>
        <w:t xml:space="preserve"> </w:t>
      </w:r>
      <w:r w:rsidRPr="002C24EE">
        <w:rPr>
          <w:rStyle w:val="StyleUnderline"/>
        </w:rPr>
        <w:t>(BAWTAF) began to build upon the narrative structures utilized by Chicano artists and constructed new modes for engaging with political discourses of race, geography, and class through matrices of performance art during the 1980s and 1990s</w:t>
      </w:r>
      <w:r w:rsidRPr="009F325C">
        <w:rPr>
          <w:rFonts w:eastAsia="TimesNewRomanPSMT" w:asciiTheme="minorHAnsi" w:hAnsiTheme="minorHAnsi" w:cstheme="minorHAnsi"/>
          <w:sz w:val="16"/>
        </w:rPr>
        <w:t xml:space="preserve">.  </w:t>
      </w:r>
      <w:r w:rsidRPr="009F325C">
        <w:rPr>
          <w:rFonts w:asciiTheme="minorHAnsi" w:hAnsiTheme="minorHAnsi" w:cstheme="minorHAnsi"/>
          <w:bCs/>
          <w:sz w:val="16"/>
        </w:rPr>
        <w:t xml:space="preserve">Art Activism in the 1980s and 1990s: The Work of Guillermo Gómez-Peña and the Border Art Workshop/Taller de Arte Fronterizo </w:t>
      </w:r>
      <w:r w:rsidRPr="002C24EE">
        <w:rPr>
          <w:rStyle w:val="StyleUnderline"/>
        </w:rPr>
        <w:lastRenderedPageBreak/>
        <w:t>Due to the shifting political climate of the United States in the 1980s, the changing relationship between the United States and its southern neighbor presented the fertile inspiration by which art activists could create artworks that functioned as forms of resistance against hegemonic systems of power</w:t>
      </w:r>
      <w:r w:rsidRPr="009F325C">
        <w:rPr>
          <w:rFonts w:eastAsia="TimesNewRomanPSMT" w:asciiTheme="minorHAnsi" w:hAnsiTheme="minorHAnsi" w:cstheme="minorHAnsi"/>
          <w:sz w:val="16"/>
        </w:rPr>
        <w:t xml:space="preserve">. No single art activist utilized stereotypes and aesthetics of indigenization in order to critique America’s cultural imperialist past while speaking to the formation of hybrid identities with as much skill as Guillermo Gómez-Peña. As one author notes, somewhere “between literature, theatre, and performance, there is the work of Guillermo Gómez-Peña, a border explorer who spread his interest to several artists and cultural activists of Tijuana” (Eraña 97). Through the trajectories of his performance art and workshops, Gómez-Peña, following in the tradition of some Chicano artists in the 1970s, utilized symbols of mysticism in order to theorize “new ways of understanding transnational identities and a future condition of decolonization. Since that time, </w:t>
      </w:r>
      <w:r w:rsidRPr="002C24EE">
        <w:rPr>
          <w:rStyle w:val="StyleUnderline"/>
        </w:rPr>
        <w:t xml:space="preserve">many Chicanos have talked about this North/South relationship in terms of the ‘Aztlan’, the ‘mythical’ homeland of the Aztecs, viewing it as a heritage and identity they can claim as their own” </w:t>
      </w:r>
      <w:r w:rsidRPr="009F325C">
        <w:rPr>
          <w:rFonts w:eastAsia="TimesNewRomanPSMT" w:asciiTheme="minorHAnsi" w:hAnsiTheme="minorHAnsi" w:cstheme="minorHAnsi"/>
          <w:sz w:val="16"/>
        </w:rPr>
        <w:t xml:space="preserve">(Leclerc and Dear 16).  </w:t>
      </w:r>
      <w:r w:rsidRPr="002C24EE">
        <w:rPr>
          <w:rStyle w:val="StyleUnderline"/>
        </w:rPr>
        <w:t xml:space="preserve">This idea of embodying an indigenous identity in order to critique the stereotypes engendered within the border is illustrated in </w:t>
      </w:r>
      <w:r w:rsidRPr="009F325C">
        <w:rPr>
          <w:rFonts w:asciiTheme="minorHAnsi" w:hAnsiTheme="minorHAnsi" w:cstheme="minorHAnsi"/>
          <w:i/>
          <w:iCs/>
          <w:u w:val="single"/>
        </w:rPr>
        <w:t>Son of Border Crisis</w:t>
      </w:r>
      <w:r w:rsidRPr="002C24EE">
        <w:rPr>
          <w:rStyle w:val="StyleUnderline"/>
        </w:rPr>
        <w:t>, a 1991 art film by Isaac Artenstein which features Gómez-Peña dressed in a hybrid collection of indigenous garb</w:t>
      </w:r>
      <w:r w:rsidRPr="009F325C">
        <w:rPr>
          <w:rFonts w:eastAsia="TimesNewRomanPSMT" w:asciiTheme="minorHAnsi" w:hAnsiTheme="minorHAnsi" w:cstheme="minorHAnsi"/>
          <w:sz w:val="16"/>
        </w:rPr>
        <w:t xml:space="preserve"> (See Appendix, Fig. 2). This film presents short segments in which Gómez-Peña addresses issues of Otherness, migration, and the imagined threats associated with the national border.  In one segment, entitled “The Mexican Fly,” Gómez-Peña reads from a fake script written for a radio program. He begins to intone that the “Mexican fly” is heading north and will begin to destroy the crops of Southern Californians, a metaphor he utilizes to address fears often associated with migration. Gómez-Peña </w:t>
      </w:r>
      <w:r w:rsidRPr="002C24EE">
        <w:rPr>
          <w:rStyle w:val="StyleUnderline"/>
        </w:rPr>
        <w:t>critiques these fears by referencing the “fear of Otherness” that many inhabitants of the border region hold in relation to undocumented individuals who cross the border</w:t>
      </w:r>
      <w:r w:rsidRPr="009F325C">
        <w:rPr>
          <w:rFonts w:eastAsia="TimesNewRomanPSMT" w:asciiTheme="minorHAnsi" w:hAnsiTheme="minorHAnsi" w:cstheme="minorHAnsi"/>
          <w:sz w:val="16"/>
        </w:rPr>
        <w:t>. He notes that “there is no insecticide for the Mexican fly, no antidote for your fear of otherness...For otherness keeps leaking into the country, into your psyche” (</w:t>
      </w:r>
      <w:r w:rsidRPr="009F325C">
        <w:rPr>
          <w:rFonts w:asciiTheme="minorHAnsi" w:hAnsiTheme="minorHAnsi" w:cstheme="minorHAnsi"/>
          <w:i/>
          <w:iCs/>
          <w:sz w:val="16"/>
        </w:rPr>
        <w:t>Son of Border Crisis</w:t>
      </w:r>
      <w:r w:rsidRPr="009F325C">
        <w:rPr>
          <w:rFonts w:eastAsia="TimesNewRomanPSMT" w:asciiTheme="minorHAnsi" w:hAnsiTheme="minorHAnsi" w:cstheme="minorHAnsi"/>
          <w:sz w:val="16"/>
        </w:rPr>
        <w:t xml:space="preserve">). In this way, </w:t>
      </w:r>
      <w:r w:rsidRPr="002C24EE">
        <w:rPr>
          <w:rStyle w:val="StyleUnderline"/>
        </w:rPr>
        <w:t>Gómez-Peña examines sentiments of xenophobia that are engendered at the site of the border while embodying the stereotypes that are associated with a kind of commercialized Tijuana aesthetic</w:t>
      </w:r>
      <w:r w:rsidRPr="009F325C">
        <w:rPr>
          <w:rFonts w:eastAsia="TimesNewRomanPSMT" w:asciiTheme="minorHAnsi" w:hAnsiTheme="minorHAnsi" w:cstheme="minorHAnsi"/>
          <w:sz w:val="16"/>
        </w:rPr>
        <w:t xml:space="preserve">. He accomplishes this through his unique wardrobe choices: his black hat evokes a 1960s Pachuco fashion sense, his bandolier draws comparisons to that of Mexican revolutionaries like Emiliano Zapata, and the indigenous-styled trinkets he wears are a nod to mestizaje multiculturalism, which is still present in modern Mexican culture. In this way, it seems as though Gómez-Peña creates a hybrid identity composed of various elements of a Chicano, Mexican-American past that is highly fetishized. Additionally, in burdening himself with commercialized trinkets that evoke the stereotypes present in border discourses, Gómez-Peña simultaneously bears the full weight of these stereotypes; he becomes the willing, living mirror through which the audience’s own fears and perceptions of the “Other” are reflected back.  In addition to the aforementioned work, Gómez-Peña has also been involved with the </w:t>
      </w:r>
      <w:r w:rsidRPr="002C24EE">
        <w:rPr>
          <w:rStyle w:val="StyleUnderline"/>
        </w:rPr>
        <w:t>Border Art Workshop/Taller de Arte Fronterizo, commonly referred to as BAW/TAF, an artist collective composed of activists, intellectuals, and artists from the San Diego region of Southern California promoting cross-cultural dialogues between artists and citizens of the border region. BAW/TAF’s work points “to a new diversity of cultures evolving at the intersection of old ones. Their work deconstructs racial stereotypes and subverts the notion of cultural and political pluralism, eliminating the concept of boundary</w:t>
      </w:r>
      <w:r w:rsidRPr="009F325C">
        <w:rPr>
          <w:rFonts w:eastAsia="TimesNewRomanPSMT" w:asciiTheme="minorHAnsi" w:hAnsiTheme="minorHAnsi" w:cstheme="minorHAnsi"/>
          <w:sz w:val="16"/>
        </w:rPr>
        <w:t xml:space="preserve">” (Brookman 189). Between 1984 and 1989, </w:t>
      </w:r>
      <w:r w:rsidRPr="002C24EE">
        <w:rPr>
          <w:rStyle w:val="StyleUnderline"/>
        </w:rPr>
        <w:t xml:space="preserve">these artists installed and displayed works such as the 1987 piece </w:t>
      </w:r>
      <w:r w:rsidRPr="009F325C">
        <w:rPr>
          <w:rFonts w:asciiTheme="minorHAnsi" w:hAnsiTheme="minorHAnsi" w:cstheme="minorHAnsi"/>
          <w:i/>
          <w:iCs/>
          <w:u w:val="single"/>
        </w:rPr>
        <w:t>Is the Border in your Mind, on the Ground or in the Media</w:t>
      </w:r>
      <w:r w:rsidRPr="002C24EE">
        <w:rPr>
          <w:rStyle w:val="StyleUnderline"/>
        </w:rPr>
        <w:t>, an all-encompassing visual and aural art experience which asked viewers to look at the U.S.-Mexico border through a new lens of cultural multiplicity rather than ethnocentrism</w:t>
      </w:r>
      <w:r w:rsidRPr="009F325C">
        <w:rPr>
          <w:rFonts w:eastAsia="TimesNewRomanPSMT" w:asciiTheme="minorHAnsi" w:hAnsiTheme="minorHAnsi" w:cstheme="minorHAnsi"/>
          <w:sz w:val="16"/>
        </w:rPr>
        <w:t xml:space="preserve">. The trajectory of this piece, which incorporated iconic images of migrants and rifle-wielding drug lords, resisted the concept of “the border as a ‘war zone’” (Kelley 14). By utilizing a variety of images of stereotyped individuals, these artists created a hybrid representation of the border region and those who inhabit it.  In discussing the roles both the Border Art Workshop and, more specifically, Gómez-Peña’s work have played in re-contextualizing the U.S.-Mexico border, it is possible to see how their artworks were rooted in a Chicano aesthetic and dealt with an imperial past. In this way, one can see how the Chicano artscape of the 1970s influenced the changing artscapes of the 1980s and early 1990s. By looking at these two periods of transborder art activism in relation to each other, they both sought to recontextualize issues of decolonization and the indigenous histories that underlie the Chicano communities of the border region. Interestingly, in looking at these various works, one can notice how we “are located within the iniquitous circulation routes that connect the traces of the imperial past with the global present” (Meskimmon 57). This illustrates how the phenomenon of cultural imperialism is reframed through global cultural flows produced by art activists. While BAW/TAF was an important historical collective and Gómez-Peña’s performances set the groundwork for new vectors of art activism, more contemporary instances of transborder art activism can be explored through the work of Los Angeles-based artist Rubén Ortiz-Torres.  </w:t>
      </w:r>
      <w:r w:rsidRPr="009F325C">
        <w:rPr>
          <w:rFonts w:asciiTheme="minorHAnsi" w:hAnsiTheme="minorHAnsi" w:cstheme="minorHAnsi"/>
          <w:bCs/>
          <w:sz w:val="16"/>
        </w:rPr>
        <w:t xml:space="preserve">Transborder Art Activism in the Early 2000s: The Work of Rubén Ortiz-Torres </w:t>
      </w:r>
      <w:r w:rsidRPr="002C24EE">
        <w:rPr>
          <w:rStyle w:val="StyleUnderline"/>
        </w:rPr>
        <w:t>By studying the trajectories of Rubén Ortiz-Torres’ work and how it engages local sites of culture, one can see how his work marks another transition in the artscapes that critique globalization</w:t>
      </w:r>
      <w:r w:rsidRPr="009F325C">
        <w:rPr>
          <w:rFonts w:eastAsia="TimesNewRomanPSMT" w:asciiTheme="minorHAnsi" w:hAnsiTheme="minorHAnsi" w:cstheme="minorHAnsi"/>
          <w:sz w:val="16"/>
        </w:rPr>
        <w:t xml:space="preserve">. In looking at one specific art work he created in the early 2000s, one may also notice how the hybridization between cultures comes together and forms new ways of imagining oneself in relation to the U.S.-Mexico border. In the 2002 art installation called </w:t>
      </w:r>
      <w:r w:rsidRPr="009F325C">
        <w:rPr>
          <w:rFonts w:asciiTheme="minorHAnsi" w:hAnsiTheme="minorHAnsi" w:cstheme="minorHAnsi"/>
          <w:i/>
          <w:iCs/>
          <w:sz w:val="16"/>
        </w:rPr>
        <w:t>The Garden of Earthly Delights</w:t>
      </w:r>
      <w:r w:rsidRPr="009F325C">
        <w:rPr>
          <w:rFonts w:eastAsia="TimesNewRomanPSMT" w:asciiTheme="minorHAnsi" w:hAnsiTheme="minorHAnsi" w:cstheme="minorHAnsi"/>
          <w:sz w:val="16"/>
        </w:rPr>
        <w:t xml:space="preserve">, Ortiz-Torres displays a customized gold-plated lawn mower that has been refitted with a hydraulic pump system (See Appendix, Fig. 3). In a video posted on YouTube, Ortiz-Torres’ work can be </w:t>
      </w:r>
      <w:r w:rsidRPr="009F325C">
        <w:rPr>
          <w:rFonts w:eastAsia="TimesNewRomanPSMT" w:asciiTheme="minorHAnsi" w:hAnsiTheme="minorHAnsi" w:cstheme="minorHAnsi"/>
          <w:sz w:val="16"/>
        </w:rPr>
        <w:lastRenderedPageBreak/>
        <w:t xml:space="preserve">seen “dancing” and spinning around in an eclectic show of excess and flashy effects. </w:t>
      </w:r>
      <w:r w:rsidRPr="002C24EE">
        <w:rPr>
          <w:rStyle w:val="StyleUnderline"/>
        </w:rPr>
        <w:t xml:space="preserve">His piece </w:t>
      </w:r>
      <w:r w:rsidRPr="009F325C">
        <w:rPr>
          <w:rFonts w:asciiTheme="minorHAnsi" w:hAnsiTheme="minorHAnsi" w:cstheme="minorHAnsi"/>
          <w:i/>
          <w:iCs/>
          <w:u w:val="single"/>
        </w:rPr>
        <w:t xml:space="preserve">The Garden of Earthly Delights </w:t>
      </w:r>
      <w:r w:rsidRPr="002C24EE">
        <w:rPr>
          <w:rStyle w:val="StyleUnderline"/>
        </w:rPr>
        <w:t>utilizes the aesthetic of Chicano low-rider culture and marries it with the representation of migrant labor</w:t>
      </w:r>
      <w:r w:rsidRPr="009F325C">
        <w:rPr>
          <w:rFonts w:eastAsia="TimesNewRomanPSMT" w:asciiTheme="minorHAnsi" w:hAnsiTheme="minorHAnsi" w:cstheme="minorHAnsi"/>
          <w:sz w:val="16"/>
        </w:rPr>
        <w:t xml:space="preserve">, which is a stereotype that is embedded within the use of lawn mowers by gardeners in many Southern California locales. In this way, </w:t>
      </w:r>
      <w:r w:rsidRPr="002C24EE">
        <w:rPr>
          <w:rStyle w:val="StyleUnderline"/>
        </w:rPr>
        <w:t>Ortiz-Torres constructs a new hybrid identity out of two local sites of culture, which are the low-rider traditions of Southern California Chicano culture and the culture of migrant labor within this border region</w:t>
      </w:r>
      <w:r w:rsidRPr="009F325C">
        <w:rPr>
          <w:rFonts w:eastAsia="TimesNewRomanPSMT" w:asciiTheme="minorHAnsi" w:hAnsiTheme="minorHAnsi" w:cstheme="minorHAnsi"/>
          <w:sz w:val="16"/>
        </w:rPr>
        <w:t xml:space="preserve">. Through these modalities, Ortiz-Torres “creates ultra-hybrid movable forms based on existing elements in popular culture...Building on the Chicano Low Rider tradition, he has applied the idea of customizing and hybridizing to his artwork” (Leclerc and Dear 27). This illustrates how he is able to blend trends of the “local” with forms of global contemporary art. Additionally, </w:t>
      </w:r>
      <w:r w:rsidRPr="009F325C">
        <w:rPr>
          <w:rFonts w:asciiTheme="minorHAnsi" w:hAnsiTheme="minorHAnsi" w:cstheme="minorHAnsi"/>
          <w:i/>
          <w:iCs/>
          <w:sz w:val="16"/>
        </w:rPr>
        <w:t xml:space="preserve">The Garden of Earthly Delights </w:t>
      </w:r>
      <w:r w:rsidRPr="009F325C">
        <w:rPr>
          <w:rFonts w:eastAsia="TimesNewRomanPSMT" w:asciiTheme="minorHAnsi" w:hAnsiTheme="minorHAnsi" w:cstheme="minorHAnsi"/>
          <w:sz w:val="16"/>
        </w:rPr>
        <w:t xml:space="preserve">blurs the line between the banality of objects and their fetishized representations, such as with the extravagant construction of the pink lawn mower in his piece.  In </w:t>
      </w:r>
      <w:r w:rsidRPr="009F325C">
        <w:rPr>
          <w:rFonts w:asciiTheme="minorHAnsi" w:hAnsiTheme="minorHAnsi" w:cstheme="minorHAnsi"/>
          <w:i/>
          <w:iCs/>
          <w:sz w:val="16"/>
        </w:rPr>
        <w:t xml:space="preserve">The Garden of Earthly Delights, </w:t>
      </w:r>
      <w:r w:rsidRPr="009F325C">
        <w:rPr>
          <w:rFonts w:eastAsia="TimesNewRomanPSMT" w:asciiTheme="minorHAnsi" w:hAnsiTheme="minorHAnsi" w:cstheme="minorHAnsi"/>
          <w:sz w:val="16"/>
        </w:rPr>
        <w:t xml:space="preserve">Ortiz-Torres manages to marry the stereotyped representations of migrant works with the vernacular attributed to contemporary art. In discussing his own work, </w:t>
      </w:r>
      <w:r w:rsidRPr="002C24EE">
        <w:rPr>
          <w:rStyle w:val="StyleUnderline"/>
        </w:rPr>
        <w:t>Ortiz-Torres explains that underlying issues of power and property are in conversation with each other within his work, noting that “‘political boundaries start with private property of land protected and defined by force...Workers who have to cross these political and real estate boundaries usually tend to these gardens’</w:t>
      </w:r>
      <w:r w:rsidRPr="009F325C">
        <w:rPr>
          <w:rFonts w:eastAsia="TimesNewRomanPSMT" w:asciiTheme="minorHAnsi" w:hAnsiTheme="minorHAnsi" w:cstheme="minorHAnsi"/>
          <w:sz w:val="16"/>
        </w:rPr>
        <w:t xml:space="preserve">” (Leclerc and Dear 56).  This speaks to the condition of how some migrant’s daily labor is defined in relation to the mechanical form of the lawn mower. </w:t>
      </w:r>
      <w:r w:rsidRPr="002C24EE">
        <w:rPr>
          <w:rStyle w:val="StyleUnderline"/>
        </w:rPr>
        <w:t>By utilizing YouTube as a way of disseminating his work, Ortiz-Torres’ work illustrates how art is able to transcend physical territories and move into the borderless space of the Internet</w:t>
      </w:r>
      <w:r w:rsidRPr="009F325C">
        <w:rPr>
          <w:rFonts w:eastAsia="TimesNewRomanPSMT" w:asciiTheme="minorHAnsi" w:hAnsiTheme="minorHAnsi" w:cstheme="minorHAnsi"/>
          <w:sz w:val="16"/>
        </w:rPr>
        <w:t xml:space="preserve">. By engaging with the space and specificity of the local, such as Chicano low-rider culture, Ortiz-Torres is able to bring local sites of culture into the realm of the global through websites like YouTube. Another transborder art activist who uses the digital realm as a platform for critiquing global cultural flows is Ricardo Dominguez, creator of the </w:t>
      </w:r>
      <w:r w:rsidRPr="009F325C">
        <w:rPr>
          <w:rFonts w:asciiTheme="minorHAnsi" w:hAnsiTheme="minorHAnsi" w:cstheme="minorHAnsi"/>
          <w:i/>
          <w:iCs/>
          <w:sz w:val="16"/>
        </w:rPr>
        <w:t>Transborder Immigrant Tool</w:t>
      </w:r>
      <w:r w:rsidRPr="009F325C">
        <w:rPr>
          <w:rFonts w:eastAsia="TimesNewRomanPSMT" w:asciiTheme="minorHAnsi" w:hAnsiTheme="minorHAnsi" w:cstheme="minorHAnsi"/>
          <w:sz w:val="16"/>
        </w:rPr>
        <w:t xml:space="preserve">.  </w:t>
      </w:r>
      <w:r w:rsidRPr="009F325C">
        <w:rPr>
          <w:rFonts w:asciiTheme="minorHAnsi" w:hAnsiTheme="minorHAnsi" w:cstheme="minorHAnsi"/>
          <w:bCs/>
          <w:sz w:val="16"/>
        </w:rPr>
        <w:t xml:space="preserve">Transborder Art and Electronic Civil Disobedience: Ricardo Dominguez and the Transborder Immigrant Tool </w:t>
      </w:r>
      <w:r w:rsidRPr="009F325C">
        <w:rPr>
          <w:rFonts w:eastAsia="TimesNewRomanPSMT" w:asciiTheme="minorHAnsi" w:hAnsiTheme="minorHAnsi" w:cstheme="minorHAnsi"/>
          <w:sz w:val="16"/>
        </w:rPr>
        <w:t xml:space="preserve">In the realm of art activism in the present day, it seems fitting that practices and theories of contemporary art should cross paths with the technological conventions of the year 2010. It seems that no one understands the potential of this combination better than Ricardo Dominguez, a tenured faculty member at the University of California, San Diego. Working within both the Visual Arts Department as a professor and as a researcher at the California Institute for Telecommunications and Information Technology, known as Calit2, Dominguez utilizes his knowledge of both fields in order to </w:t>
      </w:r>
      <w:r w:rsidRPr="002C24EE">
        <w:rPr>
          <w:rStyle w:val="StyleUnderline"/>
        </w:rPr>
        <w:t>create contemporary art pieces which resist dominant discourses about the U.S.-Mexico border while also questioning the role of art within the global institution of art itself. Within this discussion about transborder art activism, it will become clear that the “institution of art is seen here as the social structure which has the power to legitimize what is art and who is an artist through its control of the process of production, circulation and consumption</w:t>
      </w:r>
      <w:r w:rsidRPr="009F325C">
        <w:rPr>
          <w:rFonts w:eastAsia="TimesNewRomanPSMT" w:asciiTheme="minorHAnsi" w:hAnsiTheme="minorHAnsi" w:cstheme="minorHAnsi"/>
          <w:sz w:val="16"/>
        </w:rPr>
        <w:t xml:space="preserve">” (Malagamba-Ansótegui 28). Through the development of his device and the mass media’s reaction to it, Dominguez illustrates that art that provokes a new kind of discourse about the border is capable of legitimizing itself as a social force. The </w:t>
      </w:r>
      <w:r w:rsidRPr="009F325C">
        <w:rPr>
          <w:rFonts w:asciiTheme="minorHAnsi" w:hAnsiTheme="minorHAnsi" w:cstheme="minorHAnsi"/>
          <w:i/>
          <w:iCs/>
          <w:sz w:val="16"/>
        </w:rPr>
        <w:t>Transborder Immigrant Tool</w:t>
      </w:r>
      <w:r w:rsidRPr="009F325C">
        <w:rPr>
          <w:rFonts w:eastAsia="TimesNewRomanPSMT" w:asciiTheme="minorHAnsi" w:hAnsiTheme="minorHAnsi" w:cstheme="minorHAnsi"/>
          <w:sz w:val="16"/>
        </w:rPr>
        <w:t xml:space="preserve">, created by Dominguez and a team of artists, is a cell phone with GPS capabilities that is able to locate water bins in the desert (See Appendix, Fig. 4). This virtual divining rod is intended to be used by undocumented migrants crossing the U.S.-Mexico border who are in danger of suffering from dehydration. In addition to providing the locations of water bins, the device also shows the nearest U.S. Border Patrol stations and other landmarks on both sides of the border.  </w:t>
      </w:r>
      <w:r w:rsidRPr="002C24EE">
        <w:rPr>
          <w:rStyle w:val="StyleUnderline"/>
        </w:rPr>
        <w:t xml:space="preserve">In terms of the digital nature of Dominguez’s work, it is important to realize that, while the </w:t>
      </w:r>
      <w:r w:rsidRPr="007816FF">
        <w:rPr>
          <w:rFonts w:asciiTheme="minorHAnsi" w:hAnsiTheme="minorHAnsi" w:cstheme="minorHAnsi"/>
          <w:b/>
          <w:i/>
          <w:iCs/>
          <w:u w:val="single"/>
        </w:rPr>
        <w:t xml:space="preserve">Transborder Immigrant Tool </w:t>
      </w:r>
      <w:r w:rsidRPr="007816FF">
        <w:rPr>
          <w:rStyle w:val="StyleUnderline"/>
          <w:b w:val="0"/>
        </w:rPr>
        <w:t>is</w:t>
      </w:r>
      <w:r w:rsidRPr="002C24EE">
        <w:rPr>
          <w:rStyle w:val="StyleUnderline"/>
        </w:rPr>
        <w:t xml:space="preserve"> a physical object, its significance can be found in the fact that videos of the tool being used and discussed dominate the digital realm and inhabit the virtual flows of the Internet; local migration phenomena makes a global impact due to its presence on YouTube and other social networking websites, such as Facebook and Twitter. This form of resistance to hegemonic discourses on migration defines the artwork as one that “cannot be absorbed into the pleasures of a global marketing culture...One that speaks its location as more than local, yet makes no claim to universality for its viewpoint or language. One that knows the border and crosses the line”</w:t>
      </w:r>
      <w:r w:rsidRPr="009F325C">
        <w:rPr>
          <w:rFonts w:eastAsia="TimesNewRomanPSMT" w:asciiTheme="minorHAnsi" w:hAnsiTheme="minorHAnsi" w:cstheme="minorHAnsi"/>
          <w:sz w:val="16"/>
        </w:rPr>
        <w:t xml:space="preserve"> (Sanchez-Tranquilino and Tagg 105). Through the dissemination of this tool, Dominguez’s artwork forms a new digital signature that is hybridized with other migrant identities, bringing this local phenomenon into the sphere of the global. In many ways, </w:t>
      </w:r>
      <w:r w:rsidRPr="002C24EE">
        <w:rPr>
          <w:rStyle w:val="StyleUnderline"/>
        </w:rPr>
        <w:t xml:space="preserve">the </w:t>
      </w:r>
      <w:r w:rsidRPr="009F325C">
        <w:rPr>
          <w:rFonts w:asciiTheme="minorHAnsi" w:hAnsiTheme="minorHAnsi" w:cstheme="minorHAnsi"/>
          <w:i/>
          <w:iCs/>
          <w:u w:val="single"/>
        </w:rPr>
        <w:t xml:space="preserve">Transborder Immigrant Tool </w:t>
      </w:r>
      <w:r w:rsidRPr="002C24EE">
        <w:rPr>
          <w:rStyle w:val="StyleUnderline"/>
        </w:rPr>
        <w:t>not only helps individuals cross the U.S.-Mexico border, but the work itself crosses new ideological and cultural boundaries in the virtual realm. This project is significant within postborder attitudes due to the fact that it “examines how global and local events intersect and become manifest in the work of the individual artist”</w:t>
      </w:r>
      <w:r w:rsidRPr="009F325C">
        <w:rPr>
          <w:rFonts w:eastAsia="TimesNewRomanPSMT" w:asciiTheme="minorHAnsi" w:hAnsiTheme="minorHAnsi" w:cstheme="minorHAnsi"/>
          <w:sz w:val="16"/>
        </w:rPr>
        <w:t xml:space="preserve"> (Holo 10). Another interesting dimension that is exhibited in this example of transborder art activism is how the device becomes a part of larger discussions on academic freedom. Most notably, FOX News correspondent Glenn Beck likened Dominguez’s </w:t>
      </w:r>
      <w:r w:rsidRPr="009F325C">
        <w:rPr>
          <w:rFonts w:asciiTheme="minorHAnsi" w:hAnsiTheme="minorHAnsi" w:cstheme="minorHAnsi"/>
          <w:i/>
          <w:iCs/>
          <w:sz w:val="16"/>
        </w:rPr>
        <w:t xml:space="preserve">Transborder Immigrant Tool </w:t>
      </w:r>
      <w:r w:rsidRPr="009F325C">
        <w:rPr>
          <w:rFonts w:eastAsia="TimesNewRomanPSMT" w:asciiTheme="minorHAnsi" w:hAnsiTheme="minorHAnsi" w:cstheme="minorHAnsi"/>
          <w:sz w:val="16"/>
        </w:rPr>
        <w:t>as an attempt to indoctrinate art students with fascist, rebellious attitudes toward United States’ laws. While this view is skewed, it is still interesting to consider, since it illustrates how Dominguez’s work opens up the possibility for artworks to become part of a larger global discussion.</w:t>
      </w:r>
    </w:p>
    <w:p xmlns:wp14="http://schemas.microsoft.com/office/word/2010/wordml" w:rsidR="0082799E" w:rsidP="0082799E" w:rsidRDefault="0082799E" w14:paraId="62EBF3C5" wp14:textId="77777777"/>
    <w:p xmlns:wp14="http://schemas.microsoft.com/office/word/2010/wordml" w:rsidRPr="002C24EE" w:rsidR="0082799E" w:rsidP="0082799E" w:rsidRDefault="0082799E" w14:paraId="5ABF6780" wp14:textId="77777777">
      <w:pPr>
        <w:pStyle w:val="Heading4"/>
        <w:rPr>
          <w:rFonts w:eastAsia="TimesNewRomanPSMT" w:cs="Arial"/>
        </w:rPr>
      </w:pPr>
      <w:r w:rsidRPr="002C24EE">
        <w:rPr>
          <w:rFonts w:eastAsia="TimesNewRomanPSMT" w:cs="Arial"/>
        </w:rPr>
        <w:t>The BAW/TAF is one organization that used art as a means of creative political resistance.  Specifically, their art centered around the fluidity of the US-Mexico border and they called for a future where political boundaries did not exist.</w:t>
      </w:r>
    </w:p>
    <w:p xmlns:wp14="http://schemas.microsoft.com/office/word/2010/wordml" w:rsidRPr="002C24EE" w:rsidR="0082799E" w:rsidP="0082799E" w:rsidRDefault="0082799E" w14:paraId="513B8C12" wp14:textId="77777777">
      <w:pPr>
        <w:rPr>
          <w:bCs/>
          <w:sz w:val="20"/>
          <w:szCs w:val="20"/>
        </w:rPr>
      </w:pPr>
      <w:r w:rsidRPr="002C24EE">
        <w:rPr>
          <w:rStyle w:val="Style13ptBold"/>
        </w:rPr>
        <w:t>Locas 2012</w:t>
      </w:r>
      <w:r w:rsidRPr="002C24EE">
        <w:t xml:space="preserve"> </w:t>
      </w:r>
      <w:r w:rsidRPr="002C24EE">
        <w:rPr>
          <w:sz w:val="18"/>
        </w:rPr>
        <w:t xml:space="preserve">[Locas, Marie-Chantal. Artistic Resistance at the US-Mexico Border: From Chicano Art to Tactical Media. SGIR 7th Pan-European Conference on IR, Stockholm, 2010. Professor in the Political Studies department at </w:t>
      </w:r>
      <w:hyperlink w:history="1" r:id="rId13">
        <w:r w:rsidRPr="002C24EE">
          <w:rPr>
            <w:rStyle w:val="Hyperlink"/>
            <w:sz w:val="18"/>
          </w:rPr>
          <w:t>University of Ottawa</w:t>
        </w:r>
      </w:hyperlink>
      <w:r w:rsidRPr="002C24EE">
        <w:rPr>
          <w:sz w:val="18"/>
        </w:rPr>
        <w:t>, Ottawa, ON]//MMS</w:t>
      </w:r>
    </w:p>
    <w:p xmlns:wp14="http://schemas.microsoft.com/office/word/2010/wordml" w:rsidRPr="002C24EE" w:rsidR="0082799E" w:rsidP="0082799E" w:rsidRDefault="0082799E" w14:paraId="53ADCDF3" wp14:textId="77777777">
      <w:pPr>
        <w:autoSpaceDE w:val="0"/>
        <w:autoSpaceDN w:val="0"/>
        <w:adjustRightInd w:val="0"/>
        <w:spacing w:after="0" w:line="240" w:lineRule="auto"/>
        <w:rPr>
          <w:rStyle w:val="StyleUnderline"/>
        </w:rPr>
      </w:pPr>
      <w:r w:rsidRPr="002C24EE">
        <w:rPr>
          <w:sz w:val="16"/>
          <w:szCs w:val="24"/>
        </w:rPr>
        <w:t xml:space="preserve">In the middle of the 1980s, multiculturalism emerged as the dominant model of border art. According to Michael Dear and Gustavo Leclerc, multiculturalism marked the beginning of the “postborder art” era, and was a distinct break from the preceding tradition (2003: 27). Rather than focusing on identities, </w:t>
      </w:r>
      <w:r w:rsidRPr="002C24EE">
        <w:rPr>
          <w:rStyle w:val="StyleUnderline"/>
        </w:rPr>
        <w:t>postborder art is “a representational aesthetic concerned with the production of hybridities in the liminal/intersticial boundaries between political ideologies” (14). Postborder artists view the border as a liminal/in-between space and locate its transformative capacity and potential for resistance in the production of hybrid subjectivities</w:t>
      </w:r>
      <w:r w:rsidRPr="002C24EE">
        <w:rPr>
          <w:sz w:val="16"/>
          <w:szCs w:val="24"/>
        </w:rPr>
        <w:t xml:space="preserve">. Thus, subjects of postborder art include borders, hybridity, and resistance.  For Dear and Leclerc, </w:t>
      </w:r>
      <w:r w:rsidRPr="002C24EE">
        <w:rPr>
          <w:rStyle w:val="StyleUnderline"/>
        </w:rPr>
        <w:t xml:space="preserve">the most influential collective representing multiculturalism and postborder art was the </w:t>
      </w:r>
      <w:r w:rsidRPr="002C24EE">
        <w:rPr>
          <w:i/>
          <w:iCs/>
          <w:sz w:val="24"/>
          <w:szCs w:val="24"/>
          <w:u w:val="single"/>
        </w:rPr>
        <w:t>Border Art Workshop/Taller de Arte Fronterizo</w:t>
      </w:r>
      <w:r w:rsidRPr="002C24EE">
        <w:rPr>
          <w:i/>
          <w:iCs/>
          <w:sz w:val="16"/>
          <w:szCs w:val="24"/>
        </w:rPr>
        <w:t xml:space="preserve"> </w:t>
      </w:r>
      <w:r w:rsidRPr="002C24EE">
        <w:rPr>
          <w:sz w:val="16"/>
          <w:szCs w:val="24"/>
        </w:rPr>
        <w:t xml:space="preserve">(BAW/TAF). From its founding in 1984 to its dissolution in 1990, the </w:t>
      </w:r>
      <w:r w:rsidRPr="002C24EE">
        <w:rPr>
          <w:rStyle w:val="StyleUnderline"/>
        </w:rPr>
        <w:t>BAW/TAF staged 16 performances-installations that proposed a new polymorphous, polyglot, hybrid and binational ‘border subject’, “a new type of subject, postmodern and postnational, a result of the confluence of the many different realities peculiar to this porous border zone</w:t>
      </w:r>
      <w:r w:rsidRPr="002C24EE">
        <w:rPr>
          <w:sz w:val="16"/>
          <w:szCs w:val="24"/>
        </w:rPr>
        <w:t xml:space="preserve">” (Berelowitz, 2003: 158). </w:t>
      </w:r>
      <w:r w:rsidRPr="002C24EE">
        <w:rPr>
          <w:rStyle w:val="StyleUnderline"/>
        </w:rPr>
        <w:t xml:space="preserve">The BAW/TAF was a group of artists from the United States and Mexico whose “revolutionary dream of a borderless world of multi- and intercultural exchange, mutual respect, and peaceful cooperation [was] imbued with belief in the transformative power of art” </w:t>
      </w:r>
      <w:r w:rsidRPr="002C24EE">
        <w:rPr>
          <w:sz w:val="16"/>
          <w:szCs w:val="24"/>
        </w:rPr>
        <w:t xml:space="preserve">(159). In this sense, they believe in the ability of the creative and aesthetic dimensions of art to represent a universe that differs from the established reality (Dear and Leclerc, 2003: 19-20). According to this model, </w:t>
      </w:r>
      <w:r w:rsidRPr="002C24EE">
        <w:rPr>
          <w:rStyle w:val="StyleUnderline"/>
        </w:rPr>
        <w:t>art can transcend its social situatedness and alter the way we perceive ourselves</w:t>
      </w:r>
      <w:r w:rsidRPr="002C24EE">
        <w:rPr>
          <w:sz w:val="16"/>
          <w:szCs w:val="24"/>
        </w:rPr>
        <w:t xml:space="preserve"> (Holo, 2003: xi). In this sense, </w:t>
      </w:r>
      <w:r w:rsidRPr="002C24EE">
        <w:rPr>
          <w:rStyle w:val="StyleUnderline"/>
        </w:rPr>
        <w:t>artists are social interventionists since they are capable of, at best, transforming spaces of restriction into spaces of openness or, at least, changing stories that are told about contested spaces</w:t>
      </w:r>
      <w:r w:rsidRPr="002C24EE">
        <w:rPr>
          <w:sz w:val="16"/>
          <w:szCs w:val="24"/>
        </w:rPr>
        <w:t xml:space="preserve">. For Berelowitz, border artists are visionaries that perceive the complexity of the border zone, and see how it is possible to work for a better future (Berelowitz, 2003: 159). To achieve their goals, members of the BAW/TAF worked with a multiplicity of media such as performance, video, installation, book art, radio, fax, and mail art (Berelowitz, 2006: 48).  </w:t>
      </w:r>
      <w:r w:rsidRPr="002C24EE">
        <w:rPr>
          <w:rStyle w:val="StyleUnderline"/>
        </w:rPr>
        <w:t>Their aesthetics were characterised by a quotidian emphasis, a transgressive and confrontational ethic, and a use of satire, irony, paradox, farce, etc</w:t>
      </w:r>
      <w:r w:rsidRPr="002C24EE">
        <w:rPr>
          <w:sz w:val="16"/>
          <w:szCs w:val="24"/>
        </w:rPr>
        <w:t xml:space="preserve">. As Louise Amoore suggests, </w:t>
      </w:r>
      <w:r w:rsidRPr="002C24EE">
        <w:rPr>
          <w:rStyle w:val="StyleUnderline"/>
        </w:rPr>
        <w:t>this kind of tactics are important forms of artistic resistance since they “make comedy of a particular system of order, ridiculing its practices and opening up the space to see things differently”</w:t>
      </w:r>
      <w:r w:rsidRPr="002C24EE">
        <w:rPr>
          <w:sz w:val="16"/>
          <w:szCs w:val="24"/>
        </w:rPr>
        <w:t xml:space="preserve"> (Amoore, 2005: 8). For Guillermo Gómez-Peña and Emily Hicks, two of the most important members of the BAW/TAF, </w:t>
      </w:r>
      <w:r w:rsidRPr="002C24EE">
        <w:rPr>
          <w:rStyle w:val="StyleUnderline"/>
        </w:rPr>
        <w:t xml:space="preserve">the border was a mobile, elasic, and theorizable concept rather than being a site-specific geopolitical demarcation. In their work, the border thus became disengaged from its dominant signification, and took on the ambiguity of “a link in the chain of mobile signifying system” </w:t>
      </w:r>
      <w:r w:rsidRPr="002C24EE">
        <w:rPr>
          <w:sz w:val="16"/>
          <w:szCs w:val="24"/>
        </w:rPr>
        <w:t xml:space="preserve">(Berelowitz, 2003: 155). In this sense, they did not consider the border only as a specific social-geography; it was more a deterritorialised form of subjectivity (167). </w:t>
      </w:r>
      <w:r w:rsidRPr="002C24EE">
        <w:rPr>
          <w:rStyle w:val="StyleUnderline"/>
        </w:rPr>
        <w:t>These artists also viewed the border as a social microcosm of the future of the Americas</w:t>
      </w:r>
      <w:r w:rsidRPr="002C24EE">
        <w:rPr>
          <w:sz w:val="16"/>
          <w:szCs w:val="24"/>
        </w:rPr>
        <w:t xml:space="preserve">. In fact, the BAW/TAF asked their spectators to imagine a future where international boundaries would not exist anymore. To do so, they proposed a new way of seeing the world, a task that necessitated inventing new languages. Therefore, </w:t>
      </w:r>
      <w:r w:rsidRPr="002C24EE">
        <w:rPr>
          <w:rStyle w:val="StyleUnderline"/>
        </w:rPr>
        <w:t>the BAW/TAF made art that challenged official notion of territoriality in order to expose the way geography is inscribed in politics and ideology rather than being an innocent spatial vessel for social life</w:t>
      </w:r>
      <w:r w:rsidRPr="002C24EE">
        <w:rPr>
          <w:sz w:val="16"/>
          <w:szCs w:val="24"/>
        </w:rPr>
        <w:t xml:space="preserve">. One of the main objectives of the BAW/TAF was to alter the dominant discourse deployed around the US-Mexico border. Thus, they worked at changing the language in which the border was then represented. To do so, the BAW/TAF artistic manifestations deconstructed and challenged representations of border issues that fostered divisiveness (160).  As Chicano artists did, members of the BAW/TAF wanted to create a new space to elude the prevailing representation of the border region and of the border subject.  However, their struggle was not for the recognition and inclusion of a particular ethnic group. Rather, </w:t>
      </w:r>
      <w:r w:rsidRPr="002C24EE">
        <w:rPr>
          <w:rStyle w:val="StyleUnderline"/>
        </w:rPr>
        <w:t xml:space="preserve">art made </w:t>
      </w:r>
      <w:r w:rsidRPr="002C24EE">
        <w:rPr>
          <w:rStyle w:val="StyleUnderline"/>
        </w:rPr>
        <w:lastRenderedPageBreak/>
        <w:t>by the BAW/TAF allowed the emergence of subjectivities situated outside the traditional identity politics, thereby avoiding binaristic relations. BAW/TAF is thus part of a creative resistance that questions the discourse conveyed by the dominant majority about the US-Mexico border by creating lines of flight and tracing new maps that challenge the dominant diagram of power.</w:t>
      </w:r>
    </w:p>
    <w:p xmlns:wp14="http://schemas.microsoft.com/office/word/2010/wordml" w:rsidRPr="007816FF" w:rsidR="0082799E" w:rsidP="0082799E" w:rsidRDefault="0082799E" w14:paraId="6D98A12B" wp14:textId="77777777"/>
    <w:p xmlns:wp14="http://schemas.microsoft.com/office/word/2010/wordml" w:rsidR="0082799E" w:rsidP="00C519FF" w:rsidRDefault="0082799E" w14:paraId="162DCCCD" wp14:textId="77777777">
      <w:pPr>
        <w:pStyle w:val="Heading3"/>
      </w:pPr>
      <w:r>
        <w:lastRenderedPageBreak/>
        <w:t>Framework</w:t>
      </w:r>
    </w:p>
    <w:p xmlns:wp14="http://schemas.microsoft.com/office/word/2010/wordml" w:rsidRPr="00A965EA" w:rsidR="0082799E" w:rsidP="0082799E" w:rsidRDefault="0082799E" w14:paraId="19E93E52" wp14:textId="77777777">
      <w:pPr>
        <w:pStyle w:val="Heading4"/>
        <w:rPr>
          <w:rFonts w:cs="Arial"/>
        </w:rPr>
      </w:pPr>
      <w:r>
        <w:rPr>
          <w:rFonts w:cs="Arial" w:eastAsiaTheme="minorHAnsi"/>
        </w:rPr>
        <w:t>The political is performative and aesthetic – our analysis explores the heart of the topic through the lived experience of contestations around the border and immigration</w:t>
      </w:r>
    </w:p>
    <w:p xmlns:wp14="http://schemas.microsoft.com/office/word/2010/wordml" w:rsidRPr="00A965EA" w:rsidR="0082799E" w:rsidP="0082799E" w:rsidRDefault="0082799E" w14:paraId="0E65FC83" wp14:textId="77777777">
      <w:r w:rsidRPr="002012EC">
        <w:rPr>
          <w:rStyle w:val="Style13ptBold"/>
        </w:rPr>
        <w:t>Glaveanu 15</w:t>
      </w:r>
      <w:r w:rsidRPr="00A965EA">
        <w:t xml:space="preserve"> (Vlad Petre. PhD in Social Psychology from the London School of Economics in the UK&gt; Associate Professor and Head of the Department at Webster University located in Geneva and Associate Professor at the Univerity of Bergen at the Center for the Science of Learning and technology. Art and Social Change: The Role of Creativity and Wonder. In the book, Street Art of Resistance edited by Sarah H. Award and Brady Wagoner. 2015) /// ONW</w:t>
      </w:r>
    </w:p>
    <w:p xmlns:wp14="http://schemas.microsoft.com/office/word/2010/wordml" w:rsidR="0082799E" w:rsidP="0082799E" w:rsidRDefault="0082799E" w14:paraId="0099056E" wp14:textId="77777777">
      <w:pPr>
        <w:rPr>
          <w:sz w:val="16"/>
        </w:rPr>
      </w:pPr>
      <w:r w:rsidRPr="00A965EA">
        <w:rPr>
          <w:sz w:val="16"/>
        </w:rPr>
        <w:t>Change is, undeniably, the real constant in the existence of both individuals and society. While social change has repeatedly been claimed as omnipresent (see Reicher &amp; Haslam, 2013), we are still in need of theories that can account for the incredibly wide spectrum of societal transformation, from incremental to revolutionary, from local to global. It is not my aim in this chapter to provide such a theory. However, I will attempt to bring a new angle into a growing field of studies closely related to social change—creative activism. My interest in this area doesn’t have to do only with the fact that I am a creativity scholar and a social psychologist by training, but also with the importance of gaining a deeper understanding of activism as one of the key engines of change within community and within society</w:t>
      </w:r>
      <w:r w:rsidRPr="00A965EA">
        <w:rPr>
          <w:rStyle w:val="StyleUnderline"/>
        </w:rPr>
        <w:t xml:space="preserve">. </w:t>
      </w:r>
      <w:r w:rsidRPr="00A965EA">
        <w:rPr>
          <w:b/>
          <w:u w:val="single"/>
        </w:rPr>
        <w:t xml:space="preserve">What distinguishes creative activism is the fact that it engages artistic skills without being reducible to art </w:t>
      </w:r>
      <w:r w:rsidRPr="00A965EA">
        <w:rPr>
          <w:sz w:val="16"/>
        </w:rPr>
        <w:t xml:space="preserve">(Harrebye, 2016). </w:t>
      </w:r>
      <w:r w:rsidRPr="00A965EA">
        <w:rPr>
          <w:rStyle w:val="StyleUnderline"/>
        </w:rPr>
        <w:t xml:space="preserve">At a more basic level, it designates activism that surprises us, that stands out as different, original, and potent when it comes to redefining the way we see and relate to the social world. Creative activism is thus not a sub-form of social activism but a quality of activist or socially engaged action. </w:t>
      </w:r>
      <w:r w:rsidRPr="00A965EA">
        <w:rPr>
          <w:b/>
          <w:u w:val="single"/>
        </w:rPr>
        <w:t>Street art</w:t>
      </w:r>
      <w:r w:rsidRPr="00A965EA">
        <w:rPr>
          <w:rStyle w:val="StyleUnderline"/>
        </w:rPr>
        <w:t xml:space="preserve">, Internet memes, flash mobs, protests, and boycotts, to give just a few examples, </w:t>
      </w:r>
      <w:r w:rsidRPr="00A965EA">
        <w:rPr>
          <w:b/>
          <w:u w:val="single"/>
        </w:rPr>
        <w:t>can be characterized as more or less creative, more or less novel in their aims and the means employed to achieve them.</w:t>
      </w:r>
      <w:r w:rsidRPr="00A965EA">
        <w:rPr>
          <w:rStyle w:val="StyleUnderline"/>
        </w:rPr>
        <w:t xml:space="preserve"> And these means are, very often, explicitly artistic.</w:t>
      </w:r>
      <w:r w:rsidRPr="00A965EA">
        <w:rPr>
          <w:sz w:val="16"/>
        </w:rPr>
        <w:t xml:space="preserve"> </w:t>
      </w:r>
      <w:r w:rsidRPr="00A965EA">
        <w:rPr>
          <w:rStyle w:val="StyleUnderline"/>
        </w:rPr>
        <w:t>Artistic creative activism (or artivism), in this context, refers to the deliberate use of art within activist action</w:t>
      </w:r>
      <w:r w:rsidRPr="00A965EA">
        <w:rPr>
          <w:sz w:val="16"/>
        </w:rPr>
        <w:t>. This is not the ‘high art’ of galleries or museums but a much more participative form of art grounded in everyday life, particularly in our communal living</w:t>
      </w:r>
      <w:r w:rsidRPr="00A965EA">
        <w:rPr>
          <w:b/>
          <w:sz w:val="16"/>
        </w:rPr>
        <w:t xml:space="preserve">. </w:t>
      </w:r>
      <w:r w:rsidRPr="00A965EA">
        <w:rPr>
          <w:b/>
          <w:u w:val="single"/>
        </w:rPr>
        <w:t>Even when classic artistic images or techniques are used, they are appropriated and transformed in ways that can question societal norms, values, practices, and, oftentimes, our conceptions of art itself. Street art is an excellent example in this regard</w:t>
      </w:r>
      <w:r w:rsidRPr="00A965EA">
        <w:rPr>
          <w:sz w:val="16"/>
        </w:rPr>
        <w:t xml:space="preserve">, and one I will come back to in this chapter. For the moment let us note, together with Edelman (1995), that </w:t>
      </w:r>
      <w:r w:rsidRPr="00A965EA">
        <w:rPr>
          <w:rStyle w:val="StyleUnderline"/>
        </w:rPr>
        <w:t xml:space="preserve">politics builds on art just as much as </w:t>
      </w:r>
      <w:r w:rsidRPr="00A965EA">
        <w:rPr>
          <w:b/>
          <w:u w:val="single"/>
        </w:rPr>
        <w:t>art is guided by political values and discourses. There is no form of artistic expression that doesn’t rely on such values and discourses, even when the artist’s intention is not political in nature</w:t>
      </w:r>
      <w:r w:rsidRPr="00A965EA">
        <w:rPr>
          <w:rStyle w:val="StyleUnderline"/>
        </w:rPr>
        <w:t>. Reversely, social and political life is infused by the images and values embedded in art as a way of seeing or constructing the world. And it is precisely this fundamental function of art that makes it quasi indispensable within creative activism</w:t>
      </w:r>
      <w:r w:rsidRPr="00A965EA">
        <w:rPr>
          <w:sz w:val="16"/>
        </w:rPr>
        <w:t xml:space="preserve">. As Campana (2011) concludes, based on a review of other works: </w:t>
      </w:r>
      <w:r w:rsidRPr="00A965EA">
        <w:rPr>
          <w:b/>
          <w:u w:val="single"/>
        </w:rPr>
        <w:t>The arts’ role in activism can include the communication of a movement’s or group’s worldview, opposition, and vision; facilitation of dialogue towards political and social consciousness for both participants and the broader public;</w:t>
      </w:r>
      <w:r w:rsidRPr="00A965EA">
        <w:rPr>
          <w:rStyle w:val="StyleUnderline"/>
        </w:rPr>
        <w:t xml:space="preserve"> creation and expression of collective identity and solidarity; and working toward ‘cognitive liberation’, a critical transformation from hopeless submission to oppressive conditions to a readiness to change those conditions</w:t>
      </w:r>
      <w:r w:rsidRPr="00A965EA">
        <w:rPr>
          <w:sz w:val="16"/>
        </w:rPr>
        <w:t xml:space="preserve">. (Campana, 2011, p. 281) In other words, </w:t>
      </w:r>
      <w:r w:rsidRPr="00A965EA">
        <w:rPr>
          <w:b/>
          <w:u w:val="single"/>
        </w:rPr>
        <w:t>the use of art in activism and, more broadly, in social change, opens up the space of the possible, the space of imagination and creativity for both activists and their audiences</w:t>
      </w:r>
      <w:r w:rsidRPr="00A965EA">
        <w:rPr>
          <w:sz w:val="16"/>
        </w:rPr>
        <w:t xml:space="preserve">. It is a space where reality becomes multiple and malleable, at least as experienced in art. However, </w:t>
      </w:r>
      <w:r w:rsidRPr="00A965EA">
        <w:rPr>
          <w:rStyle w:val="StyleUnderline"/>
        </w:rPr>
        <w:t xml:space="preserve">such artistic depictions of the social world are not inconsequential. On the contrary, they both show and mobilize, reflect and transform, invite viewers not only to notice, but also to participate. This is because much of today’s artistic creative activism relies on public, </w:t>
      </w:r>
      <w:r w:rsidRPr="00A965EA">
        <w:rPr>
          <w:rStyle w:val="StyleUnderline"/>
        </w:rPr>
        <w:lastRenderedPageBreak/>
        <w:t>socially engaged, participative, performative, and/or interactive art. It is, essentially, art that can ‘“disrupt everyday life and involve and inspire passersby’”</w:t>
      </w:r>
      <w:r w:rsidRPr="00A965EA">
        <w:rPr>
          <w:sz w:val="16"/>
        </w:rPr>
        <w:t xml:space="preserve"> (Boros, 2012, p. xi). As Boros (2012) continues, because it addresses everyone, artistic creative activism is “inherently democratic” (p. 5), “intended for the public and social spaces in our lives” (p. 6). </w:t>
      </w:r>
      <w:r w:rsidRPr="00A965EA">
        <w:rPr>
          <w:rStyle w:val="StyleUnderline"/>
        </w:rPr>
        <w:t>Street art that carries social or political messages is, once more, emblematic in this regard. But why exactly is street art, and artistic creative activism more generally, important for social movements and potentially effective in delivering social change?</w:t>
      </w:r>
      <w:r w:rsidRPr="00A965EA">
        <w:rPr>
          <w:sz w:val="16"/>
        </w:rPr>
        <w:t xml:space="preserve"> The present chapter answers this question by pointing to creativity and wonder. My main argument here is that </w:t>
      </w:r>
      <w:r w:rsidRPr="00A965EA">
        <w:rPr>
          <w:b/>
          <w:u w:val="single"/>
        </w:rPr>
        <w:t>creativity, and principally the experience of wonder situated at its core, can help us bridge art and society and explain the relation between activism and social chang</w:t>
      </w:r>
      <w:r w:rsidRPr="00A965EA">
        <w:rPr>
          <w:rStyle w:val="StyleUnderline"/>
        </w:rPr>
        <w:t>e.</w:t>
      </w:r>
      <w:r w:rsidRPr="00A965EA">
        <w:rPr>
          <w:sz w:val="16"/>
        </w:rPr>
        <w:t xml:space="preserve"> In order to understand why this might be the case we need, first of all, to consider why creativity has been largely absent until now from theories of social change. Undeniably, </w:t>
      </w:r>
      <w:r w:rsidRPr="00A965EA">
        <w:rPr>
          <w:rStyle w:val="StyleUnderline"/>
        </w:rPr>
        <w:t>many manifestations of activism for social change, including street art, can be considered creative. What prevents us from discussing them as such is a long legacy of seeing creativity as an individual, intra-psychological process that has little to do with society and much more with ‘creative domains’ such as the arts and sciences.</w:t>
      </w:r>
      <w:r w:rsidRPr="00A965EA">
        <w:rPr>
          <w:sz w:val="16"/>
        </w:rPr>
        <w:t xml:space="preserve"> Countering this approach, I review here a sociocultural model of creativity based on notions of perspective, reflexivity, and wonder. In particular, wonder, as an experience and active exploration of the possible, plays a vital role in creative action. What do these notions have to do with social change? Towards the end of the chapter I discuss and exemplify my claim that creative activism participates in social change by enabling us to experience collective wonder. The chapter ends with a few considerations regarding the limits of creativity and art and also a possible explanation for why, even when seemingly failing, artistic creative activism still contributes to long-term social change.</w:t>
      </w:r>
    </w:p>
    <w:p xmlns:wp14="http://schemas.microsoft.com/office/word/2010/wordml" w:rsidR="0082799E" w:rsidP="0082799E" w:rsidRDefault="0082799E" w14:paraId="6C0FE4F0" wp14:textId="77777777">
      <w:pPr>
        <w:pStyle w:val="Heading4"/>
      </w:pPr>
      <w:r>
        <w:t xml:space="preserve">Infra-politics are the substratum of politics proper – they come first </w:t>
      </w:r>
    </w:p>
    <w:p xmlns:wp14="http://schemas.microsoft.com/office/word/2010/wordml" w:rsidR="0082799E" w:rsidP="0082799E" w:rsidRDefault="0082799E" w14:paraId="5610DF13" wp14:textId="77777777">
      <w:pPr>
        <w:spacing w:line="240" w:lineRule="auto"/>
      </w:pPr>
      <w:r w:rsidRPr="00554A7E">
        <w:rPr>
          <w:rStyle w:val="Style13ptBold"/>
          <w:highlight w:val="white"/>
        </w:rPr>
        <w:t>Marche 12</w:t>
      </w:r>
      <w:r>
        <w:rPr>
          <w:color w:val="323232"/>
          <w:highlight w:val="white"/>
        </w:rPr>
        <w:t xml:space="preserve"> [Guillaume. -- associate professor of American Studies at Universite Paris-Est Creteil who specializes in contemporary social movements. «Why Infrapolitics Matters», </w:t>
      </w:r>
      <w:r>
        <w:rPr>
          <w:i/>
          <w:color w:val="323232"/>
          <w:highlight w:val="white"/>
        </w:rPr>
        <w:t>Revue française d’études américaines</w:t>
      </w:r>
      <w:r>
        <w:rPr>
          <w:color w:val="323232"/>
          <w:highlight w:val="white"/>
        </w:rPr>
        <w:t>, vol. 131, no. 1, 2012, pp. 3-18.]</w:t>
      </w:r>
    </w:p>
    <w:p xmlns:wp14="http://schemas.microsoft.com/office/word/2010/wordml" w:rsidR="0082799E" w:rsidP="0082799E" w:rsidRDefault="0082799E" w14:paraId="770D6323" wp14:textId="77777777">
      <w:pPr>
        <w:spacing w:line="240" w:lineRule="auto"/>
        <w:rPr>
          <w:color w:val="1F1F1F"/>
        </w:rPr>
      </w:pPr>
      <w:r>
        <w:rPr>
          <w:color w:val="1F1F1F"/>
        </w:rPr>
        <w:t xml:space="preserve">Infrapolitics is to politics what infrared is to light. Its domain encompasses the acts, gestures, and thoughts that are not quite political enough to be perceived as such (Scott, 1990 183). But the term can be defined either in terms of discretion—what passes politically </w:t>
      </w:r>
      <w:r>
        <w:rPr>
          <w:i/>
          <w:color w:val="1F1F1F"/>
        </w:rPr>
        <w:t>unnoticed</w:t>
      </w:r>
      <w:r>
        <w:rPr>
          <w:color w:val="1F1F1F"/>
        </w:rPr>
        <w:t xml:space="preserve">—or of significance—what does not quite </w:t>
      </w:r>
      <w:r>
        <w:rPr>
          <w:i/>
          <w:color w:val="1F1F1F"/>
        </w:rPr>
        <w:t>qualify</w:t>
      </w:r>
      <w:r>
        <w:rPr>
          <w:color w:val="1F1F1F"/>
        </w:rPr>
        <w:t xml:space="preserve"> as political. When used in the service of studying collective action or social movements, infrapolitics evokes mobilizations that do not respond to the criteria for widely recognized forms of political action.  The term mobilization is used in a loose sense, to... This immediately raises the question of whether infrapolitics should be understood as what lies beneath the threshold of politics, or of the political itself—either “</w:t>
      </w:r>
      <w:r>
        <w:rPr>
          <w:i/>
          <w:color w:val="1F1F1F"/>
        </w:rPr>
        <w:t>en deçà</w:t>
      </w:r>
      <w:r>
        <w:rPr>
          <w:color w:val="1F1F1F"/>
        </w:rPr>
        <w:t xml:space="preserve"> de la </w:t>
      </w:r>
      <w:r>
        <w:rPr>
          <w:i/>
          <w:color w:val="1F1F1F"/>
        </w:rPr>
        <w:t>politique</w:t>
      </w:r>
      <w:r>
        <w:rPr>
          <w:color w:val="1F1F1F"/>
        </w:rPr>
        <w:t>” or “</w:t>
      </w:r>
      <w:r>
        <w:rPr>
          <w:i/>
          <w:color w:val="1F1F1F"/>
        </w:rPr>
        <w:t>en deçà</w:t>
      </w:r>
      <w:r>
        <w:rPr>
          <w:color w:val="1F1F1F"/>
        </w:rPr>
        <w:t xml:space="preserve"> du </w:t>
      </w:r>
      <w:r>
        <w:rPr>
          <w:i/>
          <w:color w:val="1F1F1F"/>
        </w:rPr>
        <w:t>politique</w:t>
      </w:r>
      <w:r>
        <w:rPr>
          <w:color w:val="1F1F1F"/>
        </w:rPr>
        <w:t xml:space="preserve">” as the French would put it (Bosteels 209). This polysemy begs the additional question of whether one is addressing mobilizations whose means do not quite make the mark as political, compared to conventional ones—even as their ends are clearly or explicitly political—, or practices which are not quite political either in terms of form or content. Existing scholarship on infrapolitics understandably emphasizes the latter, more evident sense of the notion, as do, to some degree, the essays in the first section of this edited issue of the </w:t>
      </w:r>
      <w:r>
        <w:rPr>
          <w:i/>
          <w:color w:val="1F1F1F"/>
        </w:rPr>
        <w:t>Revue française d’études américaines</w:t>
      </w:r>
      <w:r>
        <w:rPr>
          <w:color w:val="1F1F1F"/>
        </w:rPr>
        <w:t xml:space="preserve">. But the following contributions help to grasp the great degree of overlap between the two approaches, even as they seek to explore their differences. As I discuss below, the notion of infrapolitics has mainly been developed by anthropologists interested in subaltern populations—particularly in Africa, and South and Southeast Asia. Because they are deprived of access to legitimate channels of expression, subaltern people will not vent their frustrations or claims in conventional political ways, but rather in discreet, stealthy ways—their goal being not to gain official legitimacy, for which they are somehow disqualified, but to make a claim for dignity either by upholding, or, paradoxically, by challenging internal group cohesion. In recent years in France, the notion has been invoked by sociologists commenting on the 2005 urban riots. Whereas the public debate was saturated with accounts of the riots as irrational, counterproductive explosions devoid of any legitimate </w:t>
      </w:r>
      <w:r>
        <w:rPr>
          <w:color w:val="1F1F1F"/>
        </w:rPr>
        <w:lastRenderedPageBreak/>
        <w:t xml:space="preserve">political expression, political sociologists who were more attuned to the study of subjectivities endeavored to describe the riots as politically meaningful collective rebellion (Lapeyronie; Kokoreff).But in addition to considering such general theoretical issues, an edited issue of the </w:t>
      </w:r>
      <w:r>
        <w:rPr>
          <w:i/>
          <w:color w:val="1F1F1F"/>
        </w:rPr>
        <w:t>Revue française d’études américaines</w:t>
      </w:r>
      <w:r>
        <w:rPr>
          <w:color w:val="1F1F1F"/>
        </w:rPr>
        <w:t xml:space="preserve"> on infrapolitics also ought to examine what it means to speak of infrapolitical practices in the United States. This question is inscribed within the broader institutional context of American studies in France, which is dominated by historical and political science-based approaches, on the one hand, and by a cultural studies paradigm, on the other. Infrapolitics is a conceptual tool first developed by anthropologists and then quickly appropriated by historians and sociologists. But the term has also drawn the attention of scholars working in a range of fields, from cultural studies to ethnomusicology. The following essays give a sense of the diverse ways in which history, political science, and sociology appropriate the concept. And the focus on mobilizations is an opportunity to reflect on how sociology enters into a dialogue with other disciplines in American studies. But these contributions also show that infrapolitical forms of mobilization are a productive epistemological challenge for a variety of disciplines that traditionally focus on already constituted social movements, collective actions, or political processes. The study of social movements is one of the most fertile fields of sociological research in the United States. Specialists of the Civil Rights movement, the women’s movement, the environmental movement, the movement for global justice, and the LGBT movement, among others, have produced a wealth of theoretical literature. This scholarship generally explains both the circumstances within which movements coalesce, and their significance in relation to the society, historical context, or social movement field in which they emerge. Social movement sociology in the United States thus examines how, and how efficiently, organizations mobilize resources in order to launch and sustain movements (McCarthy and Zald), which political opportunity structures and political processes are more or less amenable to the emergence of collective mobilizations (McAdam; Tarrow), and what cognitive frames are used by social movement organizations and actors (Benford and Snow, 1992; 2000). Because infrapolitics is, by definition, beneath the threshold of the “political,” social movement sociology tends to consider it as </w:t>
      </w:r>
      <w:r>
        <w:rPr>
          <w:i/>
          <w:color w:val="1F1F1F"/>
        </w:rPr>
        <w:t>lacking</w:t>
      </w:r>
      <w:r>
        <w:rPr>
          <w:color w:val="1F1F1F"/>
        </w:rPr>
        <w:t xml:space="preserve"> a significant degree of politicization, or as </w:t>
      </w:r>
      <w:r>
        <w:rPr>
          <w:i/>
          <w:color w:val="1F1F1F"/>
        </w:rPr>
        <w:t>foreshadowing</w:t>
      </w:r>
      <w:r>
        <w:rPr>
          <w:color w:val="1F1F1F"/>
        </w:rPr>
        <w:t xml:space="preserve"> a fully-fledged, politically consequential mobilization that is yet to come. Scholars working in the field of cultural studies, on the contrary, have consistently examined cultural representations—be they textual or visual, elite or popular—through a political lens, thus uncovering the political substratum of many collective or individual practices that are not strictly political in themselves. They have focused on subordinate groups which, though lacking access to recognized political channels, have been able to exert resistance through cultural practices and discourses. In the wake of Homi Bhabha and Gayatri Chakravorty Spivak’s seminal work, subaltern studies scholars, for instance, have examined the political dimensions of dissident, subaltern, or spoiled—in the Goffmanian sense—cultural practices (Prakash). Similarly, queer theory has shown how dominant culture is both challenged and shaped by dissident forms of expression in its midst (Butler; Sedgwick; Warner). But much of the scholarship emerging out of cultural studies focuses on representations—i.e. cultural artifacts to be deconstructed in order to expose the power dynamics involved in their production. As a result, such studies tend to approach culture from a Foucauldian perspective as a </w:t>
      </w:r>
      <w:r>
        <w:rPr>
          <w:i/>
          <w:color w:val="1F1F1F"/>
        </w:rPr>
        <w:t>symptom</w:t>
      </w:r>
      <w:r>
        <w:rPr>
          <w:color w:val="1F1F1F"/>
        </w:rPr>
        <w:t xml:space="preserve"> of the power relations which underlie all social interactions. Much of the work being done in queer studies, in particular, thus verges on “textualism” rather than examining the social </w:t>
      </w:r>
      <w:r>
        <w:rPr>
          <w:i/>
          <w:color w:val="1F1F1F"/>
        </w:rPr>
        <w:t>experience</w:t>
      </w:r>
      <w:r>
        <w:rPr>
          <w:color w:val="1F1F1F"/>
        </w:rPr>
        <w:t xml:space="preserve"> of the actors involved (Gamson; Marche).</w:t>
      </w:r>
    </w:p>
    <w:p xmlns:wp14="http://schemas.microsoft.com/office/word/2010/wordml" w:rsidRPr="00A965EA" w:rsidR="0082799E" w:rsidP="0082799E" w:rsidRDefault="0082799E" w14:paraId="2946DB82" wp14:textId="77777777">
      <w:pPr>
        <w:rPr>
          <w:sz w:val="16"/>
        </w:rPr>
      </w:pPr>
    </w:p>
    <w:p xmlns:wp14="http://schemas.microsoft.com/office/word/2010/wordml" w:rsidRPr="002012EC" w:rsidR="0082799E" w:rsidP="0082799E" w:rsidRDefault="0082799E" w14:paraId="5997CC1D" wp14:textId="77777777"/>
    <w:p xmlns:wp14="http://schemas.microsoft.com/office/word/2010/wordml" w:rsidR="0082799E" w:rsidP="00C21073" w:rsidRDefault="0082799E" w14:paraId="576699EA" wp14:textId="77777777">
      <w:pPr>
        <w:pStyle w:val="Heading3"/>
      </w:pPr>
      <w:r>
        <w:lastRenderedPageBreak/>
        <w:t>Semio-Cap K</w:t>
      </w:r>
    </w:p>
    <w:p xmlns:wp14="http://schemas.microsoft.com/office/word/2010/wordml" w:rsidRPr="00A965EA" w:rsidR="0082799E" w:rsidP="0082799E" w:rsidRDefault="0082799E" w14:paraId="46E9DE21" wp14:textId="77777777">
      <w:pPr>
        <w:pStyle w:val="Heading4"/>
        <w:rPr>
          <w:rStyle w:val="Style13ptBold"/>
          <w:rFonts w:cs="Arial"/>
          <w:b/>
          <w:u w:val="none"/>
        </w:rPr>
      </w:pPr>
      <w:r>
        <w:rPr>
          <w:rStyle w:val="Style13ptBold"/>
          <w:rFonts w:cs="Arial"/>
          <w:b/>
          <w:u w:val="none"/>
        </w:rPr>
        <w:t>Graffiti resists interpretative capture, performing resistance to the excess of signification</w:t>
      </w:r>
    </w:p>
    <w:p xmlns:wp14="http://schemas.microsoft.com/office/word/2010/wordml" w:rsidRPr="00927C2A" w:rsidR="0082799E" w:rsidP="0082799E" w:rsidRDefault="0082799E" w14:paraId="375C3EE5" wp14:textId="77777777">
      <w:pPr>
        <w:rPr>
          <w:sz w:val="16"/>
        </w:rPr>
      </w:pPr>
      <w:r w:rsidRPr="00E00AB5">
        <w:rPr>
          <w:rStyle w:val="Style13ptBold"/>
        </w:rPr>
        <w:t>Marche 12</w:t>
      </w:r>
      <w:r w:rsidRPr="00927C2A">
        <w:rPr>
          <w:b/>
          <w:sz w:val="16"/>
        </w:rPr>
        <w:t xml:space="preserve"> </w:t>
      </w:r>
      <w:r w:rsidRPr="00927C2A">
        <w:rPr>
          <w:sz w:val="16"/>
        </w:rPr>
        <w:t>(Guillaume, Professor of American Studies at the Universite Paris-Est Creteil in France, Member of IMAGER (Institute for the Study of English-, German-, and Romance Langugage-Speaking Spheres. Studies sexual identties, subjectitivty and the interplay between the cultural and political dimensions of collective mobilization. Expressivism and Resistance: Graffiti as an Infrapolitical Form of Protest against the War on Terror: revue francaise d’etudes americaines. 2012) /// ONW</w:t>
      </w:r>
    </w:p>
    <w:p xmlns:wp14="http://schemas.microsoft.com/office/word/2010/wordml" w:rsidRPr="00A965EA" w:rsidR="0082799E" w:rsidP="0082799E" w:rsidRDefault="0082799E" w14:paraId="125CB94F" wp14:textId="77777777">
      <w:pPr>
        <w:rPr>
          <w:b/>
          <w:u w:val="single"/>
        </w:rPr>
      </w:pPr>
      <w:r w:rsidRPr="00A965EA">
        <w:rPr>
          <w:b/>
          <w:u w:val="single"/>
        </w:rPr>
        <w:t>Graffiti can be seen as scriptural manifestations of social movements</w:t>
      </w:r>
      <w:r w:rsidRPr="00A965EA">
        <w:rPr>
          <w:u w:val="single"/>
        </w:rPr>
        <w:t xml:space="preserve"> whose actual existence does not depend on them, but can graffiti be regarded as channels of a protest that is idiosyncratic to them?</w:t>
      </w:r>
      <w:r w:rsidRPr="00A965EA">
        <w:rPr>
          <w:sz w:val="16"/>
        </w:rPr>
        <w:t xml:space="preserve"> Or does being a form of public exhibition imply that graffiti are essentially individualistic displays of solipsism (Riout 14-15)? Part of the answer lies in the fact that </w:t>
      </w:r>
      <w:r w:rsidRPr="00A965EA">
        <w:rPr>
          <w:b/>
          <w:u w:val="single"/>
        </w:rPr>
        <w:t>graffiti is not always meant to be understood, as when it is used as a secret code</w:t>
      </w:r>
      <w:r w:rsidRPr="00A965EA">
        <w:rPr>
          <w:b/>
          <w:sz w:val="16"/>
        </w:rPr>
        <w:t>.</w:t>
      </w:r>
      <w:r w:rsidRPr="00A965EA">
        <w:rPr>
          <w:sz w:val="16"/>
        </w:rPr>
        <w:t xml:space="preserve"> Vagabonds and thieves sometimes leave marks to indicate that a house is vacant during the day, accessible from the rooftop, or inhabited by a particularly welcoming woman (Riout 19; Salmon). </w:t>
      </w:r>
      <w:r w:rsidRPr="00A965EA">
        <w:rPr>
          <w:u w:val="single"/>
        </w:rPr>
        <w:t>Such graffiti can be read as passwords rather than as rallying cries</w:t>
      </w:r>
      <w:r w:rsidRPr="00A965EA">
        <w:rPr>
          <w:sz w:val="16"/>
        </w:rPr>
        <w:t xml:space="preserve"> (N. Macdonald 184; MacGillivray and Curwen 358–362). </w:t>
      </w:r>
      <w:r w:rsidRPr="00A965EA">
        <w:rPr>
          <w:b/>
          <w:u w:val="single"/>
        </w:rPr>
        <w:t>Graffiti is often a nonpolitical form of expressivism if not a mere vindication of individual existence, as in tags and throw-ups</w:t>
      </w:r>
      <w:r w:rsidRPr="00A965EA">
        <w:rPr>
          <w:sz w:val="16"/>
        </w:rPr>
        <w:t xml:space="preserve"> (illus. 1; illus. 2), </w:t>
      </w:r>
      <w:r w:rsidRPr="00A965EA">
        <w:rPr>
          <w:u w:val="single"/>
        </w:rPr>
        <w:t>individual signatures whose main ostensible purpose is to resist anonymousness:</w:t>
      </w:r>
      <w:r w:rsidRPr="00A965EA">
        <w:rPr>
          <w:sz w:val="16"/>
        </w:rPr>
        <w:t xml:space="preserve"> “Fame, respect and status are not naturally evolving byproducts of [the graffiti] subculture, they are its sole reason for being, and a writer’s sole reason for being here”(N. Macdonald 68). </w:t>
      </w:r>
      <w:r w:rsidRPr="00A965EA">
        <w:rPr>
          <w:b/>
          <w:u w:val="single"/>
        </w:rPr>
        <w:t>Graffiti often tend toward pure hedonistic gratification rather than political contestation</w:t>
      </w:r>
      <w:r w:rsidRPr="00A965EA">
        <w:rPr>
          <w:u w:val="single"/>
        </w:rPr>
        <w:t xml:space="preserve">. </w:t>
      </w:r>
      <w:r w:rsidRPr="00A965EA">
        <w:rPr>
          <w:sz w:val="16"/>
        </w:rPr>
        <w:t>In the 1970s and 1980s, tags evolved into large, elaborate usually multicolored pieces (illus. 3) (Cooper and Chalfant; Fitzpatrick). Painted on broader surfaces, these colorful pictorial graffiti emphasize the quality of the graphics and are “obstinately devoid of meaning” (Riout 92). But, as American artist Claes Oldenburg put it: “You’re standing there in the station, everything is gray and gloomy, and suddenly one of those graffiti trains slides in and brightens the place like a big bouquet from Latin America” (quoted in Fitzpatrick 187</w:t>
      </w:r>
      <w:r w:rsidRPr="00A965EA">
        <w:rPr>
          <w:u w:val="single"/>
        </w:rPr>
        <w:t>). Jean B</w:t>
      </w:r>
      <w:r w:rsidRPr="00A965EA">
        <w:rPr>
          <w:b/>
          <w:u w:val="single"/>
        </w:rPr>
        <w:t>audrillard thus characterizes graffiti as simulacra, which “resist every interpretation and connotation, no longer denoting anyone or anything. In this way, with neither connotation, nor denotation, they escape the principle of signification and, as empty signifiers, erupt into the sphere of the full signs of the city, dissolving on contact</w:t>
      </w:r>
      <w:r w:rsidRPr="00A965EA">
        <w:rPr>
          <w:u w:val="single"/>
        </w:rPr>
        <w:t>”</w:t>
      </w:r>
      <w:r w:rsidRPr="00A965EA">
        <w:rPr>
          <w:sz w:val="16"/>
        </w:rPr>
        <w:t xml:space="preserve"> (78-79; emphasis in original). </w:t>
      </w:r>
      <w:r w:rsidRPr="00A965EA">
        <w:rPr>
          <w:b/>
          <w:u w:val="single"/>
        </w:rPr>
        <w:t>Such graffiti</w:t>
      </w:r>
      <w:r w:rsidRPr="00A965EA">
        <w:rPr>
          <w:u w:val="single"/>
        </w:rPr>
        <w:t xml:space="preserve"> basically </w:t>
      </w:r>
      <w:r w:rsidRPr="00A965EA">
        <w:rPr>
          <w:b/>
          <w:u w:val="single"/>
        </w:rPr>
        <w:t>perform resistance to the excess of signification with which urban environments are saturated.</w:t>
      </w:r>
    </w:p>
    <w:p xmlns:wp14="http://schemas.microsoft.com/office/word/2010/wordml" w:rsidRPr="00E00AB5" w:rsidR="0082799E" w:rsidP="0082799E" w:rsidRDefault="0082799E" w14:paraId="110FFD37" wp14:textId="77777777"/>
    <w:p xmlns:wp14="http://schemas.microsoft.com/office/word/2010/wordml" w:rsidR="0082799E" w:rsidP="00C21073" w:rsidRDefault="00C21073" w14:paraId="066F988D" wp14:textId="77777777">
      <w:pPr>
        <w:pStyle w:val="Heading3"/>
      </w:pPr>
      <w:r>
        <w:lastRenderedPageBreak/>
        <w:t>Cap K--</w:t>
      </w:r>
      <w:r w:rsidR="0082799E">
        <w:t>Permutation</w:t>
      </w:r>
    </w:p>
    <w:p xmlns:wp14="http://schemas.microsoft.com/office/word/2010/wordml" w:rsidRPr="00952335" w:rsidR="0082799E" w:rsidP="0082799E" w:rsidRDefault="0082799E" w14:paraId="552BB212" wp14:textId="77777777">
      <w:pPr>
        <w:pStyle w:val="Heading4"/>
      </w:pPr>
      <w:r>
        <w:t xml:space="preserve">Perm do both - </w:t>
      </w:r>
      <w:r w:rsidRPr="00952335">
        <w:t>Artistic performance and expression allows for a form of anti-capitalist and anti-authoritarian world-making through collaboration, improvisation, and participation – the musical subculture of rebetika has empirically been a useful method for resisting the cultural language of the majority, and consequently, the very concept of nationhood itself.</w:t>
      </w:r>
    </w:p>
    <w:p xmlns:wp14="http://schemas.microsoft.com/office/word/2010/wordml" w:rsidRPr="00952335" w:rsidR="0082799E" w:rsidP="0082799E" w:rsidRDefault="0082799E" w14:paraId="2F4EB514" wp14:textId="77777777">
      <w:r w:rsidRPr="00952335">
        <w:rPr>
          <w:rStyle w:val="Style13ptBold"/>
        </w:rPr>
        <w:t>Vourloumis 14</w:t>
      </w:r>
      <w:r w:rsidRPr="00952335">
        <w:t xml:space="preserve"> (Hypatia, Ph.D in performance studies from New York University, teaches at the International Center for Hellenic and Mediterranean Studies. “Come and See What We Do: Contemporary Migrant Performances in Athens, Greece.” Theatre Journal, Volume 66, Number 2, May 2014. pg 246-247)//ANH</w:t>
      </w:r>
    </w:p>
    <w:p xmlns:wp14="http://schemas.microsoft.com/office/word/2010/wordml" w:rsidR="0082799E" w:rsidP="0082799E" w:rsidRDefault="0082799E" w14:paraId="68204CD2" wp14:textId="77777777">
      <w:pPr>
        <w:rPr>
          <w:sz w:val="16"/>
        </w:rPr>
      </w:pPr>
      <w:r w:rsidRPr="00EB5F5D">
        <w:rPr>
          <w:rFonts w:cs="Calibri"/>
          <w:color w:val="000000"/>
          <w:sz w:val="16"/>
          <w:szCs w:val="27"/>
          <w:shd w:val="clear" w:color="auto" w:fill="FFFFFF"/>
        </w:rPr>
        <w:t xml:space="preserve">Still steeped in Ottoman ways of life and proliferating within jailhouses, hashish dens, and at ports and working-class neighborhoods, </w:t>
      </w:r>
      <w:r w:rsidRPr="00970A22">
        <w:rPr>
          <w:rStyle w:val="StyleUnderline"/>
        </w:rPr>
        <w:t>the subculture of rebetika was a musical practice and lifestyle beyond easy categorization</w:t>
      </w:r>
      <w:r w:rsidRPr="00EB5F5D">
        <w:rPr>
          <w:rFonts w:cs="Calibri"/>
          <w:color w:val="000000"/>
          <w:sz w:val="16"/>
          <w:szCs w:val="27"/>
          <w:shd w:val="clear" w:color="auto" w:fill="FFFFFF"/>
        </w:rPr>
        <w:t>. The central figure of this subculture was the tough guy, the mangas, whose signature dance was the zeibekiko and whose appearance, as Elias Petropoulos notes, “derived . . . from different social strata, from different races and from different social castes.”18 In her study on rebetika, Janet Sarbanes has also shown how th</w:t>
      </w:r>
      <w:r w:rsidRPr="00970A22">
        <w:rPr>
          <w:rStyle w:val="StyleUnderline"/>
        </w:rPr>
        <w:t>is subculture developed a lawless identity, commenting on and resisting class distinctions through a certain style of music, dress, and customs that antagonized the nation-state’s attempts to re-hellenize itself after independence</w:t>
      </w:r>
      <w:r w:rsidRPr="00EB5F5D">
        <w:rPr>
          <w:rFonts w:cs="Calibri"/>
          <w:color w:val="000000"/>
          <w:sz w:val="16"/>
          <w:szCs w:val="27"/>
          <w:shd w:val="clear" w:color="auto" w:fill="FFFFFF"/>
        </w:rPr>
        <w:t xml:space="preserve"> from the Ottomans.19 The mangas often wore eyeliner, Turkish-style mustaches, and colorful silk cummerbunds under draped jackets, mixing bourgeois dress like bowties, collars, two-toned shoes, and Dillinger-style hats with working class elements. The sounds of rebetika also reflected the heavy influence of the East, as singers would often begin their songs with melancholic wails that echoed the lilts and affect of Moslem calls to prayer, repeating the word aman (mercy) for indeterminate periods of time. The bouzouki, the prominent stringed instrument of rebetika, was played in ways that emphasized virtuosity, experimentalism, and imagination with long, improvised intros. </w:t>
      </w:r>
      <w:r w:rsidRPr="00970A22">
        <w:rPr>
          <w:rStyle w:val="StyleUnderline"/>
        </w:rPr>
        <w:t>These features—the irregularity, wariness of authority, and emphasis on improvisation and spontaneity as essential parts of the music-making, dress codes, and lifestyle—are reflected in the Ottoman meaning of rebetis, which is etymologically linked to “unruliness.”</w:t>
      </w:r>
      <w:r w:rsidRPr="00EB5F5D">
        <w:rPr>
          <w:rFonts w:cs="Calibri"/>
          <w:color w:val="000000"/>
          <w:sz w:val="16"/>
          <w:szCs w:val="27"/>
          <w:shd w:val="clear" w:color="auto" w:fill="FFFFFF"/>
        </w:rPr>
        <w:t xml:space="preserve"> In fact, Kotouza states that </w:t>
      </w:r>
      <w:r w:rsidRPr="00970A22">
        <w:rPr>
          <w:rStyle w:val="StyleUnderline"/>
        </w:rPr>
        <w:t>the</w:t>
      </w:r>
      <w:r w:rsidRPr="00EB5F5D">
        <w:rPr>
          <w:rFonts w:cs="Calibri"/>
          <w:color w:val="000000"/>
          <w:sz w:val="16"/>
          <w:szCs w:val="27"/>
          <w:shd w:val="clear" w:color="auto" w:fill="FFFFFF"/>
        </w:rPr>
        <w:t xml:space="preserve"> unruly </w:t>
      </w:r>
      <w:r w:rsidRPr="00970A22">
        <w:rPr>
          <w:rStyle w:val="StyleUnderline"/>
        </w:rPr>
        <w:t>rebetika practitioners were defiantly anticapitalist and anti-authoritarian</w:t>
      </w:r>
      <w:r w:rsidRPr="00EB5F5D">
        <w:rPr>
          <w:rFonts w:cs="Calibri"/>
          <w:color w:val="000000"/>
          <w:sz w:val="16"/>
          <w:szCs w:val="27"/>
          <w:shd w:val="clear" w:color="auto" w:fill="FFFFFF"/>
        </w:rPr>
        <w:t xml:space="preserve">. </w:t>
      </w:r>
      <w:r w:rsidRPr="00970A22">
        <w:rPr>
          <w:rStyle w:val="Emphasis"/>
        </w:rPr>
        <w:t>Choosing a life of excess, music-making, and alternative world-making</w:t>
      </w:r>
      <w:r w:rsidRPr="00970A22">
        <w:rPr>
          <w:rStyle w:val="StyleUnderline"/>
        </w:rPr>
        <w:t>, they “refuse to toil 12-plus hours a day for a piece of bread—they prefer to steal, smuggle and gamble to make a living.</w:t>
      </w:r>
      <w:r w:rsidRPr="00EB5F5D">
        <w:rPr>
          <w:rFonts w:cs="Calibri"/>
          <w:color w:val="000000"/>
          <w:sz w:val="16"/>
          <w:szCs w:val="27"/>
          <w:shd w:val="clear" w:color="auto" w:fill="FFFFFF"/>
        </w:rPr>
        <w:t xml:space="preserve"> </w:t>
      </w:r>
      <w:r w:rsidRPr="00970A22">
        <w:rPr>
          <w:rStyle w:val="StyleUnderline"/>
        </w:rPr>
        <w:t>They don’t respect property relations and they are not after money but prefer to spend it in the pursuit of pleasure. They proudly defend their hash dens against police raids, are unafraid of prison life and ultimately they refuse waged labour.”</w:t>
      </w:r>
      <w:r w:rsidRPr="00EB5F5D">
        <w:rPr>
          <w:rFonts w:cs="Calibri"/>
          <w:color w:val="000000"/>
          <w:sz w:val="16"/>
          <w:szCs w:val="27"/>
          <w:shd w:val="clear" w:color="auto" w:fill="FFFFFF"/>
        </w:rPr>
        <w:t>20</w:t>
      </w:r>
      <w:r>
        <w:rPr>
          <w:rFonts w:cs="Calibri"/>
          <w:color w:val="000000"/>
          <w:sz w:val="16"/>
          <w:szCs w:val="27"/>
          <w:shd w:val="clear" w:color="auto" w:fill="FFFFFF"/>
        </w:rPr>
        <w:t xml:space="preserve"> </w:t>
      </w:r>
      <w:r w:rsidRPr="00051CE1">
        <w:rPr>
          <w:sz w:val="16"/>
        </w:rPr>
        <w:t xml:space="preserve">In response, conservative intellectuals, musicologists, and </w:t>
      </w:r>
      <w:r w:rsidRPr="00510EE4">
        <w:rPr>
          <w:rStyle w:val="StyleUnderline"/>
        </w:rPr>
        <w:t>state of</w:t>
      </w:r>
      <w:r w:rsidRPr="00510EE4">
        <w:rPr>
          <w:rStyle w:val="StyleUnderline"/>
          <w:rFonts w:hint="eastAsia"/>
        </w:rPr>
        <w:t>fi</w:t>
      </w:r>
      <w:r w:rsidRPr="00510EE4">
        <w:rPr>
          <w:rStyle w:val="StyleUnderline"/>
        </w:rPr>
        <w:t>cials</w:t>
      </w:r>
      <w:r w:rsidRPr="00051CE1">
        <w:rPr>
          <w:sz w:val="16"/>
        </w:rPr>
        <w:t>, tirelessly working on aut</w:t>
      </w:r>
      <w:r w:rsidRPr="00051CE1">
        <w:rPr>
          <w:rFonts w:hint="eastAsia"/>
          <w:sz w:val="16"/>
        </w:rPr>
        <w:t>h</w:t>
      </w:r>
      <w:r w:rsidRPr="00051CE1">
        <w:rPr>
          <w:sz w:val="16"/>
        </w:rPr>
        <w:t xml:space="preserve">enticating and modernizing Greece as a Western culture, </w:t>
      </w:r>
      <w:r w:rsidRPr="00510EE4">
        <w:rPr>
          <w:rStyle w:val="StyleUnderline"/>
        </w:rPr>
        <w:t>launc</w:t>
      </w:r>
      <w:r w:rsidRPr="00510EE4">
        <w:rPr>
          <w:rStyle w:val="StyleUnderline"/>
          <w:rFonts w:hint="eastAsia"/>
        </w:rPr>
        <w:t>h</w:t>
      </w:r>
      <w:r w:rsidRPr="00510EE4">
        <w:rPr>
          <w:rStyle w:val="StyleUnderline"/>
        </w:rPr>
        <w:t>ed ve</w:t>
      </w:r>
      <w:r w:rsidRPr="00510EE4">
        <w:rPr>
          <w:rStyle w:val="StyleUnderline"/>
          <w:rFonts w:hint="eastAsia"/>
        </w:rPr>
        <w:t>h</w:t>
      </w:r>
      <w:r w:rsidRPr="00510EE4">
        <w:rPr>
          <w:rStyle w:val="StyleUnderline"/>
        </w:rPr>
        <w:t>ement campaigns against rebetika</w:t>
      </w:r>
      <w:r w:rsidRPr="00051CE1">
        <w:rPr>
          <w:sz w:val="16"/>
        </w:rPr>
        <w:t>, calling it “‘t</w:t>
      </w:r>
      <w:r w:rsidRPr="00051CE1">
        <w:rPr>
          <w:rFonts w:hint="eastAsia"/>
          <w:sz w:val="16"/>
        </w:rPr>
        <w:t>h</w:t>
      </w:r>
      <w:r w:rsidRPr="00051CE1">
        <w:rPr>
          <w:sz w:val="16"/>
        </w:rPr>
        <w:t>e music of Arabs, Persians and ot</w:t>
      </w:r>
      <w:r w:rsidRPr="00051CE1">
        <w:rPr>
          <w:rFonts w:hint="eastAsia"/>
          <w:sz w:val="16"/>
        </w:rPr>
        <w:t>h</w:t>
      </w:r>
      <w:r w:rsidRPr="00051CE1">
        <w:rPr>
          <w:sz w:val="16"/>
        </w:rPr>
        <w:t xml:space="preserve">er Barbarians’ and </w:t>
      </w:r>
      <w:r w:rsidRPr="00510EE4">
        <w:rPr>
          <w:rStyle w:val="StyleUnderline"/>
        </w:rPr>
        <w:t>associating it wit</w:t>
      </w:r>
      <w:r w:rsidRPr="00510EE4">
        <w:rPr>
          <w:rStyle w:val="StyleUnderline"/>
          <w:rFonts w:hint="eastAsia"/>
        </w:rPr>
        <w:t>h</w:t>
      </w:r>
      <w:r w:rsidRPr="00510EE4">
        <w:rPr>
          <w:rStyle w:val="StyleUnderline"/>
        </w:rPr>
        <w:t xml:space="preserve"> criminality and decadence</w:t>
      </w:r>
      <w:r w:rsidRPr="00051CE1">
        <w:rPr>
          <w:sz w:val="16"/>
        </w:rPr>
        <w:t>.”21 T</w:t>
      </w:r>
      <w:r w:rsidRPr="00051CE1">
        <w:rPr>
          <w:rFonts w:hint="eastAsia"/>
          <w:sz w:val="16"/>
        </w:rPr>
        <w:t>h</w:t>
      </w:r>
      <w:r w:rsidRPr="00051CE1">
        <w:rPr>
          <w:sz w:val="16"/>
        </w:rPr>
        <w:t>is project of de-orientalizing Greek popular culture t</w:t>
      </w:r>
      <w:r w:rsidRPr="00051CE1">
        <w:rPr>
          <w:rFonts w:hint="eastAsia"/>
          <w:sz w:val="16"/>
        </w:rPr>
        <w:t>h</w:t>
      </w:r>
      <w:r w:rsidRPr="00051CE1">
        <w:rPr>
          <w:sz w:val="16"/>
        </w:rPr>
        <w:t>roug</w:t>
      </w:r>
      <w:r w:rsidRPr="00051CE1">
        <w:rPr>
          <w:rFonts w:hint="eastAsia"/>
          <w:sz w:val="16"/>
        </w:rPr>
        <w:t>h</w:t>
      </w:r>
      <w:r w:rsidRPr="00051CE1">
        <w:rPr>
          <w:sz w:val="16"/>
        </w:rPr>
        <w:t xml:space="preserve"> t</w:t>
      </w:r>
      <w:r w:rsidRPr="00051CE1">
        <w:rPr>
          <w:rFonts w:hint="eastAsia"/>
          <w:sz w:val="16"/>
        </w:rPr>
        <w:t>h</w:t>
      </w:r>
      <w:r w:rsidRPr="00051CE1">
        <w:rPr>
          <w:sz w:val="16"/>
        </w:rPr>
        <w:t>e policing of rebetika was furt</w:t>
      </w:r>
      <w:r w:rsidRPr="00051CE1">
        <w:rPr>
          <w:rFonts w:hint="eastAsia"/>
          <w:sz w:val="16"/>
        </w:rPr>
        <w:t>h</w:t>
      </w:r>
      <w:r w:rsidRPr="00051CE1">
        <w:rPr>
          <w:sz w:val="16"/>
        </w:rPr>
        <w:t>er set back wit</w:t>
      </w:r>
      <w:r w:rsidRPr="00051CE1">
        <w:rPr>
          <w:rFonts w:hint="eastAsia"/>
          <w:sz w:val="16"/>
        </w:rPr>
        <w:t>h</w:t>
      </w:r>
      <w:r w:rsidRPr="00051CE1">
        <w:rPr>
          <w:sz w:val="16"/>
        </w:rPr>
        <w:t xml:space="preserve"> t</w:t>
      </w:r>
      <w:r w:rsidRPr="00051CE1">
        <w:rPr>
          <w:rFonts w:hint="eastAsia"/>
          <w:sz w:val="16"/>
        </w:rPr>
        <w:t>h</w:t>
      </w:r>
      <w:r w:rsidRPr="00051CE1">
        <w:rPr>
          <w:sz w:val="16"/>
        </w:rPr>
        <w:t>e refugees’ arrival from Asia Minor in 1923 after t</w:t>
      </w:r>
      <w:r w:rsidRPr="00051CE1">
        <w:rPr>
          <w:rFonts w:hint="eastAsia"/>
          <w:sz w:val="16"/>
        </w:rPr>
        <w:t>h</w:t>
      </w:r>
      <w:r w:rsidRPr="00051CE1">
        <w:rPr>
          <w:sz w:val="16"/>
        </w:rPr>
        <w:t>e Greco-Turkis</w:t>
      </w:r>
      <w:r w:rsidRPr="00051CE1">
        <w:rPr>
          <w:rFonts w:hint="eastAsia"/>
          <w:sz w:val="16"/>
        </w:rPr>
        <w:t>h</w:t>
      </w:r>
      <w:r w:rsidRPr="00051CE1">
        <w:rPr>
          <w:sz w:val="16"/>
        </w:rPr>
        <w:t xml:space="preserve"> war resulted in a massive population exc</w:t>
      </w:r>
      <w:r w:rsidRPr="00051CE1">
        <w:rPr>
          <w:rFonts w:hint="eastAsia"/>
          <w:sz w:val="16"/>
        </w:rPr>
        <w:t>h</w:t>
      </w:r>
      <w:r w:rsidRPr="00051CE1">
        <w:rPr>
          <w:sz w:val="16"/>
        </w:rPr>
        <w:t>ange between Turkey and Greece.22 Thus, a principal site of t</w:t>
      </w:r>
      <w:r w:rsidRPr="00051CE1">
        <w:rPr>
          <w:rFonts w:hint="eastAsia"/>
          <w:sz w:val="16"/>
        </w:rPr>
        <w:t>h</w:t>
      </w:r>
      <w:r w:rsidRPr="00051CE1">
        <w:rPr>
          <w:sz w:val="16"/>
        </w:rPr>
        <w:t>e contest over modern Greek identity became Greek popular song, w</w:t>
      </w:r>
      <w:r w:rsidRPr="00051CE1">
        <w:rPr>
          <w:rFonts w:hint="eastAsia"/>
          <w:sz w:val="16"/>
        </w:rPr>
        <w:t>h</w:t>
      </w:r>
      <w:r w:rsidRPr="00051CE1">
        <w:rPr>
          <w:sz w:val="16"/>
        </w:rPr>
        <w:t>ere t</w:t>
      </w:r>
      <w:r w:rsidRPr="00051CE1">
        <w:rPr>
          <w:rFonts w:hint="eastAsia"/>
          <w:sz w:val="16"/>
        </w:rPr>
        <w:t>h</w:t>
      </w:r>
      <w:r w:rsidRPr="00051CE1">
        <w:rPr>
          <w:sz w:val="16"/>
        </w:rPr>
        <w:t xml:space="preserve">e mixing of elements of East and West took on increasing political connotations. </w:t>
      </w:r>
      <w:r w:rsidRPr="00051CE1">
        <w:rPr>
          <w:rStyle w:val="StyleUnderline"/>
        </w:rPr>
        <w:t>Sarbanes argues t</w:t>
      </w:r>
      <w:r w:rsidRPr="00051CE1">
        <w:rPr>
          <w:rStyle w:val="StyleUnderline"/>
          <w:rFonts w:hint="eastAsia"/>
        </w:rPr>
        <w:t>h</w:t>
      </w:r>
      <w:r w:rsidRPr="00051CE1">
        <w:rPr>
          <w:rStyle w:val="StyleUnderline"/>
        </w:rPr>
        <w:t>at w</w:t>
      </w:r>
      <w:r w:rsidRPr="00051CE1">
        <w:rPr>
          <w:rStyle w:val="StyleUnderline"/>
          <w:rFonts w:hint="eastAsia"/>
        </w:rPr>
        <w:t>h</w:t>
      </w:r>
      <w:r w:rsidRPr="00051CE1">
        <w:rPr>
          <w:rStyle w:val="StyleUnderline"/>
        </w:rPr>
        <w:t xml:space="preserve">at was most feared was rebetika’s style </w:t>
      </w:r>
      <w:r w:rsidRPr="00051CE1">
        <w:rPr>
          <w:rStyle w:val="Emphasis"/>
        </w:rPr>
        <w:t>“of being toget</w:t>
      </w:r>
      <w:r w:rsidRPr="00051CE1">
        <w:rPr>
          <w:rStyle w:val="Emphasis"/>
          <w:rFonts w:hint="eastAsia"/>
        </w:rPr>
        <w:t>h</w:t>
      </w:r>
      <w:r w:rsidRPr="00051CE1">
        <w:rPr>
          <w:rStyle w:val="Emphasis"/>
        </w:rPr>
        <w:t>er,” w</w:t>
      </w:r>
      <w:r w:rsidRPr="00051CE1">
        <w:rPr>
          <w:rStyle w:val="Emphasis"/>
          <w:rFonts w:hint="eastAsia"/>
        </w:rPr>
        <w:t>h</w:t>
      </w:r>
      <w:r w:rsidRPr="00051CE1">
        <w:rPr>
          <w:rStyle w:val="Emphasis"/>
        </w:rPr>
        <w:t>ic</w:t>
      </w:r>
      <w:r w:rsidRPr="00051CE1">
        <w:rPr>
          <w:rStyle w:val="Emphasis"/>
          <w:rFonts w:hint="eastAsia"/>
        </w:rPr>
        <w:t>h</w:t>
      </w:r>
      <w:r w:rsidRPr="00051CE1">
        <w:rPr>
          <w:rStyle w:val="Emphasis"/>
        </w:rPr>
        <w:t xml:space="preserve"> transformed sociality t</w:t>
      </w:r>
      <w:r w:rsidRPr="00051CE1">
        <w:rPr>
          <w:rStyle w:val="Emphasis"/>
          <w:rFonts w:hint="eastAsia"/>
        </w:rPr>
        <w:t>h</w:t>
      </w:r>
      <w:r w:rsidRPr="00051CE1">
        <w:rPr>
          <w:rStyle w:val="Emphasis"/>
        </w:rPr>
        <w:t>roug</w:t>
      </w:r>
      <w:r w:rsidRPr="00051CE1">
        <w:rPr>
          <w:rStyle w:val="Emphasis"/>
          <w:rFonts w:hint="eastAsia"/>
        </w:rPr>
        <w:t>h</w:t>
      </w:r>
      <w:r w:rsidRPr="00051CE1">
        <w:rPr>
          <w:rStyle w:val="Emphasis"/>
        </w:rPr>
        <w:t xml:space="preserve"> collaboration, improvisation, and participation.</w:t>
      </w:r>
      <w:r w:rsidRPr="00051CE1">
        <w:rPr>
          <w:sz w:val="16"/>
        </w:rPr>
        <w:t xml:space="preserve"> 23 Effectively criminalizing t</w:t>
      </w:r>
      <w:r w:rsidRPr="00051CE1">
        <w:rPr>
          <w:rFonts w:hint="eastAsia"/>
          <w:sz w:val="16"/>
        </w:rPr>
        <w:t>h</w:t>
      </w:r>
      <w:r w:rsidRPr="00051CE1">
        <w:rPr>
          <w:sz w:val="16"/>
        </w:rPr>
        <w:t>e music and t</w:t>
      </w:r>
      <w:r w:rsidRPr="00051CE1">
        <w:rPr>
          <w:rFonts w:hint="eastAsia"/>
          <w:sz w:val="16"/>
        </w:rPr>
        <w:t>h</w:t>
      </w:r>
      <w:r w:rsidRPr="00051CE1">
        <w:rPr>
          <w:sz w:val="16"/>
        </w:rPr>
        <w:t>e persons w</w:t>
      </w:r>
      <w:r w:rsidRPr="00051CE1">
        <w:rPr>
          <w:rFonts w:hint="eastAsia"/>
          <w:sz w:val="16"/>
        </w:rPr>
        <w:t>h</w:t>
      </w:r>
      <w:r w:rsidRPr="00051CE1">
        <w:rPr>
          <w:sz w:val="16"/>
        </w:rPr>
        <w:t>o engaged in practices associated wit</w:t>
      </w:r>
      <w:r w:rsidRPr="00051CE1">
        <w:rPr>
          <w:rFonts w:hint="eastAsia"/>
          <w:sz w:val="16"/>
        </w:rPr>
        <w:t>h</w:t>
      </w:r>
      <w:r w:rsidRPr="00051CE1">
        <w:rPr>
          <w:sz w:val="16"/>
        </w:rPr>
        <w:t xml:space="preserve"> it, dictator Loannis Metaxas banned rebetika in 1937, as did t</w:t>
      </w:r>
      <w:r w:rsidRPr="00051CE1">
        <w:rPr>
          <w:rFonts w:hint="eastAsia"/>
          <w:sz w:val="16"/>
        </w:rPr>
        <w:t>h</w:t>
      </w:r>
      <w:r w:rsidRPr="00051CE1">
        <w:rPr>
          <w:sz w:val="16"/>
        </w:rPr>
        <w:t>e later military junta (1967–74), fearing its potential contagious effects. However, as Sarbanes points out, wit</w:t>
      </w:r>
      <w:r w:rsidRPr="00051CE1">
        <w:rPr>
          <w:rFonts w:hint="eastAsia"/>
          <w:sz w:val="16"/>
        </w:rPr>
        <w:t>h</w:t>
      </w:r>
      <w:r w:rsidRPr="00051CE1">
        <w:rPr>
          <w:sz w:val="16"/>
        </w:rPr>
        <w:t xml:space="preserve"> t</w:t>
      </w:r>
      <w:r w:rsidRPr="00051CE1">
        <w:rPr>
          <w:rFonts w:hint="eastAsia"/>
          <w:sz w:val="16"/>
        </w:rPr>
        <w:t>h</w:t>
      </w:r>
      <w:r w:rsidRPr="00051CE1">
        <w:rPr>
          <w:sz w:val="16"/>
        </w:rPr>
        <w:t>e advent of t</w:t>
      </w:r>
      <w:r w:rsidRPr="00051CE1">
        <w:rPr>
          <w:rFonts w:hint="eastAsia"/>
          <w:sz w:val="16"/>
        </w:rPr>
        <w:t>h</w:t>
      </w:r>
      <w:r w:rsidRPr="00051CE1">
        <w:rPr>
          <w:sz w:val="16"/>
        </w:rPr>
        <w:t>e recording industry, a sanitized and commercialized form of rebetika eventually became mainstream, even coming to define t</w:t>
      </w:r>
      <w:r w:rsidRPr="00051CE1">
        <w:rPr>
          <w:rFonts w:hint="eastAsia"/>
          <w:sz w:val="16"/>
        </w:rPr>
        <w:t>h</w:t>
      </w:r>
      <w:r w:rsidRPr="00051CE1">
        <w:rPr>
          <w:sz w:val="16"/>
        </w:rPr>
        <w:t>e nation. 24 Presently, rebetika is t</w:t>
      </w:r>
      <w:r w:rsidRPr="00051CE1">
        <w:rPr>
          <w:rFonts w:hint="eastAsia"/>
          <w:sz w:val="16"/>
        </w:rPr>
        <w:t>h</w:t>
      </w:r>
      <w:r w:rsidRPr="00051CE1">
        <w:rPr>
          <w:sz w:val="16"/>
        </w:rPr>
        <w:t xml:space="preserve">e ubiquitous sound spilling out of all kinds of private and public spaces across Greece and its diasporas. As a musical remainder and reminder of its </w:t>
      </w:r>
      <w:r w:rsidRPr="00051CE1">
        <w:rPr>
          <w:rFonts w:hint="eastAsia"/>
          <w:sz w:val="16"/>
        </w:rPr>
        <w:t>h</w:t>
      </w:r>
      <w:r w:rsidRPr="00051CE1">
        <w:rPr>
          <w:sz w:val="16"/>
        </w:rPr>
        <w:t>istorical af</w:t>
      </w:r>
      <w:r w:rsidRPr="00051CE1">
        <w:rPr>
          <w:rFonts w:hint="eastAsia"/>
          <w:sz w:val="16"/>
        </w:rPr>
        <w:t>fi</w:t>
      </w:r>
      <w:r w:rsidRPr="00051CE1">
        <w:rPr>
          <w:sz w:val="16"/>
        </w:rPr>
        <w:t>liations wit</w:t>
      </w:r>
      <w:r w:rsidRPr="00051CE1">
        <w:rPr>
          <w:rFonts w:hint="eastAsia"/>
          <w:sz w:val="16"/>
        </w:rPr>
        <w:t>h</w:t>
      </w:r>
      <w:r w:rsidRPr="00051CE1">
        <w:rPr>
          <w:sz w:val="16"/>
        </w:rPr>
        <w:t xml:space="preserve"> t</w:t>
      </w:r>
      <w:r w:rsidRPr="00051CE1">
        <w:rPr>
          <w:rFonts w:hint="eastAsia"/>
          <w:sz w:val="16"/>
        </w:rPr>
        <w:t>h</w:t>
      </w:r>
      <w:r w:rsidRPr="00051CE1">
        <w:rPr>
          <w:sz w:val="16"/>
        </w:rPr>
        <w:t>e East, migration, and notions of t</w:t>
      </w:r>
      <w:r w:rsidRPr="00051CE1">
        <w:rPr>
          <w:rFonts w:hint="eastAsia"/>
          <w:sz w:val="16"/>
        </w:rPr>
        <w:t>h</w:t>
      </w:r>
      <w:r w:rsidRPr="00051CE1">
        <w:rPr>
          <w:sz w:val="16"/>
        </w:rPr>
        <w:t>e non-European Ot</w:t>
      </w:r>
      <w:r w:rsidRPr="00051CE1">
        <w:rPr>
          <w:rFonts w:hint="eastAsia"/>
          <w:sz w:val="16"/>
        </w:rPr>
        <w:t>h</w:t>
      </w:r>
      <w:r w:rsidRPr="00051CE1">
        <w:rPr>
          <w:sz w:val="16"/>
        </w:rPr>
        <w:t>er, it epitomizes Greece’s marginalized positioning wit</w:t>
      </w:r>
      <w:r w:rsidRPr="00051CE1">
        <w:rPr>
          <w:rFonts w:hint="eastAsia"/>
          <w:sz w:val="16"/>
        </w:rPr>
        <w:t>h</w:t>
      </w:r>
      <w:r w:rsidRPr="00051CE1">
        <w:rPr>
          <w:sz w:val="16"/>
        </w:rPr>
        <w:t>in a c</w:t>
      </w:r>
      <w:r w:rsidRPr="00051CE1">
        <w:rPr>
          <w:rFonts w:hint="eastAsia"/>
          <w:sz w:val="16"/>
        </w:rPr>
        <w:t>h</w:t>
      </w:r>
      <w:r w:rsidRPr="00051CE1">
        <w:rPr>
          <w:sz w:val="16"/>
        </w:rPr>
        <w:t>astising continent. Signi</w:t>
      </w:r>
      <w:r w:rsidRPr="00051CE1">
        <w:rPr>
          <w:rFonts w:hint="eastAsia"/>
          <w:sz w:val="16"/>
        </w:rPr>
        <w:t>f</w:t>
      </w:r>
      <w:r w:rsidRPr="00051CE1">
        <w:rPr>
          <w:sz w:val="16"/>
        </w:rPr>
        <w:t>icantly for our discussion, Sarbanes astutely concludes t</w:t>
      </w:r>
      <w:r w:rsidRPr="00051CE1">
        <w:rPr>
          <w:rFonts w:hint="eastAsia"/>
          <w:sz w:val="16"/>
        </w:rPr>
        <w:t>h</w:t>
      </w:r>
      <w:r w:rsidRPr="00051CE1">
        <w:rPr>
          <w:sz w:val="16"/>
        </w:rPr>
        <w:t>at “[</w:t>
      </w:r>
      <w:r w:rsidRPr="00051CE1">
        <w:rPr>
          <w:rStyle w:val="StyleUnderline"/>
        </w:rPr>
        <w:t xml:space="preserve">i]t is interesting to consider </w:t>
      </w:r>
      <w:r w:rsidRPr="00051CE1">
        <w:rPr>
          <w:rStyle w:val="StyleUnderline"/>
          <w:rFonts w:hint="eastAsia"/>
        </w:rPr>
        <w:t>h</w:t>
      </w:r>
      <w:r w:rsidRPr="00051CE1">
        <w:rPr>
          <w:rStyle w:val="StyleUnderline"/>
        </w:rPr>
        <w:t>ow t</w:t>
      </w:r>
      <w:r w:rsidRPr="00051CE1">
        <w:rPr>
          <w:rStyle w:val="StyleUnderline"/>
          <w:rFonts w:hint="eastAsia"/>
        </w:rPr>
        <w:t>h</w:t>
      </w:r>
      <w:r w:rsidRPr="00051CE1">
        <w:rPr>
          <w:rStyle w:val="StyleUnderline"/>
        </w:rPr>
        <w:t xml:space="preserve">e </w:t>
      </w:r>
      <w:r w:rsidRPr="00051CE1">
        <w:rPr>
          <w:rStyle w:val="StyleUnderline"/>
        </w:rPr>
        <w:lastRenderedPageBreak/>
        <w:t>nation function is altered w</w:t>
      </w:r>
      <w:r w:rsidRPr="00051CE1">
        <w:rPr>
          <w:rStyle w:val="StyleUnderline"/>
          <w:rFonts w:hint="eastAsia"/>
        </w:rPr>
        <w:t>h</w:t>
      </w:r>
      <w:r w:rsidRPr="00051CE1">
        <w:rPr>
          <w:rStyle w:val="StyleUnderline"/>
        </w:rPr>
        <w:t>en a subculture like rebetika comes to de</w:t>
      </w:r>
      <w:r w:rsidRPr="00051CE1">
        <w:rPr>
          <w:rStyle w:val="StyleUnderline"/>
          <w:rFonts w:hint="eastAsia"/>
        </w:rPr>
        <w:t>fi</w:t>
      </w:r>
      <w:r w:rsidRPr="00051CE1">
        <w:rPr>
          <w:rStyle w:val="StyleUnderline"/>
        </w:rPr>
        <w:t>ne nation</w:t>
      </w:r>
      <w:r w:rsidRPr="00051CE1">
        <w:rPr>
          <w:rStyle w:val="StyleUnderline"/>
          <w:rFonts w:hint="eastAsia"/>
        </w:rPr>
        <w:t>h</w:t>
      </w:r>
      <w:r w:rsidRPr="00051CE1">
        <w:rPr>
          <w:rStyle w:val="StyleUnderline"/>
        </w:rPr>
        <w:t>ood</w:t>
      </w:r>
      <w:r w:rsidRPr="00051CE1">
        <w:rPr>
          <w:sz w:val="16"/>
        </w:rPr>
        <w:t>. . . . For to ‘be Greek’ t</w:t>
      </w:r>
      <w:r w:rsidRPr="00051CE1">
        <w:rPr>
          <w:rFonts w:hint="eastAsia"/>
          <w:sz w:val="16"/>
        </w:rPr>
        <w:t>h</w:t>
      </w:r>
      <w:r w:rsidRPr="00051CE1">
        <w:rPr>
          <w:sz w:val="16"/>
        </w:rPr>
        <w:t>en is to be not one t</w:t>
      </w:r>
      <w:r w:rsidRPr="00051CE1">
        <w:rPr>
          <w:rFonts w:hint="eastAsia"/>
          <w:sz w:val="16"/>
        </w:rPr>
        <w:t>h</w:t>
      </w:r>
      <w:r w:rsidRPr="00051CE1">
        <w:rPr>
          <w:sz w:val="16"/>
        </w:rPr>
        <w:t>ing but many t</w:t>
      </w:r>
      <w:r w:rsidRPr="00051CE1">
        <w:rPr>
          <w:rFonts w:hint="eastAsia"/>
          <w:sz w:val="16"/>
        </w:rPr>
        <w:t>h</w:t>
      </w:r>
      <w:r w:rsidRPr="00051CE1">
        <w:rPr>
          <w:sz w:val="16"/>
        </w:rPr>
        <w:t>ings—including, per</w:t>
      </w:r>
      <w:r w:rsidRPr="00051CE1">
        <w:rPr>
          <w:rFonts w:hint="eastAsia"/>
          <w:sz w:val="16"/>
        </w:rPr>
        <w:t>h</w:t>
      </w:r>
      <w:r w:rsidRPr="00051CE1">
        <w:rPr>
          <w:sz w:val="16"/>
        </w:rPr>
        <w:t>aps, Turkis</w:t>
      </w:r>
      <w:r w:rsidRPr="00051CE1">
        <w:rPr>
          <w:rFonts w:hint="eastAsia"/>
          <w:sz w:val="16"/>
        </w:rPr>
        <w:t>h</w:t>
      </w:r>
      <w:r w:rsidRPr="00051CE1">
        <w:rPr>
          <w:sz w:val="16"/>
        </w:rPr>
        <w:t xml:space="preserve">. </w:t>
      </w:r>
      <w:r w:rsidRPr="00051CE1">
        <w:rPr>
          <w:rStyle w:val="StyleUnderline"/>
        </w:rPr>
        <w:t>It is to be t</w:t>
      </w:r>
      <w:r w:rsidRPr="00051CE1">
        <w:rPr>
          <w:rStyle w:val="StyleUnderline"/>
          <w:rFonts w:hint="eastAsia"/>
        </w:rPr>
        <w:t>h</w:t>
      </w:r>
      <w:r w:rsidRPr="00051CE1">
        <w:rPr>
          <w:rStyle w:val="StyleUnderline"/>
        </w:rPr>
        <w:t>e unorganizable, t</w:t>
      </w:r>
      <w:r w:rsidRPr="00051CE1">
        <w:rPr>
          <w:rStyle w:val="StyleUnderline"/>
          <w:rFonts w:hint="eastAsia"/>
        </w:rPr>
        <w:t>h</w:t>
      </w:r>
      <w:r w:rsidRPr="00051CE1">
        <w:rPr>
          <w:rStyle w:val="StyleUnderline"/>
        </w:rPr>
        <w:t>e uncategorizable, and t</w:t>
      </w:r>
      <w:r w:rsidRPr="00051CE1">
        <w:rPr>
          <w:rStyle w:val="StyleUnderline"/>
          <w:rFonts w:hint="eastAsia"/>
        </w:rPr>
        <w:t>h</w:t>
      </w:r>
      <w:r w:rsidRPr="00051CE1">
        <w:rPr>
          <w:rStyle w:val="StyleUnderline"/>
        </w:rPr>
        <w:t>e as-yet-unimagined</w:t>
      </w:r>
      <w:r w:rsidRPr="00051CE1">
        <w:rPr>
          <w:sz w:val="16"/>
        </w:rPr>
        <w:t>.”25 In lig</w:t>
      </w:r>
      <w:r w:rsidRPr="00051CE1">
        <w:rPr>
          <w:rFonts w:hint="eastAsia"/>
          <w:sz w:val="16"/>
        </w:rPr>
        <w:t>h</w:t>
      </w:r>
      <w:r w:rsidRPr="00051CE1">
        <w:rPr>
          <w:sz w:val="16"/>
        </w:rPr>
        <w:t>t of t</w:t>
      </w:r>
      <w:r w:rsidRPr="00051CE1">
        <w:rPr>
          <w:rFonts w:hint="eastAsia"/>
          <w:sz w:val="16"/>
        </w:rPr>
        <w:t>h</w:t>
      </w:r>
      <w:r w:rsidRPr="00051CE1">
        <w:rPr>
          <w:sz w:val="16"/>
        </w:rPr>
        <w:t xml:space="preserve">is, </w:t>
      </w:r>
      <w:r w:rsidRPr="00051CE1">
        <w:rPr>
          <w:rStyle w:val="StyleUnderline"/>
        </w:rPr>
        <w:t xml:space="preserve">it becomes clear </w:t>
      </w:r>
      <w:r w:rsidRPr="00051CE1">
        <w:rPr>
          <w:rStyle w:val="StyleUnderline"/>
          <w:rFonts w:hint="eastAsia"/>
        </w:rPr>
        <w:t>h</w:t>
      </w:r>
      <w:r w:rsidRPr="00051CE1">
        <w:rPr>
          <w:rStyle w:val="StyleUnderline"/>
        </w:rPr>
        <w:t>ow ELANADISTIKANOUME extends rebetika’s resistance to categorization by reworking it as a site for t</w:t>
      </w:r>
      <w:r w:rsidRPr="00051CE1">
        <w:rPr>
          <w:rStyle w:val="StyleUnderline"/>
          <w:rFonts w:hint="eastAsia"/>
        </w:rPr>
        <w:t>h</w:t>
      </w:r>
      <w:r w:rsidRPr="00051CE1">
        <w:rPr>
          <w:rStyle w:val="StyleUnderline"/>
        </w:rPr>
        <w:t>e contemporary presence of vilified ot</w:t>
      </w:r>
      <w:r w:rsidRPr="00051CE1">
        <w:rPr>
          <w:rStyle w:val="StyleUnderline"/>
          <w:rFonts w:hint="eastAsia"/>
        </w:rPr>
        <w:t>h</w:t>
      </w:r>
      <w:r w:rsidRPr="00051CE1">
        <w:rPr>
          <w:rStyle w:val="StyleUnderline"/>
        </w:rPr>
        <w:t>ers wit</w:t>
      </w:r>
      <w:r w:rsidRPr="00051CE1">
        <w:rPr>
          <w:rStyle w:val="StyleUnderline"/>
          <w:rFonts w:hint="eastAsia"/>
        </w:rPr>
        <w:t>h</w:t>
      </w:r>
      <w:r w:rsidRPr="00051CE1">
        <w:rPr>
          <w:rStyle w:val="StyleUnderline"/>
        </w:rPr>
        <w:t>in a national space already marked by its European ot</w:t>
      </w:r>
      <w:r w:rsidRPr="00051CE1">
        <w:rPr>
          <w:rStyle w:val="StyleUnderline"/>
          <w:rFonts w:hint="eastAsia"/>
        </w:rPr>
        <w:t>h</w:t>
      </w:r>
      <w:r w:rsidRPr="00051CE1">
        <w:rPr>
          <w:rStyle w:val="StyleUnderline"/>
        </w:rPr>
        <w:t>erness.</w:t>
      </w:r>
      <w:r w:rsidRPr="00051CE1">
        <w:rPr>
          <w:sz w:val="16"/>
        </w:rPr>
        <w:t xml:space="preserve"> </w:t>
      </w:r>
      <w:r w:rsidRPr="00051CE1">
        <w:rPr>
          <w:rStyle w:val="StyleUnderline"/>
        </w:rPr>
        <w:t>T</w:t>
      </w:r>
      <w:r w:rsidRPr="00051CE1">
        <w:rPr>
          <w:rStyle w:val="StyleUnderline"/>
          <w:rFonts w:hint="eastAsia"/>
        </w:rPr>
        <w:t>h</w:t>
      </w:r>
      <w:r w:rsidRPr="00051CE1">
        <w:rPr>
          <w:rStyle w:val="StyleUnderline"/>
        </w:rPr>
        <w:t>eir enactment of</w:t>
      </w:r>
      <w:r w:rsidRPr="00051CE1">
        <w:rPr>
          <w:sz w:val="16"/>
        </w:rPr>
        <w:t xml:space="preserve"> rebetika’s </w:t>
      </w:r>
      <w:r w:rsidRPr="00051CE1">
        <w:rPr>
          <w:rStyle w:val="StyleUnderline"/>
        </w:rPr>
        <w:t xml:space="preserve">taxonomical and </w:t>
      </w:r>
      <w:r w:rsidRPr="00051CE1">
        <w:rPr>
          <w:rStyle w:val="StyleUnderline"/>
          <w:rFonts w:hint="eastAsia"/>
        </w:rPr>
        <w:t>h</w:t>
      </w:r>
      <w:r w:rsidRPr="00051CE1">
        <w:rPr>
          <w:rStyle w:val="StyleUnderline"/>
        </w:rPr>
        <w:t xml:space="preserve">istorical ambiguity and </w:t>
      </w:r>
      <w:r w:rsidRPr="007F21CE">
        <w:rPr>
          <w:rStyle w:val="Emphasis"/>
        </w:rPr>
        <w:t>crossing of borders now crosses over</w:t>
      </w:r>
      <w:r w:rsidRPr="00051CE1">
        <w:rPr>
          <w:rStyle w:val="StyleUnderline"/>
        </w:rPr>
        <w:t xml:space="preserve"> </w:t>
      </w:r>
      <w:r w:rsidRPr="00051CE1">
        <w:rPr>
          <w:rStyle w:val="Emphasis"/>
        </w:rPr>
        <w:t>into a cultural performance t</w:t>
      </w:r>
      <w:r w:rsidRPr="00051CE1">
        <w:rPr>
          <w:rStyle w:val="Emphasis"/>
          <w:rFonts w:hint="eastAsia"/>
        </w:rPr>
        <w:t>h</w:t>
      </w:r>
      <w:r w:rsidRPr="00051CE1">
        <w:rPr>
          <w:rStyle w:val="Emphasis"/>
        </w:rPr>
        <w:t>at, in its doubled indeterminacy, de-territorializes t</w:t>
      </w:r>
      <w:r w:rsidRPr="00051CE1">
        <w:rPr>
          <w:rStyle w:val="Emphasis"/>
          <w:rFonts w:hint="eastAsia"/>
        </w:rPr>
        <w:t>h</w:t>
      </w:r>
      <w:r w:rsidRPr="00051CE1">
        <w:rPr>
          <w:rStyle w:val="Emphasis"/>
        </w:rPr>
        <w:t>e cultural language of t</w:t>
      </w:r>
      <w:r w:rsidRPr="00051CE1">
        <w:rPr>
          <w:rStyle w:val="Emphasis"/>
          <w:rFonts w:hint="eastAsia"/>
        </w:rPr>
        <w:t>h</w:t>
      </w:r>
      <w:r w:rsidRPr="00051CE1">
        <w:rPr>
          <w:rStyle w:val="Emphasis"/>
        </w:rPr>
        <w:t>e majority</w:t>
      </w:r>
      <w:r w:rsidRPr="00051CE1">
        <w:rPr>
          <w:sz w:val="16"/>
        </w:rPr>
        <w:t xml:space="preserve">. </w:t>
      </w:r>
      <w:r w:rsidRPr="00051CE1">
        <w:rPr>
          <w:rStyle w:val="StyleUnderline"/>
        </w:rPr>
        <w:t>T</w:t>
      </w:r>
      <w:r w:rsidRPr="00051CE1">
        <w:rPr>
          <w:rStyle w:val="StyleUnderline"/>
          <w:rFonts w:hint="eastAsia"/>
        </w:rPr>
        <w:t>h</w:t>
      </w:r>
      <w:r w:rsidRPr="00051CE1">
        <w:rPr>
          <w:rStyle w:val="StyleUnderline"/>
        </w:rPr>
        <w:t>is contemporary underclass of economic migrants and political refugees</w:t>
      </w:r>
      <w:r w:rsidRPr="00051CE1">
        <w:rPr>
          <w:sz w:val="16"/>
        </w:rPr>
        <w:t xml:space="preserve"> conceptually re</w:t>
      </w:r>
      <w:r w:rsidRPr="00051CE1">
        <w:rPr>
          <w:rStyle w:val="StyleUnderline"/>
        </w:rPr>
        <w:t>vise rebetika to speak to t</w:t>
      </w:r>
      <w:r w:rsidRPr="00051CE1">
        <w:rPr>
          <w:rStyle w:val="StyleUnderline"/>
          <w:rFonts w:hint="eastAsia"/>
        </w:rPr>
        <w:t>h</w:t>
      </w:r>
      <w:r w:rsidRPr="00051CE1">
        <w:rPr>
          <w:rStyle w:val="StyleUnderline"/>
        </w:rPr>
        <w:t>eir present exigencies, w</w:t>
      </w:r>
      <w:r w:rsidRPr="00051CE1">
        <w:rPr>
          <w:rStyle w:val="StyleUnderline"/>
          <w:rFonts w:hint="eastAsia"/>
        </w:rPr>
        <w:t>h</w:t>
      </w:r>
      <w:r w:rsidRPr="00051CE1">
        <w:rPr>
          <w:rStyle w:val="StyleUnderline"/>
        </w:rPr>
        <w:t>ile being demonized and criminalized by religious and political establis</w:t>
      </w:r>
      <w:r w:rsidRPr="00051CE1">
        <w:rPr>
          <w:rStyle w:val="StyleUnderline"/>
          <w:rFonts w:hint="eastAsia"/>
        </w:rPr>
        <w:t>h</w:t>
      </w:r>
      <w:r w:rsidRPr="00051CE1">
        <w:rPr>
          <w:rStyle w:val="StyleUnderline"/>
        </w:rPr>
        <w:t>ments t</w:t>
      </w:r>
      <w:r w:rsidRPr="00051CE1">
        <w:rPr>
          <w:rStyle w:val="StyleUnderline"/>
          <w:rFonts w:hint="eastAsia"/>
        </w:rPr>
        <w:t>h</w:t>
      </w:r>
      <w:r w:rsidRPr="00051CE1">
        <w:rPr>
          <w:rStyle w:val="StyleUnderline"/>
        </w:rPr>
        <w:t>at ironically de</w:t>
      </w:r>
      <w:r w:rsidRPr="00051CE1">
        <w:rPr>
          <w:rStyle w:val="StyleUnderline"/>
          <w:rFonts w:hint="eastAsia"/>
        </w:rPr>
        <w:t>fi</w:t>
      </w:r>
      <w:r w:rsidRPr="00051CE1">
        <w:rPr>
          <w:rStyle w:val="StyleUnderline"/>
        </w:rPr>
        <w:t>ne t</w:t>
      </w:r>
      <w:r w:rsidRPr="00051CE1">
        <w:rPr>
          <w:rStyle w:val="StyleUnderline"/>
          <w:rFonts w:hint="eastAsia"/>
        </w:rPr>
        <w:t>h</w:t>
      </w:r>
      <w:r w:rsidRPr="00051CE1">
        <w:rPr>
          <w:rStyle w:val="StyleUnderline"/>
        </w:rPr>
        <w:t>emselves as progenitors of European civilization</w:t>
      </w:r>
      <w:r w:rsidRPr="00051CE1">
        <w:rPr>
          <w:sz w:val="16"/>
        </w:rPr>
        <w:t xml:space="preserve">. </w:t>
      </w:r>
      <w:r w:rsidRPr="00051CE1">
        <w:rPr>
          <w:rStyle w:val="StyleUnderline"/>
        </w:rPr>
        <w:t>T</w:t>
      </w:r>
      <w:r w:rsidRPr="00051CE1">
        <w:rPr>
          <w:rStyle w:val="StyleUnderline"/>
          <w:rFonts w:hint="eastAsia"/>
        </w:rPr>
        <w:t>h</w:t>
      </w:r>
      <w:r w:rsidRPr="00051CE1">
        <w:rPr>
          <w:rStyle w:val="StyleUnderline"/>
        </w:rPr>
        <w:t>e four performers’ version</w:t>
      </w:r>
      <w:r w:rsidRPr="00051CE1">
        <w:rPr>
          <w:sz w:val="16"/>
        </w:rPr>
        <w:t xml:space="preserve"> of t</w:t>
      </w:r>
      <w:r w:rsidRPr="00051CE1">
        <w:rPr>
          <w:rFonts w:hint="eastAsia"/>
          <w:sz w:val="16"/>
        </w:rPr>
        <w:t>h</w:t>
      </w:r>
      <w:r w:rsidRPr="00051CE1">
        <w:rPr>
          <w:sz w:val="16"/>
        </w:rPr>
        <w:t xml:space="preserve">is popular Greek song and dance </w:t>
      </w:r>
      <w:r w:rsidRPr="00051CE1">
        <w:rPr>
          <w:rStyle w:val="StyleUnderline"/>
        </w:rPr>
        <w:t xml:space="preserve">expressed </w:t>
      </w:r>
      <w:r w:rsidRPr="00051CE1">
        <w:rPr>
          <w:rStyle w:val="StyleUnderline"/>
          <w:rFonts w:hint="eastAsia"/>
        </w:rPr>
        <w:t>h</w:t>
      </w:r>
      <w:r w:rsidRPr="00051CE1">
        <w:rPr>
          <w:rStyle w:val="StyleUnderline"/>
        </w:rPr>
        <w:t>ow t</w:t>
      </w:r>
      <w:r w:rsidRPr="00051CE1">
        <w:rPr>
          <w:rStyle w:val="StyleUnderline"/>
          <w:rFonts w:hint="eastAsia"/>
        </w:rPr>
        <w:t>h</w:t>
      </w:r>
      <w:r w:rsidRPr="00051CE1">
        <w:rPr>
          <w:rStyle w:val="StyleUnderline"/>
        </w:rPr>
        <w:t>e condition of being “stateless—migrant workers, minorities, asylum seekers, refugees,”</w:t>
      </w:r>
      <w:r w:rsidRPr="00051CE1">
        <w:rPr>
          <w:sz w:val="16"/>
        </w:rPr>
        <w:t>26 as Homi B</w:t>
      </w:r>
      <w:r w:rsidRPr="00051CE1">
        <w:rPr>
          <w:rFonts w:hint="eastAsia"/>
          <w:sz w:val="16"/>
        </w:rPr>
        <w:t>h</w:t>
      </w:r>
      <w:r w:rsidRPr="00051CE1">
        <w:rPr>
          <w:sz w:val="16"/>
        </w:rPr>
        <w:t>ab</w:t>
      </w:r>
      <w:r w:rsidRPr="00051CE1">
        <w:rPr>
          <w:rFonts w:hint="eastAsia"/>
          <w:sz w:val="16"/>
        </w:rPr>
        <w:t>h</w:t>
      </w:r>
      <w:r w:rsidRPr="00051CE1">
        <w:rPr>
          <w:sz w:val="16"/>
        </w:rPr>
        <w:t xml:space="preserve">a writes, </w:t>
      </w:r>
      <w:r w:rsidRPr="00051CE1">
        <w:rPr>
          <w:rStyle w:val="StyleUnderline"/>
        </w:rPr>
        <w:t>“introduces a performative sense of ‘being in t</w:t>
      </w:r>
      <w:r w:rsidRPr="00051CE1">
        <w:rPr>
          <w:rStyle w:val="StyleUnderline"/>
          <w:rFonts w:hint="eastAsia"/>
        </w:rPr>
        <w:t>h</w:t>
      </w:r>
      <w:r w:rsidRPr="00051CE1">
        <w:rPr>
          <w:rStyle w:val="StyleUnderline"/>
        </w:rPr>
        <w:t>e midst of t</w:t>
      </w:r>
      <w:r w:rsidRPr="00051CE1">
        <w:rPr>
          <w:rStyle w:val="StyleUnderline"/>
          <w:rFonts w:hint="eastAsia"/>
        </w:rPr>
        <w:t>h</w:t>
      </w:r>
      <w:r w:rsidRPr="00051CE1">
        <w:rPr>
          <w:rStyle w:val="StyleUnderline"/>
        </w:rPr>
        <w:t>ings’</w:t>
      </w:r>
      <w:r w:rsidRPr="00051CE1">
        <w:rPr>
          <w:sz w:val="16"/>
        </w:rPr>
        <w:t xml:space="preserve"> . . . </w:t>
      </w:r>
      <w:r w:rsidRPr="00051CE1">
        <w:rPr>
          <w:rStyle w:val="StyleUnderline"/>
        </w:rPr>
        <w:t xml:space="preserve">[It] fosters </w:t>
      </w:r>
      <w:r w:rsidRPr="00051CE1">
        <w:rPr>
          <w:sz w:val="16"/>
        </w:rPr>
        <w:t>. . .</w:t>
      </w:r>
      <w:r w:rsidRPr="00051CE1">
        <w:rPr>
          <w:rStyle w:val="StyleUnderline"/>
        </w:rPr>
        <w:t xml:space="preserve"> means and mediation, of embodied affective experiences and conceptual visions and revisions</w:t>
      </w:r>
      <w:r w:rsidRPr="00051CE1">
        <w:rPr>
          <w:sz w:val="16"/>
        </w:rPr>
        <w:t>.”27 T</w:t>
      </w:r>
      <w:r w:rsidRPr="00051CE1">
        <w:rPr>
          <w:rFonts w:hint="eastAsia"/>
          <w:sz w:val="16"/>
        </w:rPr>
        <w:t>h</w:t>
      </w:r>
      <w:r w:rsidRPr="00051CE1">
        <w:rPr>
          <w:sz w:val="16"/>
        </w:rPr>
        <w:t>is performative sense of being in t</w:t>
      </w:r>
      <w:r w:rsidRPr="00051CE1">
        <w:rPr>
          <w:rFonts w:hint="eastAsia"/>
          <w:sz w:val="16"/>
        </w:rPr>
        <w:t>h</w:t>
      </w:r>
      <w:r w:rsidRPr="00051CE1">
        <w:rPr>
          <w:sz w:val="16"/>
        </w:rPr>
        <w:t>e midst of things is manifested in a performance of a cross-cultural zeibekiko, understood as already in</w:t>
      </w:r>
      <w:r w:rsidRPr="00051CE1">
        <w:rPr>
          <w:rFonts w:hint="eastAsia"/>
          <w:sz w:val="16"/>
        </w:rPr>
        <w:t>h</w:t>
      </w:r>
      <w:r w:rsidRPr="00051CE1">
        <w:rPr>
          <w:sz w:val="16"/>
        </w:rPr>
        <w:t>erently intercultural and irresolute. By mobilizing and revisioning t</w:t>
      </w:r>
      <w:r w:rsidRPr="00051CE1">
        <w:rPr>
          <w:rFonts w:hint="eastAsia"/>
          <w:sz w:val="16"/>
        </w:rPr>
        <w:t>h</w:t>
      </w:r>
      <w:r w:rsidRPr="00051CE1">
        <w:rPr>
          <w:sz w:val="16"/>
        </w:rPr>
        <w:t>is particular song, t</w:t>
      </w:r>
      <w:r w:rsidRPr="00051CE1">
        <w:rPr>
          <w:rFonts w:hint="eastAsia"/>
          <w:sz w:val="16"/>
        </w:rPr>
        <w:t>h</w:t>
      </w:r>
      <w:r w:rsidRPr="00051CE1">
        <w:rPr>
          <w:sz w:val="16"/>
        </w:rPr>
        <w:t>e four performers reveal t</w:t>
      </w:r>
      <w:r w:rsidRPr="00051CE1">
        <w:rPr>
          <w:rFonts w:hint="eastAsia"/>
          <w:sz w:val="16"/>
        </w:rPr>
        <w:t>h</w:t>
      </w:r>
      <w:r w:rsidRPr="00051CE1">
        <w:rPr>
          <w:sz w:val="16"/>
        </w:rPr>
        <w:t xml:space="preserve">eir deep attunement to </w:t>
      </w:r>
      <w:r w:rsidRPr="00051CE1">
        <w:rPr>
          <w:rFonts w:hint="eastAsia"/>
          <w:sz w:val="16"/>
        </w:rPr>
        <w:t>h</w:t>
      </w:r>
      <w:r w:rsidRPr="00051CE1">
        <w:rPr>
          <w:sz w:val="16"/>
        </w:rPr>
        <w:t>ow categories  break down w</w:t>
      </w:r>
      <w:r w:rsidRPr="00051CE1">
        <w:rPr>
          <w:rFonts w:hint="eastAsia"/>
          <w:sz w:val="16"/>
        </w:rPr>
        <w:t>h</w:t>
      </w:r>
      <w:r w:rsidRPr="00051CE1">
        <w:rPr>
          <w:sz w:val="16"/>
        </w:rPr>
        <w:t>en rebetika comes to de</w:t>
      </w:r>
      <w:r w:rsidRPr="00051CE1">
        <w:rPr>
          <w:rFonts w:hint="eastAsia"/>
          <w:sz w:val="16"/>
        </w:rPr>
        <w:t>fi</w:t>
      </w:r>
      <w:r w:rsidRPr="00051CE1">
        <w:rPr>
          <w:sz w:val="16"/>
        </w:rPr>
        <w:t xml:space="preserve">ne nationness. </w:t>
      </w:r>
      <w:r w:rsidRPr="00051CE1">
        <w:rPr>
          <w:rStyle w:val="StyleUnderline"/>
        </w:rPr>
        <w:t>ELANADISTIKANOUME illustrates the ways that past and present movements encounter one another through t</w:t>
      </w:r>
      <w:r w:rsidRPr="00051CE1">
        <w:rPr>
          <w:rStyle w:val="StyleUnderline"/>
          <w:rFonts w:hint="eastAsia"/>
        </w:rPr>
        <w:t>h</w:t>
      </w:r>
      <w:r w:rsidRPr="00051CE1">
        <w:rPr>
          <w:rStyle w:val="StyleUnderline"/>
        </w:rPr>
        <w:t xml:space="preserve">e recognition and </w:t>
      </w:r>
      <w:r w:rsidRPr="00051CE1">
        <w:rPr>
          <w:rStyle w:val="Emphasis"/>
        </w:rPr>
        <w:t>re-performing of once unwanted sounds and gestures</w:t>
      </w:r>
      <w:r w:rsidRPr="00051CE1">
        <w:rPr>
          <w:sz w:val="16"/>
        </w:rPr>
        <w:t>. T</w:t>
      </w:r>
      <w:r w:rsidRPr="00051CE1">
        <w:rPr>
          <w:rFonts w:hint="eastAsia"/>
          <w:sz w:val="16"/>
        </w:rPr>
        <w:t>h</w:t>
      </w:r>
      <w:r w:rsidRPr="00051CE1">
        <w:rPr>
          <w:sz w:val="16"/>
        </w:rPr>
        <w:t xml:space="preserve">ese intersections </w:t>
      </w:r>
      <w:r w:rsidRPr="00051CE1">
        <w:rPr>
          <w:rFonts w:hint="eastAsia"/>
          <w:sz w:val="16"/>
        </w:rPr>
        <w:t>h</w:t>
      </w:r>
      <w:r w:rsidRPr="00051CE1">
        <w:rPr>
          <w:sz w:val="16"/>
        </w:rPr>
        <w:t>istorically and contemporarily trace difference, migration, and criminalized styles of being toget</w:t>
      </w:r>
      <w:r w:rsidRPr="00051CE1">
        <w:rPr>
          <w:rFonts w:hint="eastAsia"/>
          <w:sz w:val="16"/>
        </w:rPr>
        <w:t>h</w:t>
      </w:r>
      <w:r w:rsidRPr="00051CE1">
        <w:rPr>
          <w:sz w:val="16"/>
        </w:rPr>
        <w:t>er t</w:t>
      </w:r>
      <w:r w:rsidRPr="00051CE1">
        <w:rPr>
          <w:rFonts w:hint="eastAsia"/>
          <w:sz w:val="16"/>
        </w:rPr>
        <w:t>h</w:t>
      </w:r>
      <w:r w:rsidRPr="00051CE1">
        <w:rPr>
          <w:sz w:val="16"/>
        </w:rPr>
        <w:t>roug</w:t>
      </w:r>
      <w:r w:rsidRPr="00051CE1">
        <w:rPr>
          <w:rFonts w:hint="eastAsia"/>
          <w:sz w:val="16"/>
        </w:rPr>
        <w:t>h</w:t>
      </w:r>
      <w:r w:rsidRPr="00051CE1">
        <w:rPr>
          <w:sz w:val="16"/>
        </w:rPr>
        <w:t xml:space="preserve"> autonomous motions and previously unimagined improvisations.</w:t>
      </w:r>
    </w:p>
    <w:p xmlns:wp14="http://schemas.microsoft.com/office/word/2010/wordml" w:rsidR="0082799E" w:rsidP="0082799E" w:rsidRDefault="00C21073" w14:paraId="1F288447" wp14:textId="77777777">
      <w:pPr>
        <w:pStyle w:val="Heading3"/>
      </w:pPr>
      <w:r>
        <w:lastRenderedPageBreak/>
        <w:t>Cap K--</w:t>
      </w:r>
      <w:r w:rsidR="0082799E">
        <w:t>No Link: Generic</w:t>
      </w:r>
    </w:p>
    <w:p xmlns:wp14="http://schemas.microsoft.com/office/word/2010/wordml" w:rsidR="0082799E" w:rsidP="0082799E" w:rsidRDefault="0082799E" w14:paraId="71C5210F" wp14:textId="77777777">
      <w:pPr>
        <w:pStyle w:val="Heading4"/>
      </w:pPr>
      <w:r>
        <w:t>Street art is estranged from the commercial sphere and contests the planning of public space for the purposes of work and leisure</w:t>
      </w:r>
    </w:p>
    <w:p xmlns:wp14="http://schemas.microsoft.com/office/word/2010/wordml" w:rsidRPr="00583E74" w:rsidR="0082799E" w:rsidP="0082799E" w:rsidRDefault="0082799E" w14:paraId="54B663FF" wp14:textId="77777777">
      <w:r w:rsidRPr="00583E74">
        <w:rPr>
          <w:rStyle w:val="Style13ptBold"/>
        </w:rPr>
        <w:t>Conklin 12</w:t>
      </w:r>
      <w:r w:rsidRPr="00583E74">
        <w:t xml:space="preserve"> (Tiffany Renée, Street Art, Ideology, and Public Space. Works for Portland State University, Masters in Urban Studies and Planning. Pages 68-73 //starboy)</w:t>
      </w:r>
    </w:p>
    <w:p xmlns:wp14="http://schemas.microsoft.com/office/word/2010/wordml" w:rsidRPr="00874034" w:rsidR="0082799E" w:rsidP="0082799E" w:rsidRDefault="0082799E" w14:paraId="749292BF" wp14:textId="77777777">
      <w:pPr>
        <w:spacing w:after="0" w:line="240" w:lineRule="auto"/>
        <w:rPr>
          <w:rFonts w:eastAsia="Times New Roman"/>
          <w:sz w:val="16"/>
        </w:rPr>
      </w:pPr>
      <w:r w:rsidRPr="00874034">
        <w:rPr>
          <w:rFonts w:eastAsia="Times New Roman"/>
          <w:sz w:val="16"/>
        </w:rPr>
        <w:t xml:space="preserve">Furthermore, Rafael Schacter provides a compelling argument that </w:t>
      </w:r>
      <w:r w:rsidRPr="00874034">
        <w:rPr>
          <w:rStyle w:val="StyleUnderline"/>
        </w:rPr>
        <w:t>there is a powerful performance aspect to the production and consumption of street art</w:t>
      </w:r>
      <w:r w:rsidRPr="00874034">
        <w:rPr>
          <w:rFonts w:eastAsia="Times New Roman"/>
          <w:sz w:val="16"/>
        </w:rPr>
        <w:t xml:space="preserve">. </w:t>
      </w:r>
      <w:r w:rsidRPr="00874034">
        <w:rPr>
          <w:rStyle w:val="StyleUnderline"/>
        </w:rPr>
        <w:t>The heightened emotion the artist feels while producing the illicit work is communicated to spectators through the feeling of the piece</w:t>
      </w:r>
      <w:r w:rsidRPr="00874034">
        <w:rPr>
          <w:rFonts w:eastAsia="Times New Roman"/>
          <w:sz w:val="16"/>
        </w:rPr>
        <w:t xml:space="preserve"> (Schacter, 2008). </w:t>
      </w:r>
      <w:r w:rsidRPr="00874034">
        <w:rPr>
          <w:rStyle w:val="StyleUnderline"/>
        </w:rPr>
        <w:t>The urban audience is participating in the performance, as they gaze</w:t>
      </w:r>
      <w:r w:rsidRPr="00874034">
        <w:rPr>
          <w:rFonts w:eastAsia="Times New Roman"/>
          <w:sz w:val="16"/>
        </w:rPr>
        <w:t xml:space="preserve">, denounce, laugh, </w:t>
      </w:r>
      <w:r w:rsidRPr="00874034">
        <w:rPr>
          <w:rStyle w:val="StyleUnderline"/>
        </w:rPr>
        <w:t>or add their own touches to the artwork</w:t>
      </w:r>
      <w:r w:rsidRPr="00874034">
        <w:rPr>
          <w:rFonts w:eastAsia="Times New Roman"/>
          <w:sz w:val="16"/>
        </w:rPr>
        <w:t xml:space="preserve">. The visualizations created are </w:t>
      </w:r>
      <w:r w:rsidRPr="00874034">
        <w:rPr>
          <w:rStyle w:val="StyleUnderline"/>
        </w:rPr>
        <w:t>not just communicating a message</w:t>
      </w:r>
      <w:r w:rsidRPr="00874034">
        <w:rPr>
          <w:rFonts w:eastAsia="Times New Roman"/>
          <w:sz w:val="16"/>
        </w:rPr>
        <w:t xml:space="preserve">, </w:t>
      </w:r>
      <w:r w:rsidRPr="00874034">
        <w:rPr>
          <w:rStyle w:val="StyleUnderline"/>
        </w:rPr>
        <w:t>but</w:t>
      </w:r>
      <w:r w:rsidRPr="00874034">
        <w:rPr>
          <w:rFonts w:eastAsia="Times New Roman"/>
          <w:sz w:val="16"/>
        </w:rPr>
        <w:t xml:space="preserve"> they are an affective process that is actively doing something in the world as ―</w:t>
      </w:r>
      <w:r w:rsidRPr="00874034">
        <w:rPr>
          <w:rStyle w:val="StyleUnderline"/>
        </w:rPr>
        <w:t>mediators‖ of activities and communications amongst urbanities</w:t>
      </w:r>
      <w:r w:rsidRPr="00874034">
        <w:rPr>
          <w:rFonts w:eastAsia="Times New Roman"/>
          <w:sz w:val="16"/>
        </w:rPr>
        <w:t xml:space="preserve"> (Halsey &amp; Young, 2006; Schacter, 2008). </w:t>
      </w:r>
      <w:r w:rsidRPr="00874034">
        <w:rPr>
          <w:rStyle w:val="StyleUnderline"/>
        </w:rPr>
        <w:t>Street artists transmit a message and then other people in the city can respond</w:t>
      </w:r>
      <w:r w:rsidRPr="00874034">
        <w:rPr>
          <w:rFonts w:eastAsia="Times New Roman"/>
          <w:sz w:val="16"/>
        </w:rPr>
        <w:t xml:space="preserve">. Street art indisputably causes reactions; most people have some sort of opinion concerning its right to exist, its message, artistic merit, legality, etc. Schacter says that street art has ―agency,‖ the ability to capture, hold and transform cognitive operations of its spectators and participants (2008). </w:t>
      </w:r>
      <w:r w:rsidRPr="00874034">
        <w:rPr>
          <w:rStyle w:val="StyleUnderline"/>
        </w:rPr>
        <w:t>Street art thus creates ―shared narratives‖ between people, ideas, and the city</w:t>
      </w:r>
      <w:r w:rsidRPr="00874034">
        <w:rPr>
          <w:rFonts w:eastAsia="Times New Roman"/>
          <w:sz w:val="16"/>
        </w:rPr>
        <w:t xml:space="preserve">. Street artists are actively </w:t>
      </w:r>
      <w:r w:rsidRPr="00874034">
        <w:rPr>
          <w:rStyle w:val="StyleUnderline"/>
        </w:rPr>
        <w:t>engaging in place-making activities</w:t>
      </w:r>
      <w:r w:rsidRPr="00874034">
        <w:rPr>
          <w:rFonts w:eastAsia="Times New Roman"/>
          <w:sz w:val="16"/>
        </w:rPr>
        <w:t xml:space="preserve">. Keith Basso (1996) believes that place-making is a universal tool of the ―historical imagination;‖ </w:t>
      </w:r>
      <w:r w:rsidRPr="00874034">
        <w:rPr>
          <w:rStyle w:val="StyleUnderline"/>
        </w:rPr>
        <w:t>a way of constructing history, inventing it, augmenting and enhancing conceptions of the past</w:t>
      </w:r>
      <w:r w:rsidRPr="00874034">
        <w:rPr>
          <w:rFonts w:eastAsia="Times New Roman"/>
          <w:sz w:val="16"/>
        </w:rPr>
        <w:t xml:space="preserve">. As the artists use urban spaces to fulfill their own desires, they are also constructing a history of their own making. </w:t>
      </w:r>
      <w:r w:rsidRPr="00874034">
        <w:rPr>
          <w:rStyle w:val="StyleUnderline"/>
        </w:rPr>
        <w:t>Value and meaning are not inherent in space or place; instead they are continuously created, reproduced, recreated, and defended</w:t>
      </w:r>
      <w:r w:rsidRPr="00874034">
        <w:rPr>
          <w:rFonts w:eastAsia="Times New Roman"/>
          <w:sz w:val="16"/>
        </w:rPr>
        <w:t xml:space="preserve"> (Cresswell, 1996). Street artists are augmenting and enhancing conceptions of the past, present, and future for both themselves and others who see the piece. </w:t>
      </w:r>
      <w:r w:rsidRPr="00874034">
        <w:rPr>
          <w:rStyle w:val="StyleUnderline"/>
        </w:rPr>
        <w:t>In this way, street art can be seen as a powerful unmediated alternative mode of communication. Street art can also be viewed as a ―cultural practice;‖ as a form of material culture.</w:t>
      </w:r>
      <w:r w:rsidRPr="00874034">
        <w:rPr>
          <w:rFonts w:eastAsia="Times New Roman"/>
          <w:sz w:val="16"/>
        </w:rPr>
        <w:t xml:space="preserve"> For this reason, Hector Orengo, David Robinson (2008) and Melisa Riviere (2005) have approached the study of street art from an archeological perspective. Unsanctioned urban artworks are ―artifacts‖ that sit in direct competition with the sanctioned art displayed in the production of commercial advertisements, signs, and billboards (Carrington, 2009). </w:t>
      </w:r>
      <w:r w:rsidRPr="00874034">
        <w:rPr>
          <w:rStyle w:val="StyleUnderline"/>
        </w:rPr>
        <w:t xml:space="preserve">Advertisements are accepted as normal and acceptable uses of public space because capital interests regulate them. Street art, on the other hand, is estranged from the commercial sphere and confronts this rationalized conception of space </w:t>
      </w:r>
      <w:r w:rsidRPr="00874034">
        <w:rPr>
          <w:rFonts w:eastAsia="Times New Roman"/>
          <w:sz w:val="16"/>
        </w:rPr>
        <w:t xml:space="preserve">(Schacter, 2008). Orengo and Robinson (2008) believe that the constructed environments changed and produced by street artists, draw upon the past and provide the material preconditions that influence present-day urban behaviors. This ―temporal elasticity‖ enables materials from the past (like street art) to play active roles in the present (Orengo &amp; Robinson, 2008). </w:t>
      </w:r>
      <w:r w:rsidRPr="00874034">
        <w:rPr>
          <w:rStyle w:val="StyleUnderline"/>
        </w:rPr>
        <w:t>Street art can therefore be viewed as material evidence of the present contestation of past ideologies</w:t>
      </w:r>
      <w:r w:rsidRPr="00874034">
        <w:rPr>
          <w:rFonts w:eastAsia="Times New Roman"/>
          <w:sz w:val="16"/>
        </w:rPr>
        <w:t xml:space="preserve">. One of the main characteristics of street art is its playful quality. Quentin Stevens (2007) has said that play is an important but largely neglected aspect of human experience in the city. Yi-Fu Tuan (1974) sees playing, especially outside, as an important step in childhood development because a child‘s ability to navigate through a complicated world begins with learning how to use their senses early in life. Moving about and exploring, children touch and manipulate things, and in turn, they learn about the reality of objects and the structuring of space. By using forms of pleasure (such as art, festivals, carnival, or skateboarding), adults can actively produce their own experiences and interact with their surroundings (Borden, 1996). Quentin Stevens (2007) points out that </w:t>
      </w:r>
      <w:r w:rsidRPr="00874034">
        <w:rPr>
          <w:rStyle w:val="StyleUnderline"/>
        </w:rPr>
        <w:t xml:space="preserve">playing in the urban realm involves controversial expenditures of time and energy and is often looked down upon as an inefficient usage of time. Cities are planned to optimize work and other rational objectives, with leisure space serving well-defined functions </w:t>
      </w:r>
      <w:r w:rsidRPr="00874034">
        <w:rPr>
          <w:rFonts w:eastAsia="Times New Roman"/>
          <w:sz w:val="16"/>
        </w:rPr>
        <w:t xml:space="preserve">(Stevens, 2007). </w:t>
      </w:r>
      <w:r w:rsidRPr="00874034">
        <w:rPr>
          <w:rStyle w:val="StyleUnderline"/>
        </w:rPr>
        <w:t>Therefore, spontaneous actions challenge the rigorous timetable of bureaucratic and capitalist production</w:t>
      </w:r>
      <w:r w:rsidRPr="00874034">
        <w:rPr>
          <w:rFonts w:eastAsia="Times New Roman"/>
          <w:sz w:val="16"/>
        </w:rPr>
        <w:t xml:space="preserve"> (Bonnett, 1992). </w:t>
      </w:r>
      <w:r w:rsidRPr="00874034">
        <w:rPr>
          <w:rStyle w:val="StyleUnderline"/>
        </w:rPr>
        <w:t>Playing in public spaces, especially those not designed for it, reveals new realms of possibilities and embrace space‘s embedded use-value</w:t>
      </w:r>
      <w:r w:rsidRPr="00874034">
        <w:rPr>
          <w:rFonts w:eastAsia="Times New Roman"/>
          <w:sz w:val="16"/>
        </w:rPr>
        <w:t xml:space="preserve">. Stevens also considers play to be </w:t>
      </w:r>
      <w:r w:rsidRPr="00874034">
        <w:rPr>
          <w:rStyle w:val="StyleUnderline"/>
        </w:rPr>
        <w:t>a ―lived critique‖ of rational action, because it discovers new needs and develops new forms of social life illustrating the capacities for social action and expression that the urbanization of society has made possible</w:t>
      </w:r>
      <w:r w:rsidRPr="00874034">
        <w:rPr>
          <w:rFonts w:eastAsia="Times New Roman"/>
          <w:sz w:val="16"/>
        </w:rPr>
        <w:t xml:space="preserve">. Similarly, street art can also be thought of as a form of carnivalesque behavior. Mikhail Bakhtin (1968) coined the term carnivalesque. These are activities that use playful politics aimed sharply and polemically against the official languages of their time. </w:t>
      </w:r>
      <w:r w:rsidRPr="00874034">
        <w:rPr>
          <w:rFonts w:eastAsia="Times New Roman"/>
          <w:sz w:val="16"/>
        </w:rPr>
        <w:lastRenderedPageBreak/>
        <w:t xml:space="preserve">Carnivalesque activities are a tactical blending of art, play, and life. Similarly, </w:t>
      </w:r>
      <w:r w:rsidRPr="00874034">
        <w:rPr>
          <w:rStyle w:val="StyleUnderline"/>
        </w:rPr>
        <w:t>street art often blends art and play to produce counter-spectacles designed to interrupt everyday experiences and provoke reorientation</w:t>
      </w:r>
      <w:r w:rsidRPr="00874034">
        <w:rPr>
          <w:rFonts w:eastAsia="Times New Roman"/>
          <w:sz w:val="16"/>
        </w:rPr>
        <w:t xml:space="preserve"> (St John, 2008). A </w:t>
      </w:r>
      <w:r w:rsidRPr="00874034">
        <w:rPr>
          <w:rStyle w:val="StyleUnderline"/>
        </w:rPr>
        <w:t>carnival celebrates the temporary liberation from established order, mocks authority, and suspends hierarchies, privilege, norms, and everyday prohibitions</w:t>
      </w:r>
      <w:r w:rsidRPr="00874034">
        <w:rPr>
          <w:rFonts w:eastAsia="Times New Roman"/>
          <w:sz w:val="16"/>
        </w:rPr>
        <w:t xml:space="preserve"> (St John, 2008). </w:t>
      </w:r>
      <w:r w:rsidRPr="00874034">
        <w:rPr>
          <w:rStyle w:val="StyleUnderline"/>
        </w:rPr>
        <w:t>It is a separate autonomous world that is generated in response to the conditions of the official world</w:t>
      </w:r>
      <w:r w:rsidRPr="00874034">
        <w:rPr>
          <w:rFonts w:eastAsia="Times New Roman"/>
          <w:sz w:val="16"/>
        </w:rPr>
        <w:t xml:space="preserve"> (Vaneigem, 1972). Similarly, many street art installations are semi-spontaneous engagements that ―play with a place‖ and its elements. These interventions introduce an element of whimsical and quirky distractions from hectic everyday life. They suggest an engagement with the place that, whilst often humorous, is also one of endearment and sharing (Brook, 2007). A recent survey of the planning and development landscape revealed tactical urbanism as one of the most notable planning trends of 2011 (Planetizen, 2012).45 This emerging field of urban interventions (also called temporary, guerrilla, pop-up, ad-hoc, DIY, or open-source) covers a range of projects many of which would also be classified as forms of street art. Arising out of funding challenges brought on by the recent recession, frustrations with the drawn-out approvals process, the organizational opportunities provided by the internet and social media, emerging technologies, and courageous designers, tactical urbanist projects are often defined by their low-cost temporary nature and lack of prior permission (Planetizen, 2012). </w:t>
      </w:r>
      <w:r w:rsidRPr="00874034">
        <w:rPr>
          <w:rStyle w:val="StyleUnderline"/>
        </w:rPr>
        <w:t>These innovative projects aim to activate people and the urban landscape. Sitespecific installations become platforms for social experiences and creative exchange in the city. Pushing the boundaries of art and perception, these events allow for an open exploration of reality in the spaces they create between artist and spectator. These artistic interventions deliberately rediscover performative strategies that reflect the theatrical possibilities of urban space</w:t>
      </w:r>
      <w:r w:rsidRPr="00874034">
        <w:rPr>
          <w:rFonts w:eastAsia="Times New Roman"/>
          <w:sz w:val="16"/>
        </w:rPr>
        <w:t xml:space="preserve"> (Feireiss, 2010). It is not just the performance itself that stands out, but is instead the audience‘s response to it that becomes the main event. </w:t>
      </w:r>
    </w:p>
    <w:p xmlns:wp14="http://schemas.microsoft.com/office/word/2010/wordml" w:rsidR="0082799E" w:rsidP="0082799E" w:rsidRDefault="0082799E" w14:paraId="6B699379" wp14:textId="77777777">
      <w:pPr>
        <w:rPr>
          <w:sz w:val="16"/>
        </w:rPr>
      </w:pPr>
    </w:p>
    <w:p xmlns:wp14="http://schemas.microsoft.com/office/word/2010/wordml" w:rsidR="0082799E" w:rsidP="0082799E" w:rsidRDefault="00C6547F" w14:paraId="2D4B51A9" wp14:textId="77777777">
      <w:pPr>
        <w:pStyle w:val="Heading3"/>
      </w:pPr>
      <w:r>
        <w:lastRenderedPageBreak/>
        <w:t>Cap K--</w:t>
      </w:r>
      <w:r w:rsidR="0082799E">
        <w:t>No Link: No Cooptation</w:t>
      </w:r>
    </w:p>
    <w:p xmlns:wp14="http://schemas.microsoft.com/office/word/2010/wordml" w:rsidR="0082799E" w:rsidP="0082799E" w:rsidRDefault="0082799E" w14:paraId="57768A7F" wp14:textId="77777777">
      <w:pPr>
        <w:pStyle w:val="Heading4"/>
      </w:pPr>
      <w:r>
        <w:t>Illicit activist art like border art or street graffiti resist cooptation and continue to critique society</w:t>
      </w:r>
    </w:p>
    <w:p xmlns:wp14="http://schemas.microsoft.com/office/word/2010/wordml" w:rsidRPr="00A178C2" w:rsidR="0082799E" w:rsidP="0082799E" w:rsidRDefault="0082799E" w14:paraId="7190F6C3" wp14:textId="77777777">
      <w:r w:rsidRPr="00A178C2">
        <w:rPr>
          <w:rStyle w:val="Style13ptBold"/>
        </w:rPr>
        <w:t>Conklin 12</w:t>
      </w:r>
      <w:r w:rsidRPr="00A178C2">
        <w:t xml:space="preserve"> (Tiffany Renée, Street Art, Ideology, and Public Space. Works for Portland State University, Masters in Urban Studies and Planning. Pages 46-48 //starboy)</w:t>
      </w:r>
    </w:p>
    <w:p xmlns:wp14="http://schemas.microsoft.com/office/word/2010/wordml" w:rsidR="0082799E" w:rsidP="0082799E" w:rsidRDefault="0082799E" w14:paraId="3FE9F23F" wp14:textId="77777777">
      <w:pPr>
        <w:spacing w:after="0" w:line="240" w:lineRule="auto"/>
        <w:rPr>
          <w:rFonts w:ascii="Times New Roman" w:hAnsi="Times New Roman" w:eastAsia="Times New Roman" w:cs="Times New Roman"/>
          <w:sz w:val="24"/>
        </w:rPr>
      </w:pPr>
    </w:p>
    <w:p xmlns:wp14="http://schemas.microsoft.com/office/word/2010/wordml" w:rsidRPr="00A5763C" w:rsidR="0082799E" w:rsidP="0082799E" w:rsidRDefault="0082799E" w14:paraId="72325140" wp14:textId="77777777">
      <w:pPr>
        <w:spacing w:after="0" w:line="240" w:lineRule="auto"/>
        <w:rPr>
          <w:rFonts w:eastAsia="Times New Roman"/>
          <w:sz w:val="16"/>
        </w:rPr>
      </w:pPr>
      <w:r w:rsidRPr="00A5763C">
        <w:rPr>
          <w:rFonts w:eastAsia="Times New Roman"/>
          <w:sz w:val="16"/>
        </w:rPr>
        <w:t xml:space="preserve">Before defining street art, it is necessary to briefly review the context in which it arose. </w:t>
      </w:r>
      <w:r w:rsidRPr="0051694E">
        <w:rPr>
          <w:rStyle w:val="StyleUnderline"/>
        </w:rPr>
        <w:t>Beginning in the 1960s, and accelerating in the 1990s due to globalization, culture has been progressively commercialized, through a phenomenon called ―culture industry</w:t>
      </w:r>
      <w:r w:rsidRPr="00A5763C">
        <w:rPr>
          <w:rFonts w:eastAsia="Times New Roman"/>
          <w:sz w:val="16"/>
        </w:rPr>
        <w:t xml:space="preserve">‖ (Adorno &amp; Horkheimer, 1972). </w:t>
      </w:r>
      <w:r w:rsidRPr="0051694E">
        <w:rPr>
          <w:rStyle w:val="StyleUnderline"/>
        </w:rPr>
        <w:t>A key element to this culture industry growth was the co-opting of all forms of counter-culture</w:t>
      </w:r>
      <w:r w:rsidRPr="00A5763C">
        <w:rPr>
          <w:rFonts w:eastAsia="Times New Roman"/>
          <w:sz w:val="16"/>
        </w:rPr>
        <w:t xml:space="preserve"> (Thompson, 2004). 30 </w:t>
      </w:r>
      <w:r w:rsidRPr="0051694E">
        <w:rPr>
          <w:rStyle w:val="StyleUnderline"/>
        </w:rPr>
        <w:t>While creativity and imaginativeness were being absorbed and re-packaged for mass dissemination, physical urban space underwent a parallel co-opting as gentrification re-made downtowns (displacing residents, including many artists) and public spaces were privatized</w:t>
      </w:r>
      <w:r w:rsidRPr="00A5763C">
        <w:rPr>
          <w:rFonts w:eastAsia="Times New Roman"/>
          <w:sz w:val="16"/>
        </w:rPr>
        <w:t xml:space="preserve"> (Thompson, 2004). </w:t>
      </w:r>
      <w:r w:rsidRPr="0051694E">
        <w:rPr>
          <w:rStyle w:val="StyleUnderline"/>
        </w:rPr>
        <w:t>In reaction</w:t>
      </w:r>
      <w:r w:rsidRPr="00A5763C">
        <w:rPr>
          <w:rFonts w:eastAsia="Times New Roman"/>
          <w:sz w:val="16"/>
        </w:rPr>
        <w:t xml:space="preserve"> to this changing political climate, activists and artists around the world reconceived their practices. </w:t>
      </w:r>
      <w:r w:rsidRPr="0051694E">
        <w:rPr>
          <w:rStyle w:val="StyleUnderline"/>
        </w:rPr>
        <w:t>Many took their art directly to the people and into the streets</w:t>
      </w:r>
      <w:r w:rsidRPr="00A5763C">
        <w:rPr>
          <w:rFonts w:eastAsia="Times New Roman"/>
          <w:sz w:val="16"/>
        </w:rPr>
        <w:t xml:space="preserve">. This sequence of events triggered the rise of modern street art, evolving parallel to its counterpart, graffiti. </w:t>
      </w:r>
      <w:r w:rsidRPr="0051694E">
        <w:rPr>
          <w:rStyle w:val="StyleUnderline"/>
        </w:rPr>
        <w:t>These politically engaged artists</w:t>
      </w:r>
      <w:r w:rsidRPr="00A5763C">
        <w:rPr>
          <w:rFonts w:eastAsia="Times New Roman"/>
          <w:sz w:val="16"/>
        </w:rPr>
        <w:t xml:space="preserve"> began using the term ‗intervention‘ to describe their interdisciplinary approaches, which almost always took place in public spaces (MASS MoCa, 2011). </w:t>
      </w:r>
      <w:r w:rsidRPr="0051694E">
        <w:rPr>
          <w:rStyle w:val="StyleUnderline"/>
        </w:rPr>
        <w:t>Interventionist art describes the work of artists who trespass into the everyday world to critique, lampoon, disrupt, and agitate to create social awareness and</w:t>
      </w:r>
      <w:r w:rsidRPr="00A5763C">
        <w:rPr>
          <w:rFonts w:eastAsia="Times New Roman"/>
          <w:sz w:val="16"/>
        </w:rPr>
        <w:t xml:space="preserve"> sometimes advocate </w:t>
      </w:r>
      <w:r w:rsidRPr="0051694E">
        <w:rPr>
          <w:rStyle w:val="StyleUnderline"/>
        </w:rPr>
        <w:t>for social change</w:t>
      </w:r>
      <w:r w:rsidRPr="00A5763C">
        <w:rPr>
          <w:rFonts w:eastAsia="Times New Roman"/>
          <w:sz w:val="16"/>
        </w:rPr>
        <w:t xml:space="preserve"> (Pasternak, 2010). In contrast to the harsher political art of the 1980s, </w:t>
      </w:r>
      <w:r w:rsidRPr="0051694E">
        <w:rPr>
          <w:rStyle w:val="StyleUnderline"/>
        </w:rPr>
        <w:t>interventionist practitioners seek new paths for artistic practice, coupling serious politics with a light-handed approach, embracing the anarchist Emma Goldman's dictum that ―revolutions and dancing belong together</w:t>
      </w:r>
      <w:r w:rsidRPr="00A5763C">
        <w:rPr>
          <w:rFonts w:eastAsia="Times New Roman"/>
          <w:sz w:val="16"/>
        </w:rPr>
        <w:t xml:space="preserve">‖ (MASS MoCa, 2011). Some </w:t>
      </w:r>
      <w:r w:rsidRPr="0051694E">
        <w:rPr>
          <w:rStyle w:val="StyleUnderline"/>
        </w:rPr>
        <w:t>street art embodies similarities to activist art</w:t>
      </w:r>
      <w:r w:rsidRPr="00A5763C">
        <w:rPr>
          <w:rFonts w:eastAsia="Times New Roman"/>
          <w:sz w:val="16"/>
        </w:rPr>
        <w:t xml:space="preserve">, culture jamming, 31 </w:t>
      </w:r>
      <w:r w:rsidRPr="0051694E">
        <w:rPr>
          <w:rStyle w:val="StyleUnderline"/>
        </w:rPr>
        <w:t xml:space="preserve">and political stenciling, which critique society and the city‘s relentless barrage of logos and images </w:t>
      </w:r>
      <w:r w:rsidRPr="00A5763C">
        <w:rPr>
          <w:rFonts w:eastAsia="Times New Roman"/>
          <w:sz w:val="16"/>
        </w:rPr>
        <w:t xml:space="preserve">(Dickens, 2008). Some </w:t>
      </w:r>
      <w:r w:rsidRPr="0051694E">
        <w:rPr>
          <w:rStyle w:val="StyleUnderline"/>
        </w:rPr>
        <w:t>graffiti installations</w:t>
      </w:r>
      <w:r w:rsidRPr="00A5763C">
        <w:rPr>
          <w:rFonts w:eastAsia="Times New Roman"/>
          <w:sz w:val="16"/>
        </w:rPr>
        <w:t xml:space="preserve"> are similar to the actions done by the Situationist International (SI) in the 1960s and agitprop art (Dickens, 2008) (Appendix A). SI also </w:t>
      </w:r>
      <w:r w:rsidRPr="0051694E">
        <w:rPr>
          <w:rStyle w:val="StyleUnderline"/>
        </w:rPr>
        <w:t>critiqued the passivity of capitalist society by implementing tactics that created absurd and playful ‗situations‘ where people would directly interact with one another in relationships that were not mediated by commodities or money</w:t>
      </w:r>
      <w:r w:rsidRPr="00A5763C">
        <w:rPr>
          <w:rFonts w:eastAsia="Times New Roman"/>
          <w:sz w:val="16"/>
        </w:rPr>
        <w:t>. Similarly, agitprop (agitation-propaganda) artists re-mix found objects (e.g., electronic symbols, printed slogans, visual icons, etc.) to create optical illusions or ―tricks of vision‖ to surprise and provoke audiences (Dickens, 2008; Rose, 1999). Another important break from graffiti culture occurred in 1972 when Craig Stecyk helped to link graffiti, punk rock, and skateboard culture in Venice Beach, California, otherwise infamously known as ―Dogtown.‖ Stecyk is famous for his ―rat bones‖ tag and his photographs of pioneering skateboarder Stacy Peralta. Peralta and the Dogtown ―Z-boys‖ adapted surfing techniques to dry land and laid the foundations of skateboarding technique and culture. 33 Like graffiti and punk, skateboarding is a creative urban performance and expression that ignores and mocks the rules of mainstream society (Deitch, 2010). This skater-graffiti dialogue that began in the 1970s and development through the 1990s, laid the foundation for the new global street art culture that we have today (Deitch, 2010).</w:t>
      </w:r>
    </w:p>
    <w:p xmlns:wp14="http://schemas.microsoft.com/office/word/2010/wordml" w:rsidR="0082799E" w:rsidP="0082799E" w:rsidRDefault="0082799E" w14:paraId="1F72F646" wp14:textId="77777777">
      <w:pPr>
        <w:rPr>
          <w:sz w:val="16"/>
        </w:rPr>
      </w:pPr>
    </w:p>
    <w:p xmlns:wp14="http://schemas.microsoft.com/office/word/2010/wordml" w:rsidR="0082799E" w:rsidP="00275B2B" w:rsidRDefault="0082799E" w14:paraId="638748F0" wp14:textId="77777777">
      <w:pPr>
        <w:pStyle w:val="Heading3"/>
      </w:pPr>
      <w:r>
        <w:lastRenderedPageBreak/>
        <w:t>Antiblackness K</w:t>
      </w:r>
    </w:p>
    <w:p xmlns:wp14="http://schemas.microsoft.com/office/word/2010/wordml" w:rsidR="0082799E" w:rsidP="0082799E" w:rsidRDefault="00275B2B" w14:paraId="261841EA" wp14:textId="77777777">
      <w:pPr>
        <w:pStyle w:val="Heading3"/>
      </w:pPr>
      <w:r>
        <w:lastRenderedPageBreak/>
        <w:t>Antiblackness</w:t>
      </w:r>
      <w:r w:rsidR="00FC69E3">
        <w:t xml:space="preserve"> K</w:t>
      </w:r>
      <w:r>
        <w:t>--</w:t>
      </w:r>
      <w:r w:rsidR="0082799E">
        <w:t>Permutation</w:t>
      </w:r>
    </w:p>
    <w:p xmlns:wp14="http://schemas.microsoft.com/office/word/2010/wordml" w:rsidR="0082799E" w:rsidP="0082799E" w:rsidRDefault="0082799E" w14:paraId="64C0D7E2" wp14:textId="77777777">
      <w:pPr>
        <w:pStyle w:val="Heading4"/>
      </w:pPr>
      <w:r>
        <w:t>Perm do both – infra-politics are a key lens of analysis for interrogating clandesting operations of black fugitivity</w:t>
      </w:r>
    </w:p>
    <w:p xmlns:wp14="http://schemas.microsoft.com/office/word/2010/wordml" w:rsidR="0082799E" w:rsidP="0082799E" w:rsidRDefault="0082799E" w14:paraId="5D23BD90" wp14:textId="77777777">
      <w:pPr>
        <w:spacing w:line="240" w:lineRule="auto"/>
      </w:pPr>
      <w:r w:rsidRPr="006C7111">
        <w:rPr>
          <w:rStyle w:val="Style13ptBold"/>
          <w:highlight w:val="white"/>
        </w:rPr>
        <w:t>Marche 12</w:t>
      </w:r>
      <w:r>
        <w:rPr>
          <w:color w:val="323232"/>
          <w:highlight w:val="white"/>
        </w:rPr>
        <w:t xml:space="preserve"> [Guillaume. -- associate professor of American Studies at Universite Paris-Est Creteil who specializes in contemporary social movements. «Why Infrapolitics Matters», </w:t>
      </w:r>
      <w:r>
        <w:rPr>
          <w:i/>
          <w:color w:val="323232"/>
          <w:highlight w:val="white"/>
        </w:rPr>
        <w:t>Revue française d’études américaines</w:t>
      </w:r>
      <w:r>
        <w:rPr>
          <w:color w:val="323232"/>
          <w:highlight w:val="white"/>
        </w:rPr>
        <w:t>, vol. 131, no. 1, 2012, pp. 3-18.]</w:t>
      </w:r>
    </w:p>
    <w:p xmlns:wp14="http://schemas.microsoft.com/office/word/2010/wordml" w:rsidR="0082799E" w:rsidP="0082799E" w:rsidRDefault="0082799E" w14:paraId="111D13C8" wp14:textId="77777777">
      <w:pPr>
        <w:spacing w:line="240" w:lineRule="auto"/>
        <w:rPr>
          <w:color w:val="1F1F1F"/>
        </w:rPr>
      </w:pPr>
      <w:r>
        <w:rPr>
          <w:color w:val="1F1F1F"/>
        </w:rPr>
        <w:t xml:space="preserve">In his 1994 book </w:t>
      </w:r>
      <w:r>
        <w:rPr>
          <w:i/>
          <w:color w:val="1F1F1F"/>
        </w:rPr>
        <w:t>Race Rebels: Culture Politics and the Black Working Class</w:t>
      </w:r>
      <w:r>
        <w:rPr>
          <w:color w:val="1F1F1F"/>
        </w:rPr>
        <w:t xml:space="preserve">, historian Robin D. G. Kelley draws on Scott’s notion of hidden transcripts to study various forms of African American rebellion in the twentieth-century United States. The resistance of blacks workers in the early twentieth century, working-class challenges to middle-class values on the contested terrain of popular culture in African American communities, insubordination on buses in the pre-Civil Rights South, and working-class challenges to the Civil Rights movement’s leadership in the 1960s are but a few examples of how Kelley “dig[s] beneath the surface of trade union pronouncements, political institutions, and organized social movements, deep into the daily lives, cultures, and communities which make the working classes so much more than people who work.” He endeavors to “make meaning” of actions which apparently lack political significance, “rather than dismiss them as manifestations of immaturity, false consciousness, or primitive rebellion” (3-4). When labor unions excluded blacks, for example, pilfering, sabotage, disobedience, or mobility (leaving one’s job) were effective ways for black workers to defend their dignity in the face of both economic oppression and competition with white workers (chap. 1). Kelley’s view of infrapolitics also sheds light on African American intraracial relations, such as when black workers engaged in folk spiritual practices, music, or dance, instead of following the prescriptions of the black middle class, who cultivated more acceptable forms of participation in public life in the context of churches or political and voluntary associations (chap. 2). The pursuit of spiritual elation or physical pleasure, Kelley argues, not only asserted the existence and dignity of a distinctly working-class black culture, but also perpetuated black working-class creativity through the transmission of folk knowledge and practices. Like Scott, Kelley insists that such infrapolitics need not be organized, or even intentional to be significant, as in the case of disobedience or vandalism on racially segregated public transportation. Isolated incidents involving black passengers making fun of a white person, behaving noisily, or pretending not to understand the driver’s instructions accrued political significance by aggregation. The accumulation of such incidents created complicity among African Americans in the Jim Crow South, thus reinforcing their sense of community, dignity, and empowerment. Thus, for both Scott and Kelley, infrapolitics rests on the creation, propagation, and careful divulgation of hidden transcripts. Discreetness stands as a strategic advantage, whether the actors realize it or not. Specifically, Scott shows that when the hidden transcript—which is, almost by definition, elaborated in “social spaces insulated from control and surveillance from above” that subaltern people create for themselves (1990 118)—insinuates itself into the public transcript, it does so “in disguised forms” (1990 136). In Scott’s 1990 version, as in Kelley’s, the evasive capacity of infrapolitics is critical to its efficacy: the less clearly its message and meaning can be pinned down, the more effectively it can undermine domination. Can we thus also label infrapolitical those interventions in the public sphere which are rather explicit, recognizable, or straightforward? This is a question which this edited issue on “Infrapolitics and Mobilizations” seeks to explore. Indeed, all of the following essays deal with practices that cannot be deemed unobtrusive, since they amount to actual </w:t>
      </w:r>
      <w:r>
        <w:rPr>
          <w:i/>
          <w:color w:val="1F1F1F"/>
        </w:rPr>
        <w:t>intrusions</w:t>
      </w:r>
      <w:r>
        <w:rPr>
          <w:color w:val="1F1F1F"/>
        </w:rPr>
        <w:t xml:space="preserve"> into public space. Regardless of whether they are quite vocal or relatively quiet, the actions and practices under consideration here—from the more politically-edged consumer boycotts, prochoice counter-demonstrations, protest graffiti, and urban riots, to the less politically obtrusive Muslim punk rock and community gardens—are, in fact, noticeable. In this sense they grapple with the conceptual </w:t>
      </w:r>
      <w:r>
        <w:rPr>
          <w:color w:val="1F1F1F"/>
        </w:rPr>
        <w:lastRenderedPageBreak/>
        <w:t xml:space="preserve">contours of infrapolitics, thereby engaging in debate with Scott and Kelley. But whereas the essays in the first section examine mobilizations whose very political or infrapolitical </w:t>
      </w:r>
      <w:r>
        <w:rPr>
          <w:i/>
          <w:color w:val="1F1F1F"/>
        </w:rPr>
        <w:t>nature</w:t>
      </w:r>
      <w:r>
        <w:rPr>
          <w:color w:val="1F1F1F"/>
        </w:rPr>
        <w:t xml:space="preserve"> is in question, thereby discussing </w:t>
      </w:r>
      <w:r>
        <w:rPr>
          <w:i/>
          <w:color w:val="1F1F1F"/>
        </w:rPr>
        <w:t>whether</w:t>
      </w:r>
      <w:r>
        <w:rPr>
          <w:color w:val="1F1F1F"/>
        </w:rPr>
        <w:t xml:space="preserve"> the political agenda needs to be “hidden” for a practice to qualify as infrapolitical, the contributions in the second section explore how mobilizations sometimes deploy infrapolitical means towards </w:t>
      </w:r>
      <w:r>
        <w:rPr>
          <w:i/>
          <w:color w:val="1F1F1F"/>
        </w:rPr>
        <w:t>explicitly political ends</w:t>
      </w:r>
      <w:r>
        <w:rPr>
          <w:color w:val="1F1F1F"/>
        </w:rPr>
        <w:t xml:space="preserve">. In a sense, the dependence of infrapolitical resistance on hidden transcripts is a function of the degree or nature of oppression. The same constraints do not apply to a slave on a plantation in the antebellum South, a peasant in a feudal system, a black working-class youth in a segregationist state, or a disempowered, disgruntled anti-war activist at the onset of the Iraq War in 2003 (Scott, 1990 198-199; Chvasta). Besides, individuals who are not oppressed but happen to have dissident ideas or actually insist on maintaining their hegemonic status, do not </w:t>
      </w:r>
      <w:r>
        <w:rPr>
          <w:i/>
          <w:color w:val="1F1F1F"/>
        </w:rPr>
        <w:t>need</w:t>
      </w:r>
      <w:r>
        <w:rPr>
          <w:color w:val="1F1F1F"/>
        </w:rPr>
        <w:t xml:space="preserve"> stealth—as the examples of authors of anti-war protest graffiti and of white participants in the 1943 zoot-suit riots illustrate (Marche, this issue; Alvarez, this issue). Thus, whereas active repression at the hands of the state or of the powers that be may, and often does, make it necessary to develop hidden transcripts in order to be able to resist, the averred existence of infrapolitics is not restricted to such extreme contexts. The polity’s political apathy, the prevalence of quasi-hegemonic public discourse, or simply an issue’s practical absence from the public debate may make infrapolitics an apt tool for mobilization. Locating and identifying infrapolitics, in other words, requires taking heed of the context. </w:t>
      </w:r>
    </w:p>
    <w:p xmlns:wp14="http://schemas.microsoft.com/office/word/2010/wordml" w:rsidR="0082799E" w:rsidP="0082799E" w:rsidRDefault="0082799E" w14:paraId="1892C4D6" wp14:textId="77777777">
      <w:pPr>
        <w:pStyle w:val="Heading4"/>
      </w:pPr>
      <w:r>
        <w:t>Infra-politics provides a good lens for interrogating antiblackness and contestable sociality</w:t>
      </w:r>
    </w:p>
    <w:p xmlns:wp14="http://schemas.microsoft.com/office/word/2010/wordml" w:rsidR="0082799E" w:rsidP="0082799E" w:rsidRDefault="0082799E" w14:paraId="6BD1C9CD" wp14:textId="77777777">
      <w:pPr>
        <w:spacing w:line="240" w:lineRule="auto"/>
        <w:rPr>
          <w:color w:val="1F1F1F"/>
        </w:rPr>
      </w:pPr>
      <w:r w:rsidRPr="00D50642">
        <w:rPr>
          <w:rStyle w:val="Style13ptBold"/>
          <w:highlight w:val="white"/>
        </w:rPr>
        <w:t>Marche 12</w:t>
      </w:r>
      <w:r>
        <w:rPr>
          <w:color w:val="323232"/>
          <w:highlight w:val="white"/>
        </w:rPr>
        <w:t xml:space="preserve"> [Guillaume. -- associate professor of American Studies at Universite Paris-Est Creteil who specializes in contemporary social movements. «Why Infrapolitics Matters», </w:t>
      </w:r>
      <w:r>
        <w:rPr>
          <w:i/>
          <w:color w:val="323232"/>
          <w:highlight w:val="white"/>
        </w:rPr>
        <w:t>Revue française d’études américaines</w:t>
      </w:r>
      <w:r>
        <w:rPr>
          <w:color w:val="323232"/>
          <w:highlight w:val="white"/>
        </w:rPr>
        <w:t>, vol. 131, no. 1, 2012, pp. 3-18.]</w:t>
      </w:r>
    </w:p>
    <w:p xmlns:wp14="http://schemas.microsoft.com/office/word/2010/wordml" w:rsidR="0082799E" w:rsidP="0082799E" w:rsidRDefault="0082799E" w14:paraId="33B4B999" wp14:textId="77777777">
      <w:pPr>
        <w:spacing w:line="240" w:lineRule="auto"/>
        <w:ind w:left="20" w:right="20"/>
        <w:rPr>
          <w:color w:val="1F1F1F"/>
        </w:rPr>
      </w:pPr>
      <w:r>
        <w:rPr>
          <w:color w:val="1F1F1F"/>
        </w:rPr>
        <w:t xml:space="preserve">Infrapolitics in this sense </w:t>
      </w:r>
      <w:r>
        <w:rPr>
          <w:i/>
          <w:color w:val="1F1F1F"/>
        </w:rPr>
        <w:t>is</w:t>
      </w:r>
      <w:r>
        <w:rPr>
          <w:color w:val="1F1F1F"/>
        </w:rPr>
        <w:t xml:space="preserve"> political, except that it is not easily perceptible as such. Kelley develops this insight of Scott’s by focusing on intra-racial tensions within the African American community, arguing that it should not be reified as a given, homogeneous whole. Instead, African American collective identity is a construct resulting from contested processes. For example, considering infrapolitics highlights the social tensions that played themselves out beneath the surface of the southern Civil Rights movement of the 1960s. It was infrapolitical popular pressure—such as rioting, confronting the police, and looting (89)—that induced the movement’s middle-class leadership to define slum living conditions as a form of racial inequality, tantamount to segregation, thereby integrating a claim for socioeconomic rights into the broader demand for formal civil rights. “Thus poor people not only challenged the civil rights leaders, but their daily acts of resistance and survival substantially shaped the movement,” says Kelley (78). Considering infrapolitics is therefore an invitation to take seriously the links between politics and everyday life experience, and to examine how actors’ subjective experience weighs in on collective mobilizations. Kelley’s work on infrapolitics has been applied more recently by other scholars seeking to understand the dynamics in play at the intersection of gender, race, and ethnicity in the context of youth rebellion. In a way that is somewhat reminiscent of Jeff Ferrell’s 1993 book on Denver’s tagging culture, both Luis Alvarez’s study of zoot-suit culture, and Andrew Diamond’s work on minority youths in Chicago (2009) examine </w:t>
      </w:r>
      <w:r>
        <w:rPr>
          <w:i/>
          <w:color w:val="1F1F1F"/>
        </w:rPr>
        <w:t>style</w:t>
      </w:r>
      <w:r>
        <w:rPr>
          <w:color w:val="1F1F1F"/>
        </w:rPr>
        <w:t xml:space="preserve"> as a </w:t>
      </w:r>
      <w:r>
        <w:rPr>
          <w:i/>
          <w:color w:val="1F1F1F"/>
        </w:rPr>
        <w:t>modus operandi</w:t>
      </w:r>
      <w:r>
        <w:rPr>
          <w:color w:val="1F1F1F"/>
        </w:rPr>
        <w:t xml:space="preserve"> of the rebellious affirmation of collective identities which are at odds with both the dominant white culture, and the established narratives ascribed to the collective identities of minority groups. Earlier work had already borrowed from Stuart Hall and the Birmingham School of cultural studies, to identify the inscription of politicized identity narratives in the cultural expressions of ethnoracial minority groups, such as sociologist and historian George Lipsitz’s 1988 study of Mardi Gras Indians in New Orleans. More recently, ethnomusicologist Charles Lockwood has written about Mardi Gras Indians faced with the concurrent challenges </w:t>
      </w:r>
      <w:r>
        <w:rPr>
          <w:color w:val="1F1F1F"/>
        </w:rPr>
        <w:lastRenderedPageBreak/>
        <w:t>of heightened visibility, the commercialization of their expression, and displacement after Katrina.</w:t>
      </w:r>
    </w:p>
    <w:p xmlns:wp14="http://schemas.microsoft.com/office/word/2010/wordml" w:rsidR="0082799E" w:rsidP="0082799E" w:rsidRDefault="0082799E" w14:paraId="08CE6F91" wp14:textId="77777777">
      <w:pPr>
        <w:spacing w:line="240" w:lineRule="auto"/>
        <w:ind w:left="20" w:right="20"/>
        <w:rPr>
          <w:color w:val="1F1F1F"/>
        </w:rPr>
      </w:pPr>
    </w:p>
    <w:p xmlns:wp14="http://schemas.microsoft.com/office/word/2010/wordml" w:rsidRPr="00D50642" w:rsidR="0082799E" w:rsidP="0082799E" w:rsidRDefault="0082799E" w14:paraId="61CDCEAD" wp14:textId="77777777"/>
    <w:p xmlns:wp14="http://schemas.microsoft.com/office/word/2010/wordml" w:rsidR="0082799E" w:rsidP="00753F86" w:rsidRDefault="0082799E" w14:paraId="710EE0D5" wp14:textId="77777777">
      <w:pPr>
        <w:pStyle w:val="Heading2"/>
      </w:pPr>
      <w:r>
        <w:lastRenderedPageBreak/>
        <w:t>NEG Answers</w:t>
      </w:r>
    </w:p>
    <w:p xmlns:wp14="http://schemas.microsoft.com/office/word/2010/wordml" w:rsidR="0082799E" w:rsidP="001D0003" w:rsidRDefault="0082799E" w14:paraId="33C75167" wp14:textId="77777777">
      <w:pPr>
        <w:pStyle w:val="Heading3"/>
      </w:pPr>
      <w:r>
        <w:lastRenderedPageBreak/>
        <w:t>Case</w:t>
      </w:r>
    </w:p>
    <w:p xmlns:wp14="http://schemas.microsoft.com/office/word/2010/wordml" w:rsidRPr="00A965EA" w:rsidR="0082799E" w:rsidP="0082799E" w:rsidRDefault="0082799E" w14:paraId="4BFC3C39" wp14:textId="77777777">
      <w:pPr>
        <w:pStyle w:val="Heading4"/>
        <w:rPr>
          <w:rFonts w:cs="Arial"/>
        </w:rPr>
      </w:pPr>
      <w:r w:rsidRPr="00A965EA">
        <w:rPr>
          <w:rFonts w:cs="Arial"/>
        </w:rPr>
        <w:t xml:space="preserve">Graffiti can be pointless and a narrsastic project </w:t>
      </w:r>
    </w:p>
    <w:p xmlns:wp14="http://schemas.microsoft.com/office/word/2010/wordml" w:rsidRPr="00A965EA" w:rsidR="0082799E" w:rsidP="0082799E" w:rsidRDefault="0082799E" w14:paraId="7823A590" wp14:textId="77777777">
      <w:r w:rsidRPr="00A965EA">
        <w:rPr>
          <w:b/>
        </w:rPr>
        <w:t xml:space="preserve">Innis 15 </w:t>
      </w:r>
      <w:r w:rsidRPr="00A965EA">
        <w:t>(Robert E,. Professor Emeritus of Philisophy at the University of Massachusetts Lowell and Obel Foundation Visiting Professor at the Niels Bohr for Center for Cultural Psychology at Aalborg University.  Resisting Forms: Prolegomena to an Aesthetics of Resistance. (74-75)</w:t>
      </w:r>
      <w:r w:rsidRPr="00A965EA">
        <w:rPr>
          <w:b/>
        </w:rPr>
        <w:t xml:space="preserve"> </w:t>
      </w:r>
      <w:r w:rsidRPr="00A965EA">
        <w:t>Located in the book, Street Art of Resistance edited by Sarah H. Award and Brady Wagoner. 2015) /// ONW</w:t>
      </w:r>
    </w:p>
    <w:p xmlns:wp14="http://schemas.microsoft.com/office/word/2010/wordml" w:rsidRPr="00A965EA" w:rsidR="0082799E" w:rsidP="0082799E" w:rsidRDefault="0082799E" w14:paraId="6A9CB042" wp14:textId="77777777">
      <w:pPr>
        <w:rPr>
          <w:rStyle w:val="StyleUnderline"/>
        </w:rPr>
      </w:pPr>
      <w:r w:rsidRPr="00A965EA">
        <w:rPr>
          <w:rStyle w:val="StyleUnderline"/>
        </w:rPr>
        <w:t xml:space="preserve">Graffiti can clearly be pointless. Graffiti of mere self-assertion, of narcissism, of destructive vandalism are found in </w:t>
      </w:r>
      <w:r w:rsidRPr="00A965EA">
        <w:rPr>
          <w:sz w:val="16"/>
        </w:rPr>
        <w:t xml:space="preserve">(a) </w:t>
      </w:r>
      <w:r w:rsidRPr="00A965EA">
        <w:rPr>
          <w:rStyle w:val="StyleUnderline"/>
        </w:rPr>
        <w:t>the anarchic and unprincipled defacing of monuments symbolizing civic unity</w:t>
      </w:r>
      <w:r w:rsidRPr="00A965EA">
        <w:rPr>
          <w:sz w:val="16"/>
        </w:rPr>
        <w:t xml:space="preserve"> (of course, if the unity is a lie, then the defacing could be interpreted as a challenge to the authorities to live up to the core idea of the monuments); (b) </w:t>
      </w:r>
      <w:r w:rsidRPr="00A965EA">
        <w:rPr>
          <w:rStyle w:val="StyleUnderline"/>
        </w:rPr>
        <w:t>the defacing of public utilities such as transport with one’s own markings, similar to a dog’s or wolf’s marking by urine, and in doing so marking one’s existence, to make oneself visible, even if only a very few know who is the source of the graffiti; or</w:t>
      </w:r>
      <w:r w:rsidRPr="00A965EA">
        <w:rPr>
          <w:sz w:val="16"/>
        </w:rPr>
        <w:t xml:space="preserve"> (c) </w:t>
      </w:r>
      <w:r w:rsidRPr="00A965EA">
        <w:rPr>
          <w:rStyle w:val="StyleUnderline"/>
        </w:rPr>
        <w:t>the defacing of buildings and public spaces for no reason at all, no matter what the aesthetic values of these markings would be. Of course, the creative painting on the dead concrete of piers and arches of expressways or the painting of wall murals on desolate sides of buildings is a topic of great interest as in the public authorization of the painting of buildings for advertising and other ends.</w:t>
      </w:r>
      <w:r w:rsidRPr="00A965EA">
        <w:rPr>
          <w:sz w:val="16"/>
        </w:rPr>
        <w:t xml:space="preserve"> Arts of resistance, maybe even those sanctioned by the authorities themselves, are rightly directed against ugliness in its many forms. In this sense </w:t>
      </w:r>
      <w:r w:rsidRPr="00A965EA">
        <w:rPr>
          <w:rStyle w:val="StyleUnderline"/>
        </w:rPr>
        <w:t>their true aesthetic value could be seen as a means of making ugliness invisible, as an aesthetic protest against the degradation of the environments and neighborhoods in which we live out our lives. In these instances there is a claim to a kind of aesthetic rationality that is to function as a social norm</w:t>
      </w:r>
      <w:r w:rsidRPr="00A965EA">
        <w:rPr>
          <w:sz w:val="16"/>
        </w:rPr>
        <w:t xml:space="preserve"> (Innis, 1987). Like the “high art” painter, </w:t>
      </w:r>
      <w:r w:rsidRPr="00A965EA">
        <w:rPr>
          <w:rStyle w:val="StyleUnderline"/>
        </w:rPr>
        <w:t>we can say with Dewey that the graffiti artist or street artist does “not approach the scene with an empty mind, but with a background of experiences long ago funded into capacities and likes, or with a commotion due to more recent experiences” (p. 91), such as a revolution, a coup, mass migration, or some other break in the social fabric. The graffiti or street artist is filled with “meanings funded from his past intercourse with his surroundings”</w:t>
      </w:r>
      <w:r w:rsidRPr="00A965EA">
        <w:rPr>
          <w:sz w:val="16"/>
        </w:rPr>
        <w:t xml:space="preserve"> (p. 93), including the recent past. </w:t>
      </w:r>
      <w:r w:rsidRPr="00A965EA">
        <w:rPr>
          <w:rStyle w:val="StyleUnderline"/>
        </w:rPr>
        <w:t>This fundedness gives the arts of resistance their hermeneutical thickness, effecting, to allude to Gadamer’s hermeneutics, a fusion of horizons, which is not without friction and instability</w:t>
      </w:r>
      <w:r w:rsidRPr="00A965EA">
        <w:rPr>
          <w:sz w:val="16"/>
        </w:rPr>
        <w:t xml:space="preserve">. Because of our familiarity with the masterpieces of “high art” we may be tempted to ascribe too much creativity to a work of art, treating it as something unprecedented. But </w:t>
      </w:r>
      <w:r w:rsidRPr="00A965EA">
        <w:rPr>
          <w:rStyle w:val="StyleUnderline"/>
        </w:rPr>
        <w:t>we do not have to insist on the utter novelty of graffiti and the forms of street art or their systematic bearing upon general ideas. For them to do their jobs they have to have a local habitation, even if no name. Owing to restrictive circumstances, many types of graffiti and street art are spontaneous and “occasional.”</w:t>
      </w:r>
      <w:r w:rsidRPr="00A965EA">
        <w:rPr>
          <w:sz w:val="16"/>
        </w:rPr>
        <w:t xml:space="preserve"> It is not fair in most cases to compare in terms of expression works of art that have had long gestation periods with forms that have had to be materialized quickly, even if from a preliminary plan. </w:t>
      </w:r>
      <w:r w:rsidRPr="00A965EA">
        <w:rPr>
          <w:rStyle w:val="StyleUnderline"/>
        </w:rPr>
        <w:t>But clearly there are graffiti and street art of a high expressive order even if their media are at times, but not always, perceptually “lean.”</w:t>
      </w:r>
    </w:p>
    <w:p xmlns:wp14="http://schemas.microsoft.com/office/word/2010/wordml" w:rsidRPr="00540B45" w:rsidR="0082799E" w:rsidP="0082799E" w:rsidRDefault="0082799E" w14:paraId="6BB9E253" wp14:textId="77777777"/>
    <w:p xmlns:wp14="http://schemas.microsoft.com/office/word/2010/wordml" w:rsidRPr="005C3E3F" w:rsidR="0082799E" w:rsidP="0082799E" w:rsidRDefault="001D0003" w14:paraId="5251FEBF" wp14:textId="77777777">
      <w:pPr>
        <w:pStyle w:val="Heading3"/>
      </w:pPr>
      <w:r>
        <w:lastRenderedPageBreak/>
        <w:t>Cap K--</w:t>
      </w:r>
      <w:r w:rsidR="0082799E">
        <w:t>L: Commodification</w:t>
      </w:r>
    </w:p>
    <w:p xmlns:wp14="http://schemas.microsoft.com/office/word/2010/wordml" w:rsidRPr="005C3E3F" w:rsidR="0082799E" w:rsidP="0082799E" w:rsidRDefault="0082799E" w14:paraId="374761A5" wp14:textId="77777777">
      <w:pPr>
        <w:pStyle w:val="Heading4"/>
      </w:pPr>
      <w:r w:rsidRPr="005C3E3F">
        <w:t>Graffiti Art gets commodified in the service of the creative class, inviting gentrification</w:t>
      </w:r>
    </w:p>
    <w:p xmlns:wp14="http://schemas.microsoft.com/office/word/2010/wordml" w:rsidRPr="00A9397A" w:rsidR="0082799E" w:rsidP="0082799E" w:rsidRDefault="0082799E" w14:paraId="71632345" wp14:textId="77777777">
      <w:pPr>
        <w:rPr>
          <w:sz w:val="18"/>
          <w:szCs w:val="18"/>
        </w:rPr>
      </w:pPr>
      <w:r w:rsidRPr="00763B46">
        <w:rPr>
          <w:rStyle w:val="Style13ptBold"/>
        </w:rPr>
        <w:t>Not in our Name 2010</w:t>
      </w:r>
      <w:r>
        <w:t xml:space="preserve"> [</w:t>
      </w:r>
      <w:r w:rsidRPr="00A9397A">
        <w:rPr>
          <w:rFonts w:ascii="Helvetica 55 Roman" w:hAnsi="Helvetica 55 Roman" w:cs="Helvetica 55 Roman"/>
          <w:bCs/>
          <w:color w:val="000000"/>
          <w:sz w:val="18"/>
          <w:szCs w:val="18"/>
        </w:rPr>
        <w:t>Not in our Name</w:t>
      </w:r>
      <w:r>
        <w:rPr>
          <w:rFonts w:ascii="Helvetica 55 Roman" w:hAnsi="Helvetica 55 Roman" w:cs="Helvetica 55 Roman"/>
          <w:bCs/>
          <w:color w:val="000000"/>
          <w:sz w:val="18"/>
          <w:szCs w:val="18"/>
        </w:rPr>
        <w:t xml:space="preserve">. </w:t>
      </w:r>
      <w:r w:rsidRPr="00A9397A">
        <w:rPr>
          <w:rFonts w:asciiTheme="minorHAnsi" w:hAnsiTheme="minorHAnsi" w:cstheme="minorHAnsi"/>
          <w:i/>
          <w:iCs/>
          <w:sz w:val="18"/>
          <w:szCs w:val="18"/>
        </w:rPr>
        <w:t>Jamming the Gentrification Machine</w:t>
      </w:r>
      <w:r w:rsidRPr="00A9397A">
        <w:rPr>
          <w:rFonts w:asciiTheme="minorHAnsi" w:hAnsiTheme="minorHAnsi" w:cstheme="minorHAnsi"/>
          <w:b/>
          <w:i/>
          <w:iCs/>
          <w:sz w:val="18"/>
          <w:szCs w:val="18"/>
        </w:rPr>
        <w:t xml:space="preserve">: </w:t>
      </w:r>
      <w:r w:rsidRPr="00A9397A">
        <w:rPr>
          <w:rStyle w:val="A2"/>
          <w:rFonts w:asciiTheme="minorHAnsi" w:hAnsiTheme="minorHAnsi" w:cstheme="minorHAnsi"/>
          <w:b w:val="0"/>
          <w:i/>
          <w:sz w:val="18"/>
          <w:szCs w:val="18"/>
        </w:rPr>
        <w:t>A Manifesto from HAMBURG</w:t>
      </w:r>
      <w:r>
        <w:rPr>
          <w:rStyle w:val="A2"/>
          <w:rFonts w:asciiTheme="minorHAnsi" w:hAnsiTheme="minorHAnsi" w:cstheme="minorHAnsi"/>
          <w:b w:val="0"/>
          <w:sz w:val="18"/>
          <w:szCs w:val="18"/>
        </w:rPr>
        <w:t>. 2010.]//MMS</w:t>
      </w:r>
    </w:p>
    <w:p xmlns:wp14="http://schemas.microsoft.com/office/word/2010/wordml" w:rsidRPr="00A9397A" w:rsidR="0082799E" w:rsidP="0082799E" w:rsidRDefault="0082799E" w14:paraId="105FF4D0" wp14:textId="77777777">
      <w:pPr>
        <w:pStyle w:val="Pa1"/>
        <w:rPr>
          <w:rFonts w:asciiTheme="minorHAnsi" w:hAnsiTheme="minorHAnsi" w:cstheme="minorHAnsi"/>
          <w:color w:val="000000"/>
          <w:sz w:val="16"/>
          <w:szCs w:val="22"/>
        </w:rPr>
      </w:pPr>
      <w:r w:rsidRPr="003871E1">
        <w:rPr>
          <w:rStyle w:val="StyleUnderline"/>
        </w:rPr>
        <w:t>A spectre has been haunting Europe since US economist Richard Florida predicted that the future belongs to cities in which the "creative class" feels at home</w:t>
      </w:r>
      <w:r w:rsidRPr="00A9397A">
        <w:rPr>
          <w:rStyle w:val="A3"/>
          <w:rFonts w:asciiTheme="minorHAnsi" w:hAnsiTheme="minorHAnsi" w:cstheme="minorHAnsi"/>
          <w:sz w:val="16"/>
          <w:szCs w:val="22"/>
        </w:rPr>
        <w:t>. "</w:t>
      </w:r>
      <w:r w:rsidRPr="00A9397A">
        <w:rPr>
          <w:rStyle w:val="A3"/>
          <w:rFonts w:asciiTheme="minorHAnsi" w:hAnsiTheme="minorHAnsi" w:cstheme="minorHAnsi"/>
          <w:i/>
          <w:iCs/>
          <w:sz w:val="16"/>
          <w:szCs w:val="22"/>
        </w:rPr>
        <w:t>Cities without gays and rock bands are losing the economic develop</w:t>
      </w:r>
      <w:r w:rsidRPr="00A9397A">
        <w:rPr>
          <w:rStyle w:val="A3"/>
          <w:rFonts w:asciiTheme="minorHAnsi" w:hAnsiTheme="minorHAnsi" w:cstheme="minorHAnsi"/>
          <w:i/>
          <w:iCs/>
          <w:sz w:val="16"/>
          <w:szCs w:val="22"/>
        </w:rPr>
        <w:softHyphen/>
        <w:t>ment race</w:t>
      </w:r>
      <w:r w:rsidRPr="00A9397A">
        <w:rPr>
          <w:rStyle w:val="A3"/>
          <w:rFonts w:asciiTheme="minorHAnsi" w:hAnsiTheme="minorHAnsi" w:cstheme="minorHAnsi"/>
          <w:sz w:val="16"/>
          <w:szCs w:val="22"/>
        </w:rPr>
        <w:t>," Florida writes</w:t>
      </w:r>
      <w:r w:rsidRPr="003871E1">
        <w:rPr>
          <w:rStyle w:val="StyleUnderline"/>
        </w:rPr>
        <w:t>. Many European capitals are competing with one another to be the settlement zone for this "</w:t>
      </w:r>
      <w:r w:rsidRPr="00F43E8A">
        <w:rPr>
          <w:rStyle w:val="A3"/>
          <w:rFonts w:asciiTheme="minorHAnsi" w:hAnsiTheme="minorHAnsi" w:cstheme="minorHAnsi"/>
          <w:i/>
          <w:iCs/>
          <w:sz w:val="22"/>
          <w:szCs w:val="22"/>
          <w:u w:val="single"/>
        </w:rPr>
        <w:t>creative class</w:t>
      </w:r>
      <w:r w:rsidRPr="003871E1">
        <w:rPr>
          <w:rStyle w:val="StyleUnderline"/>
        </w:rPr>
        <w:t>". In Hamburg's case, the competition now means that city politics are increasingly subordinated to an "Image City". The idea is to send out a very specific image of the city into the world: the image of the "pulsating capital", which offers a "stimulat</w:t>
      </w:r>
      <w:r w:rsidRPr="003871E1">
        <w:rPr>
          <w:rStyle w:val="StyleUnderline"/>
        </w:rPr>
        <w:softHyphen/>
        <w:t>ing atmosphere and the best opportunities for creatives of all stripes". A local marketing company feeds this image to the media as "</w:t>
      </w:r>
      <w:r w:rsidRPr="00F43E8A">
        <w:rPr>
          <w:rStyle w:val="A3"/>
          <w:rFonts w:asciiTheme="minorHAnsi" w:hAnsiTheme="minorHAnsi" w:cstheme="minorHAnsi"/>
          <w:i/>
          <w:iCs/>
          <w:sz w:val="22"/>
          <w:szCs w:val="22"/>
          <w:u w:val="single"/>
        </w:rPr>
        <w:t>the brand Hamburg</w:t>
      </w:r>
      <w:r w:rsidRPr="003871E1">
        <w:rPr>
          <w:rStyle w:val="StyleUnderline"/>
        </w:rPr>
        <w:t>".</w:t>
      </w:r>
      <w:r w:rsidRPr="00A9397A">
        <w:rPr>
          <w:rStyle w:val="A3"/>
          <w:rFonts w:asciiTheme="minorHAnsi" w:hAnsiTheme="minorHAnsi" w:cstheme="minorHAnsi"/>
          <w:sz w:val="16"/>
          <w:szCs w:val="22"/>
        </w:rPr>
        <w:t xml:space="preserve"> It is flooding the republic with brochures that </w:t>
      </w:r>
      <w:r w:rsidRPr="003871E1">
        <w:rPr>
          <w:rStyle w:val="StyleUnderline"/>
        </w:rPr>
        <w:t xml:space="preserve">turn Hamburg into a consistent, socially passified fantasialand </w:t>
      </w:r>
      <w:r w:rsidRPr="00A9397A">
        <w:rPr>
          <w:rStyle w:val="A3"/>
          <w:rFonts w:asciiTheme="minorHAnsi" w:hAnsiTheme="minorHAnsi" w:cstheme="minorHAnsi"/>
          <w:sz w:val="16"/>
          <w:szCs w:val="22"/>
        </w:rPr>
        <w:t>with Elbe Philharmonic and table dancing, Blankenese and Schanzenviertel, agency life and art scenes, local Harley Days, gay parades in St. Georg, alternative art spectacles in the "HafenC</w:t>
      </w:r>
      <w:r w:rsidRPr="00A9397A">
        <w:rPr>
          <w:rStyle w:val="A3"/>
          <w:rFonts w:asciiTheme="minorHAnsi" w:hAnsiTheme="minorHAnsi" w:cstheme="minorHAnsi"/>
          <w:sz w:val="16"/>
          <w:szCs w:val="22"/>
        </w:rPr>
        <w:softHyphen/>
        <w:t xml:space="preserve">ity", Reeperbahn festivals, fan miles and Cruise Days. Hardly a week goes by without some tourist mega-event carrying out its "brand-strengthening function." </w:t>
      </w:r>
      <w:r w:rsidRPr="00A9397A">
        <w:rPr>
          <w:rFonts w:asciiTheme="minorHAnsi" w:hAnsiTheme="minorHAnsi" w:cstheme="minorHAnsi"/>
          <w:bCs/>
          <w:color w:val="000000"/>
          <w:sz w:val="16"/>
          <w:szCs w:val="22"/>
        </w:rPr>
        <w:t>We say:</w:t>
      </w:r>
      <w:r w:rsidRPr="00A9397A">
        <w:rPr>
          <w:rFonts w:asciiTheme="minorHAnsi" w:hAnsiTheme="minorHAnsi" w:cstheme="minorHAnsi"/>
          <w:b/>
          <w:bCs/>
          <w:color w:val="000000"/>
          <w:sz w:val="16"/>
          <w:szCs w:val="22"/>
        </w:rPr>
        <w:t xml:space="preserve"> </w:t>
      </w:r>
      <w:r w:rsidRPr="00A9397A">
        <w:rPr>
          <w:rStyle w:val="A3"/>
          <w:rFonts w:asciiTheme="minorHAnsi" w:hAnsiTheme="minorHAnsi" w:cstheme="minorHAnsi"/>
          <w:sz w:val="16"/>
          <w:szCs w:val="22"/>
        </w:rPr>
        <w:t xml:space="preserve">Ouch, this is painful. </w:t>
      </w:r>
      <w:r w:rsidRPr="003871E1">
        <w:rPr>
          <w:rStyle w:val="StyleUnderline"/>
        </w:rPr>
        <w:t>Stop this shit. We won't be taken for fools</w:t>
      </w:r>
      <w:r w:rsidRPr="00A9397A">
        <w:rPr>
          <w:rStyle w:val="A3"/>
          <w:rFonts w:asciiTheme="minorHAnsi" w:hAnsiTheme="minorHAnsi" w:cstheme="minorHAnsi"/>
          <w:sz w:val="16"/>
          <w:szCs w:val="22"/>
        </w:rPr>
        <w:t>. Dear location politicians: we refuse to talk about this city in marketing categories. We don't want to "position" local neighbourhoods as "</w:t>
      </w:r>
      <w:r w:rsidRPr="00A9397A">
        <w:rPr>
          <w:rStyle w:val="A3"/>
          <w:rFonts w:asciiTheme="minorHAnsi" w:hAnsiTheme="minorHAnsi" w:cstheme="minorHAnsi"/>
          <w:i/>
          <w:iCs/>
          <w:sz w:val="16"/>
          <w:szCs w:val="22"/>
        </w:rPr>
        <w:t>colour</w:t>
      </w:r>
      <w:r w:rsidRPr="00A9397A">
        <w:rPr>
          <w:rStyle w:val="A3"/>
          <w:rFonts w:asciiTheme="minorHAnsi" w:hAnsiTheme="minorHAnsi" w:cstheme="minorHAnsi"/>
          <w:i/>
          <w:iCs/>
          <w:sz w:val="16"/>
          <w:szCs w:val="22"/>
        </w:rPr>
        <w:softHyphen/>
        <w:t>ful, brash, eclectic</w:t>
      </w:r>
      <w:r w:rsidRPr="00A9397A">
        <w:rPr>
          <w:rStyle w:val="A3"/>
          <w:rFonts w:asciiTheme="minorHAnsi" w:hAnsiTheme="minorHAnsi" w:cstheme="minorHAnsi"/>
          <w:sz w:val="16"/>
          <w:szCs w:val="22"/>
        </w:rPr>
        <w:t xml:space="preserve">" parts of town, nor will we think of Hamburg in terms of "water, cosmopolitanism, internationality," or any other "success modules of the brand Hamburg" that you chose to concoct. </w:t>
      </w:r>
      <w:r w:rsidRPr="003871E1">
        <w:rPr>
          <w:rStyle w:val="StyleUnderline"/>
        </w:rPr>
        <w:t>We are thinking about other things. About the million-plus square metres of empty office space, for example, or the fact that you continue to line the Elbe with premium glass teeth</w:t>
      </w:r>
      <w:r w:rsidRPr="00A9397A">
        <w:rPr>
          <w:rStyle w:val="A3"/>
          <w:rFonts w:asciiTheme="minorHAnsi" w:hAnsiTheme="minorHAnsi" w:cstheme="minorHAnsi"/>
          <w:sz w:val="16"/>
          <w:szCs w:val="22"/>
        </w:rPr>
        <w:t xml:space="preserve">. We hereby state, that </w:t>
      </w:r>
      <w:r w:rsidRPr="003871E1">
        <w:rPr>
          <w:rStyle w:val="StyleUnderline"/>
        </w:rPr>
        <w:t>in the western city centre it is almost impossible to rent a room in a shared flat for less than 450 Euro per month, or a flat for under 10 Euro per square meter. That the amount of social housing will be slashed by half within ten years</w:t>
      </w:r>
      <w:r w:rsidRPr="00A9397A">
        <w:rPr>
          <w:rStyle w:val="A3"/>
          <w:rFonts w:asciiTheme="minorHAnsi" w:hAnsiTheme="minorHAnsi" w:cstheme="minorHAnsi"/>
          <w:sz w:val="16"/>
          <w:szCs w:val="22"/>
        </w:rPr>
        <w:t xml:space="preserve">. That </w:t>
      </w:r>
      <w:r w:rsidRPr="003871E1">
        <w:rPr>
          <w:rStyle w:val="StyleUnderline"/>
        </w:rPr>
        <w:t>the poor, elderly and immigrant inhabit</w:t>
      </w:r>
      <w:r w:rsidRPr="003871E1">
        <w:rPr>
          <w:rStyle w:val="StyleUnderline"/>
        </w:rPr>
        <w:softHyphen/>
        <w:t>ants are being driven to the edge of town by Hartz IV (welfare money) and city housing-distribution policies</w:t>
      </w:r>
      <w:r w:rsidRPr="00A9397A">
        <w:rPr>
          <w:rStyle w:val="A3"/>
          <w:rFonts w:asciiTheme="minorHAnsi" w:hAnsiTheme="minorHAnsi" w:cstheme="minorHAnsi"/>
          <w:sz w:val="16"/>
          <w:szCs w:val="22"/>
        </w:rPr>
        <w:t xml:space="preserve">. We think that </w:t>
      </w:r>
      <w:r w:rsidRPr="003871E1">
        <w:rPr>
          <w:rStyle w:val="StyleUnderline"/>
        </w:rPr>
        <w:t>your "</w:t>
      </w:r>
      <w:r w:rsidRPr="00F43E8A">
        <w:rPr>
          <w:rStyle w:val="A3"/>
          <w:rFonts w:asciiTheme="minorHAnsi" w:hAnsiTheme="minorHAnsi" w:cstheme="minorHAnsi"/>
          <w:i/>
          <w:iCs/>
          <w:sz w:val="22"/>
          <w:szCs w:val="22"/>
          <w:u w:val="single"/>
        </w:rPr>
        <w:t>growing city</w:t>
      </w:r>
      <w:r w:rsidRPr="003871E1">
        <w:rPr>
          <w:rStyle w:val="StyleUnderline"/>
        </w:rPr>
        <w:t xml:space="preserve">" is actually a segregated city of the 19th century: promenades for the wealthy, tenements for the rabble.  </w:t>
      </w:r>
      <w:r w:rsidRPr="00A9397A">
        <w:rPr>
          <w:rStyle w:val="A3"/>
          <w:rFonts w:asciiTheme="minorHAnsi" w:hAnsiTheme="minorHAnsi" w:cstheme="minorHAnsi"/>
          <w:sz w:val="16"/>
          <w:szCs w:val="22"/>
        </w:rPr>
        <w:t>Which is why we want nothing to do with the ad campaign for "</w:t>
      </w:r>
      <w:r w:rsidRPr="00A9397A">
        <w:rPr>
          <w:rStyle w:val="A3"/>
          <w:rFonts w:asciiTheme="minorHAnsi" w:hAnsiTheme="minorHAnsi" w:cstheme="minorHAnsi"/>
          <w:i/>
          <w:iCs/>
          <w:sz w:val="16"/>
          <w:szCs w:val="22"/>
        </w:rPr>
        <w:t>brand Ham</w:t>
      </w:r>
      <w:r w:rsidRPr="00A9397A">
        <w:rPr>
          <w:rStyle w:val="A3"/>
          <w:rFonts w:asciiTheme="minorHAnsi" w:hAnsiTheme="minorHAnsi" w:cstheme="minorHAnsi"/>
          <w:i/>
          <w:iCs/>
          <w:sz w:val="16"/>
          <w:szCs w:val="22"/>
        </w:rPr>
        <w:softHyphen/>
        <w:t>burg</w:t>
      </w:r>
      <w:r w:rsidRPr="00A9397A">
        <w:rPr>
          <w:rStyle w:val="A3"/>
          <w:rFonts w:asciiTheme="minorHAnsi" w:hAnsiTheme="minorHAnsi" w:cstheme="minorHAnsi"/>
          <w:sz w:val="16"/>
          <w:szCs w:val="22"/>
        </w:rPr>
        <w:t xml:space="preserve">". Not that you asked us nicely. On the contrary: it has not escaped our attention that </w:t>
      </w:r>
      <w:r w:rsidRPr="003871E1">
        <w:rPr>
          <w:rStyle w:val="StyleUnderline"/>
        </w:rPr>
        <w:t>cultural funding for artists has been on the decline for years, and is increasingly linked to local political criteria</w:t>
      </w:r>
      <w:r w:rsidRPr="00A9397A">
        <w:rPr>
          <w:rStyle w:val="A3"/>
          <w:rFonts w:asciiTheme="minorHAnsi" w:hAnsiTheme="minorHAnsi" w:cstheme="minorHAnsi"/>
          <w:sz w:val="16"/>
          <w:szCs w:val="22"/>
        </w:rPr>
        <w:t>. Look at Wilhelmsburg, Neue Große Bergstraße and Hafencity: artists are expected to follow the funding money and interim-use opportunities like donkeys after carrots – into development areas that need life injecting into them, or investors or new, more solvent residents. You obviously consider it a matter of course that cultural resources should be siphoned "</w:t>
      </w:r>
      <w:r w:rsidRPr="00A9397A">
        <w:rPr>
          <w:rStyle w:val="A3"/>
          <w:rFonts w:asciiTheme="minorHAnsi" w:hAnsiTheme="minorHAnsi" w:cstheme="minorHAnsi"/>
          <w:i/>
          <w:iCs/>
          <w:sz w:val="16"/>
          <w:szCs w:val="22"/>
        </w:rPr>
        <w:t>directly into urban development</w:t>
      </w:r>
      <w:r w:rsidRPr="00A9397A">
        <w:rPr>
          <w:rStyle w:val="A3"/>
          <w:rFonts w:asciiTheme="minorHAnsi" w:hAnsiTheme="minorHAnsi" w:cstheme="minorHAnsi"/>
          <w:sz w:val="16"/>
          <w:szCs w:val="22"/>
        </w:rPr>
        <w:t>", "</w:t>
      </w:r>
      <w:r w:rsidRPr="00A9397A">
        <w:rPr>
          <w:rStyle w:val="A3"/>
          <w:rFonts w:asciiTheme="minorHAnsi" w:hAnsiTheme="minorHAnsi" w:cstheme="minorHAnsi"/>
          <w:i/>
          <w:iCs/>
          <w:sz w:val="16"/>
          <w:szCs w:val="22"/>
        </w:rPr>
        <w:t>to boost the city's image</w:t>
      </w:r>
      <w:r w:rsidRPr="00A9397A">
        <w:rPr>
          <w:rStyle w:val="A3"/>
          <w:rFonts w:asciiTheme="minorHAnsi" w:hAnsiTheme="minorHAnsi" w:cstheme="minorHAnsi"/>
          <w:sz w:val="16"/>
          <w:szCs w:val="22"/>
        </w:rPr>
        <w:t>". Culture should be an ornament for turbo-gentrifica</w:t>
      </w:r>
      <w:r w:rsidRPr="00A9397A">
        <w:rPr>
          <w:rStyle w:val="A3"/>
          <w:rFonts w:asciiTheme="minorHAnsi" w:hAnsiTheme="minorHAnsi" w:cstheme="minorHAnsi"/>
          <w:sz w:val="16"/>
          <w:szCs w:val="22"/>
        </w:rPr>
        <w:softHyphen/>
        <w:t xml:space="preserve">tion. St. Pauli and Schanzenviertel are shining examples of what this means: </w:t>
      </w:r>
      <w:r w:rsidRPr="003871E1">
        <w:rPr>
          <w:rStyle w:val="StyleUnderline"/>
        </w:rPr>
        <w:t>former working class districts become "trendy areas" and, in no time at all, exclusive residential areas with adjoining party and shopping neighbour</w:t>
      </w:r>
      <w:r w:rsidRPr="003871E1">
        <w:rPr>
          <w:rStyle w:val="StyleUnderline"/>
        </w:rPr>
        <w:softHyphen/>
        <w:t xml:space="preserve">hoods, where food and clothing chains like H&amp;M milk the amusement-hungry hordes.  </w:t>
      </w:r>
      <w:r w:rsidRPr="00A9397A">
        <w:rPr>
          <w:rStyle w:val="A3"/>
          <w:rFonts w:asciiTheme="minorHAnsi" w:hAnsiTheme="minorHAnsi" w:cstheme="minorHAnsi"/>
          <w:sz w:val="16"/>
          <w:szCs w:val="22"/>
        </w:rPr>
        <w:t xml:space="preserve">Hamburg's cultural politics has long formed an integral component of your eventification strategy. </w:t>
      </w:r>
      <w:r w:rsidRPr="003871E1">
        <w:rPr>
          <w:rStyle w:val="StyleUnderline"/>
        </w:rPr>
        <w:t>Thirty million Euro was poured into the militaria museum of some reactionary prince collector. Over forty percent of cultural spending is earmarked for the "Elb philhamonic Hall". The cultural authorities have been taken hostage by this 500-million Euro grave which, on comple</w:t>
      </w:r>
      <w:r w:rsidRPr="003871E1">
        <w:rPr>
          <w:rStyle w:val="StyleUnderline"/>
        </w:rPr>
        <w:softHyphen/>
        <w:t>tion, will at best be a luxury venue for megastars from the international classical and jazz circus</w:t>
      </w:r>
      <w:r w:rsidRPr="00A9397A">
        <w:rPr>
          <w:rStyle w:val="A3"/>
          <w:rFonts w:asciiTheme="minorHAnsi" w:hAnsiTheme="minorHAnsi" w:cstheme="minorHAnsi"/>
          <w:sz w:val="16"/>
          <w:szCs w:val="22"/>
        </w:rPr>
        <w:t xml:space="preserve">. Quite apart from the fact that the symbolic effect of the Elb Philharmonic Hall is socially cynical to the core: the city is building a "lighthouse project", which </w:t>
      </w:r>
      <w:r w:rsidRPr="003871E1">
        <w:rPr>
          <w:rStyle w:val="StyleUnderline"/>
        </w:rPr>
        <w:t>offers the moneyed aristocracy a five-star hotel and 47 exclusive freehold apartments, and a draughty viewing platform for the general public</w:t>
      </w:r>
      <w:r w:rsidRPr="00A9397A">
        <w:rPr>
          <w:rStyle w:val="A3"/>
          <w:rFonts w:asciiTheme="minorHAnsi" w:hAnsiTheme="minorHAnsi" w:cstheme="minorHAnsi"/>
          <w:sz w:val="16"/>
          <w:szCs w:val="22"/>
        </w:rPr>
        <w:t xml:space="preserve">. How telling!  And </w:t>
      </w:r>
      <w:r w:rsidRPr="003871E1">
        <w:rPr>
          <w:rStyle w:val="StyleUnderline"/>
        </w:rPr>
        <w:t>the "</w:t>
      </w:r>
      <w:r w:rsidRPr="00F43E8A">
        <w:rPr>
          <w:rStyle w:val="A3"/>
          <w:rFonts w:asciiTheme="minorHAnsi" w:hAnsiTheme="minorHAnsi" w:cstheme="minorHAnsi"/>
          <w:i/>
          <w:iCs/>
          <w:sz w:val="22"/>
          <w:szCs w:val="22"/>
          <w:u w:val="single"/>
        </w:rPr>
        <w:t>growing city</w:t>
      </w:r>
      <w:r w:rsidRPr="003871E1">
        <w:rPr>
          <w:rStyle w:val="StyleUnderline"/>
        </w:rPr>
        <w:t>" is making it increasingly hard to find halfway afford</w:t>
      </w:r>
      <w:r w:rsidRPr="003871E1">
        <w:rPr>
          <w:rStyle w:val="StyleUnderline"/>
        </w:rPr>
        <w:softHyphen/>
        <w:t>able studios and rehearsal rooms, or to run clubs and venues, which are not tied to the dictates of turnover</w:t>
      </w:r>
      <w:r w:rsidRPr="00A9397A">
        <w:rPr>
          <w:rStyle w:val="A3"/>
          <w:rFonts w:asciiTheme="minorHAnsi" w:hAnsiTheme="minorHAnsi" w:cstheme="minorHAnsi"/>
          <w:sz w:val="16"/>
          <w:szCs w:val="22"/>
        </w:rPr>
        <w:t>. Which is why we say: the last people who should be talking about "</w:t>
      </w:r>
      <w:r w:rsidRPr="00A9397A">
        <w:rPr>
          <w:rStyle w:val="A3"/>
          <w:rFonts w:asciiTheme="minorHAnsi" w:hAnsiTheme="minorHAnsi" w:cstheme="minorHAnsi"/>
          <w:i/>
          <w:iCs/>
          <w:sz w:val="16"/>
          <w:szCs w:val="22"/>
        </w:rPr>
        <w:t>pulsating art and music scenes</w:t>
      </w:r>
      <w:r w:rsidRPr="00A9397A">
        <w:rPr>
          <w:rStyle w:val="A3"/>
          <w:rFonts w:asciiTheme="minorHAnsi" w:hAnsiTheme="minorHAnsi" w:cstheme="minorHAnsi"/>
          <w:sz w:val="16"/>
          <w:szCs w:val="22"/>
        </w:rPr>
        <w:t xml:space="preserve">" are city councillors who </w:t>
      </w:r>
      <w:r w:rsidRPr="00A9397A">
        <w:rPr>
          <w:rStyle w:val="A3"/>
          <w:rFonts w:asciiTheme="minorHAnsi" w:hAnsiTheme="minorHAnsi" w:cstheme="minorHAnsi"/>
          <w:sz w:val="16"/>
          <w:szCs w:val="22"/>
        </w:rPr>
        <w:lastRenderedPageBreak/>
        <w:t>essentially leave it up to the tax office to decide what should happen on state property. Whenever money is to be made in the inner city, whenever a park can be squeezed, a building slapped onto a patch of green, or a hole filled, the tax office will toss these "</w:t>
      </w:r>
      <w:r w:rsidRPr="00A9397A">
        <w:rPr>
          <w:rStyle w:val="A3"/>
          <w:rFonts w:asciiTheme="minorHAnsi" w:hAnsiTheme="minorHAnsi" w:cstheme="minorHAnsi"/>
          <w:i/>
          <w:iCs/>
          <w:sz w:val="16"/>
          <w:szCs w:val="22"/>
        </w:rPr>
        <w:t>prime locations</w:t>
      </w:r>
      <w:r w:rsidRPr="00A9397A">
        <w:rPr>
          <w:rStyle w:val="A3"/>
          <w:rFonts w:asciiTheme="minorHAnsi" w:hAnsiTheme="minorHAnsi" w:cstheme="minorHAnsi"/>
          <w:sz w:val="16"/>
          <w:szCs w:val="22"/>
        </w:rPr>
        <w:t xml:space="preserve">" onto the property market, to the highest bidder with a minimum of conditions. </w:t>
      </w:r>
      <w:r w:rsidRPr="003871E1">
        <w:rPr>
          <w:rStyle w:val="StyleUnderline"/>
        </w:rPr>
        <w:t xml:space="preserve">And the result is a history and culture-free investor city of steel and concrete.  </w:t>
      </w:r>
      <w:r w:rsidRPr="00A9397A">
        <w:rPr>
          <w:rStyle w:val="A3"/>
          <w:rFonts w:asciiTheme="minorHAnsi" w:hAnsiTheme="minorHAnsi" w:cstheme="minorHAnsi"/>
          <w:sz w:val="16"/>
          <w:szCs w:val="22"/>
        </w:rPr>
        <w:t xml:space="preserve">We get the picture: </w:t>
      </w:r>
      <w:r w:rsidRPr="003871E1">
        <w:rPr>
          <w:rStyle w:val="StyleUnderline"/>
        </w:rPr>
        <w:t>We, the music, DJs, art, film and theatre people, the groovy-little-shop owners and anyone who represents a different quality of life, are supposed to function as a counterpoint to the "</w:t>
      </w:r>
      <w:r w:rsidRPr="00A9397A">
        <w:rPr>
          <w:rStyle w:val="A3"/>
          <w:rFonts w:asciiTheme="minorHAnsi" w:hAnsiTheme="minorHAnsi" w:cstheme="minorHAnsi"/>
          <w:i/>
          <w:iCs/>
          <w:sz w:val="22"/>
          <w:szCs w:val="22"/>
          <w:u w:val="single"/>
        </w:rPr>
        <w:t>city of subterranean parking</w:t>
      </w:r>
      <w:r w:rsidRPr="003871E1">
        <w:rPr>
          <w:rStyle w:val="StyleUnderline"/>
        </w:rPr>
        <w:t>"</w:t>
      </w:r>
      <w:r w:rsidRPr="00A9397A">
        <w:rPr>
          <w:rStyle w:val="A3"/>
          <w:rFonts w:asciiTheme="minorHAnsi" w:hAnsiTheme="minorHAnsi" w:cstheme="minorHAnsi"/>
          <w:sz w:val="16"/>
          <w:szCs w:val="22"/>
        </w:rPr>
        <w:t xml:space="preserve"> (Süddeutsche Zeitung). We are meant to take care of the atmo</w:t>
      </w:r>
      <w:r w:rsidRPr="00A9397A">
        <w:rPr>
          <w:rStyle w:val="A3"/>
          <w:rFonts w:asciiTheme="minorHAnsi" w:hAnsiTheme="minorHAnsi" w:cstheme="minorHAnsi"/>
          <w:sz w:val="16"/>
          <w:szCs w:val="22"/>
        </w:rPr>
        <w:softHyphen/>
        <w:t xml:space="preserve">sphere, the aura and leisure quality, without which an urban location has little chance in the global competition. We are welcome. In a way. On the one hand. On the other, the blanket development of urban space means that </w:t>
      </w:r>
      <w:r w:rsidRPr="003871E1">
        <w:rPr>
          <w:rStyle w:val="StyleUnderline"/>
        </w:rPr>
        <w:t>we</w:t>
      </w:r>
      <w:r w:rsidRPr="00A9397A">
        <w:rPr>
          <w:rStyle w:val="A3"/>
          <w:rFonts w:asciiTheme="minorHAnsi" w:hAnsiTheme="minorHAnsi" w:cstheme="minorHAnsi"/>
          <w:sz w:val="16"/>
          <w:szCs w:val="22"/>
        </w:rPr>
        <w:t xml:space="preserve"> - the decoys – </w:t>
      </w:r>
      <w:r w:rsidRPr="003871E1">
        <w:rPr>
          <w:rStyle w:val="StyleUnderline"/>
        </w:rPr>
        <w:t xml:space="preserve">are moving out in droves, because it is getting increasingly impossible to afford space here.  </w:t>
      </w:r>
      <w:r w:rsidRPr="00A9397A">
        <w:rPr>
          <w:rStyle w:val="A3"/>
          <w:rFonts w:asciiTheme="minorHAnsi" w:hAnsiTheme="minorHAnsi" w:cstheme="minorHAnsi"/>
          <w:sz w:val="16"/>
          <w:szCs w:val="22"/>
        </w:rPr>
        <w:t>In the mean time, dear location politicians, you have noticed that this will have a negative impact on your plans. But then, tragically, your proposed so</w:t>
      </w:r>
      <w:r w:rsidRPr="00A9397A">
        <w:rPr>
          <w:rStyle w:val="A3"/>
          <w:rFonts w:asciiTheme="minorHAnsi" w:hAnsiTheme="minorHAnsi" w:cstheme="minorHAnsi"/>
          <w:sz w:val="16"/>
          <w:szCs w:val="22"/>
        </w:rPr>
        <w:softHyphen/>
        <w:t>lutions never venture one iota beyond the logic of the corporate city. A freshly printed document from the Senate announces its plan to "</w:t>
      </w:r>
      <w:r w:rsidRPr="00A9397A">
        <w:rPr>
          <w:rStyle w:val="A3"/>
          <w:rFonts w:asciiTheme="minorHAnsi" w:hAnsiTheme="minorHAnsi" w:cstheme="minorHAnsi"/>
          <w:i/>
          <w:iCs/>
          <w:sz w:val="16"/>
          <w:szCs w:val="22"/>
        </w:rPr>
        <w:t>develop the future potential of the creative economy by strengthening its competitiveness</w:t>
      </w:r>
      <w:r w:rsidRPr="00A9397A">
        <w:rPr>
          <w:rStyle w:val="A3"/>
          <w:rFonts w:asciiTheme="minorHAnsi" w:hAnsiTheme="minorHAnsi" w:cstheme="minorHAnsi"/>
          <w:sz w:val="16"/>
          <w:szCs w:val="22"/>
        </w:rPr>
        <w:t>." It will set up a "creative agency" to function, among other things as "the point of contact for real estate brokerage". If you can't afford to pay the rent, you can get yourself ranked as a "young artist" and consult the creative agency about "</w:t>
      </w:r>
      <w:r w:rsidRPr="00A9397A">
        <w:rPr>
          <w:rStyle w:val="A3"/>
          <w:rFonts w:asciiTheme="minorHAnsi" w:hAnsiTheme="minorHAnsi" w:cstheme="minorHAnsi"/>
          <w:i/>
          <w:iCs/>
          <w:sz w:val="16"/>
          <w:szCs w:val="22"/>
        </w:rPr>
        <w:t>temporary usage of empty buildings</w:t>
      </w:r>
      <w:r w:rsidRPr="00A9397A">
        <w:rPr>
          <w:rStyle w:val="A3"/>
          <w:rFonts w:asciiTheme="minorHAnsi" w:hAnsiTheme="minorHAnsi" w:cstheme="minorHAnsi"/>
          <w:sz w:val="16"/>
          <w:szCs w:val="22"/>
        </w:rPr>
        <w:t>". You can even get the rent subsidised if you provide proof of "urgent necessity and relevance for Hamburg as a cre</w:t>
      </w:r>
      <w:r w:rsidRPr="00A9397A">
        <w:rPr>
          <w:rStyle w:val="A3"/>
          <w:rFonts w:asciiTheme="minorHAnsi" w:hAnsiTheme="minorHAnsi" w:cstheme="minorHAnsi"/>
          <w:sz w:val="16"/>
          <w:szCs w:val="22"/>
        </w:rPr>
        <w:softHyphen/>
        <w:t xml:space="preserve">ative location". There could not be a more unequivocal definition of the role that "creativity" is supposed to play: namely of profit centre for the "growing city".  And this is where we draw the line. </w:t>
      </w:r>
      <w:r w:rsidRPr="003871E1">
        <w:rPr>
          <w:rStyle w:val="StyleUnderline"/>
        </w:rPr>
        <w:t>We don't want any of the quartier devel</w:t>
      </w:r>
      <w:r w:rsidRPr="003871E1">
        <w:rPr>
          <w:rStyle w:val="StyleUnderline"/>
        </w:rPr>
        <w:softHyphen/>
        <w:t>opers' strategically placed "</w:t>
      </w:r>
      <w:r w:rsidRPr="00A9397A">
        <w:rPr>
          <w:rStyle w:val="A3"/>
          <w:rFonts w:asciiTheme="minorHAnsi" w:hAnsiTheme="minorHAnsi" w:cstheme="minorHAnsi"/>
          <w:i/>
          <w:iCs/>
          <w:sz w:val="22"/>
          <w:szCs w:val="22"/>
          <w:u w:val="single"/>
        </w:rPr>
        <w:t>creative real estate</w:t>
      </w:r>
      <w:r w:rsidRPr="003871E1">
        <w:rPr>
          <w:rStyle w:val="StyleUnderline"/>
        </w:rPr>
        <w:t>" or "</w:t>
      </w:r>
      <w:r w:rsidRPr="00A9397A">
        <w:rPr>
          <w:rStyle w:val="A3"/>
          <w:rFonts w:asciiTheme="minorHAnsi" w:hAnsiTheme="minorHAnsi" w:cstheme="minorHAnsi"/>
          <w:i/>
          <w:iCs/>
          <w:sz w:val="22"/>
          <w:szCs w:val="22"/>
          <w:u w:val="single"/>
        </w:rPr>
        <w:t>creative yards</w:t>
      </w:r>
      <w:r w:rsidRPr="003871E1">
        <w:rPr>
          <w:rStyle w:val="StyleUnderline"/>
        </w:rPr>
        <w:t>". We come from squatted housed, stuffy rehearsal rooms, we started clubs in damp cel</w:t>
      </w:r>
      <w:r w:rsidRPr="003871E1">
        <w:rPr>
          <w:rStyle w:val="StyleUnderline"/>
        </w:rPr>
        <w:softHyphen/>
        <w:t>lars and in empty department stores. Our studios were in abandoned admin</w:t>
      </w:r>
      <w:r w:rsidRPr="003871E1">
        <w:rPr>
          <w:rStyle w:val="StyleUnderline"/>
        </w:rPr>
        <w:softHyphen/>
        <w:t>istrative buildings and we preferred un-renovated over renovated buildings because the rent was cheaper. In this city, we have always been on the look out for places that had temporarily fallen off the market – because we could be freer there, more autonomous, more independent. And we don't want to increase their value now</w:t>
      </w:r>
      <w:r w:rsidRPr="00A9397A">
        <w:rPr>
          <w:rStyle w:val="A3"/>
          <w:rFonts w:asciiTheme="minorHAnsi" w:hAnsiTheme="minorHAnsi" w:cstheme="minorHAnsi"/>
          <w:sz w:val="16"/>
          <w:szCs w:val="22"/>
        </w:rPr>
        <w:t>. We don't want to discuss "</w:t>
      </w:r>
      <w:r w:rsidRPr="00A9397A">
        <w:rPr>
          <w:rStyle w:val="A3"/>
          <w:rFonts w:asciiTheme="minorHAnsi" w:hAnsiTheme="minorHAnsi" w:cstheme="minorHAnsi"/>
          <w:i/>
          <w:iCs/>
          <w:sz w:val="16"/>
          <w:szCs w:val="22"/>
        </w:rPr>
        <w:t>how we want to live</w:t>
      </w:r>
      <w:r w:rsidRPr="00A9397A">
        <w:rPr>
          <w:rStyle w:val="A3"/>
          <w:rFonts w:asciiTheme="minorHAnsi" w:hAnsiTheme="minorHAnsi" w:cstheme="minorHAnsi"/>
          <w:sz w:val="16"/>
          <w:szCs w:val="22"/>
        </w:rPr>
        <w:t xml:space="preserve">" in urban development workshops. As far as we are concerned, everything we do in this city has to to with open spaces, alternative ideas, utopias, with undermining the logic of exploitation and location.  </w:t>
      </w:r>
      <w:r w:rsidRPr="00A9397A">
        <w:rPr>
          <w:rStyle w:val="A2"/>
          <w:rFonts w:asciiTheme="minorHAnsi" w:hAnsiTheme="minorHAnsi" w:cstheme="minorHAnsi"/>
          <w:b w:val="0"/>
          <w:sz w:val="16"/>
          <w:szCs w:val="22"/>
        </w:rPr>
        <w:t>We say:</w:t>
      </w:r>
      <w:r w:rsidRPr="00A9397A">
        <w:rPr>
          <w:rStyle w:val="A2"/>
          <w:rFonts w:asciiTheme="minorHAnsi" w:hAnsiTheme="minorHAnsi" w:cstheme="minorHAnsi"/>
          <w:sz w:val="16"/>
          <w:szCs w:val="22"/>
        </w:rPr>
        <w:t xml:space="preserve"> </w:t>
      </w:r>
      <w:r w:rsidRPr="003871E1">
        <w:rPr>
          <w:rStyle w:val="StyleUnderline"/>
        </w:rPr>
        <w:t>A city is not a brand. A city is not a corporation. A city is a community</w:t>
      </w:r>
      <w:r w:rsidRPr="00A9397A">
        <w:rPr>
          <w:rStyle w:val="A3"/>
          <w:rFonts w:asciiTheme="minorHAnsi" w:hAnsiTheme="minorHAnsi" w:cstheme="minorHAnsi"/>
          <w:sz w:val="16"/>
          <w:szCs w:val="22"/>
        </w:rPr>
        <w:t>. We ask the social question which, in cities today, is also about a battle for territory. This is about taking over and defending places that make life worth living in this city, which don't belong to the target group of the "</w:t>
      </w:r>
      <w:r w:rsidRPr="00A9397A">
        <w:rPr>
          <w:rStyle w:val="A3"/>
          <w:rFonts w:asciiTheme="minorHAnsi" w:hAnsiTheme="minorHAnsi" w:cstheme="minorHAnsi"/>
          <w:i/>
          <w:iCs/>
          <w:sz w:val="16"/>
          <w:szCs w:val="22"/>
        </w:rPr>
        <w:t>growing city</w:t>
      </w:r>
      <w:r w:rsidRPr="00A9397A">
        <w:rPr>
          <w:rStyle w:val="A3"/>
          <w:rFonts w:asciiTheme="minorHAnsi" w:hAnsiTheme="minorHAnsi" w:cstheme="minorHAnsi"/>
          <w:sz w:val="16"/>
          <w:szCs w:val="22"/>
        </w:rPr>
        <w:t>". We claim our right to the city – together with all the residents of Hamburg who refuse to be a location factor.</w:t>
      </w:r>
    </w:p>
    <w:p xmlns:wp14="http://schemas.microsoft.com/office/word/2010/wordml" w:rsidR="0082799E" w:rsidP="0082799E" w:rsidRDefault="0082799E" w14:paraId="23DE523C" wp14:textId="77777777"/>
    <w:p xmlns:wp14="http://schemas.microsoft.com/office/word/2010/wordml" w:rsidRPr="00916424" w:rsidR="0082799E" w:rsidP="0082799E" w:rsidRDefault="0082799E" w14:paraId="151892F3" wp14:textId="77777777">
      <w:pPr>
        <w:pStyle w:val="Heading3"/>
      </w:pPr>
      <w:r>
        <w:lastRenderedPageBreak/>
        <w:t>Visibility K</w:t>
      </w:r>
      <w:r w:rsidR="00243810">
        <w:t>--</w:t>
      </w:r>
      <w:r w:rsidRPr="00916424">
        <w:t>L: Spectatorship</w:t>
      </w:r>
    </w:p>
    <w:p xmlns:wp14="http://schemas.microsoft.com/office/word/2010/wordml" w:rsidRPr="00A965EA" w:rsidR="0082799E" w:rsidP="0082799E" w:rsidRDefault="0082799E" w14:paraId="0E4527AF" wp14:textId="77777777">
      <w:pPr>
        <w:pStyle w:val="Heading4"/>
        <w:rPr>
          <w:rFonts w:cs="Arial"/>
        </w:rPr>
      </w:pPr>
      <w:r>
        <w:rPr>
          <w:rFonts w:cs="Arial"/>
        </w:rPr>
        <w:t>Street art presents a dilemma of visibility – requiring a spectator to see graffiti re-centers authority, granted with the power to view and grant aesthetic relevance to it</w:t>
      </w:r>
    </w:p>
    <w:p xmlns:wp14="http://schemas.microsoft.com/office/word/2010/wordml" w:rsidRPr="00F40210" w:rsidR="0082799E" w:rsidP="0082799E" w:rsidRDefault="0082799E" w14:paraId="0FB8F6ED" wp14:textId="77777777">
      <w:r w:rsidRPr="00F40210">
        <w:rPr>
          <w:rStyle w:val="Style13ptBold"/>
        </w:rPr>
        <w:t>Innis 15</w:t>
      </w:r>
      <w:r w:rsidRPr="00F40210">
        <w:t xml:space="preserve"> (Robert E,. Professor Emeritus of Philisophy at the University of Massachusetts Lowell and Obel Foundation Visiting Professor at the Niels Bohr for Center for Cultural Psychology at Aalborg University.  Resisting Forms: Prolegomena to an Aesthetics of Resistance. (71-72) Located in the book, Street Art of Resistance edited by Sarah H. Award and Brady Wagoner. 2015) /// ONW</w:t>
      </w:r>
    </w:p>
    <w:p xmlns:wp14="http://schemas.microsoft.com/office/word/2010/wordml" w:rsidRPr="00A965EA" w:rsidR="0082799E" w:rsidP="0082799E" w:rsidRDefault="0082799E" w14:paraId="04E1842F" wp14:textId="77777777">
      <w:pPr>
        <w:tabs>
          <w:tab w:val="left" w:pos="1941"/>
        </w:tabs>
        <w:rPr>
          <w:rStyle w:val="StyleUnderline"/>
        </w:rPr>
      </w:pPr>
      <w:r w:rsidRPr="00A965EA">
        <w:rPr>
          <w:sz w:val="16"/>
        </w:rPr>
        <w:t xml:space="preserve">But </w:t>
      </w:r>
      <w:r w:rsidRPr="00A965EA">
        <w:rPr>
          <w:rStyle w:val="StyleUnderline"/>
        </w:rPr>
        <w:t xml:space="preserve">this “original seizure” in the case of graffiti and street art is meant to both lead to and demand “subsequent critical discrimination” </w:t>
      </w:r>
      <w:r w:rsidRPr="00A965EA">
        <w:rPr>
          <w:sz w:val="16"/>
        </w:rPr>
        <w:t xml:space="preserve">(p. 151) </w:t>
      </w:r>
      <w:r w:rsidRPr="00A965EA">
        <w:rPr>
          <w:rStyle w:val="StyleUnderline"/>
        </w:rPr>
        <w:t>and not just about its purely aesthetic work and worth. It is not primarily the mere fact of graffiti’s and street art’s existence, but their at times seemingly random placement such that they elicit a kind of “total response” that effects a “total organic resonance”</w:t>
      </w:r>
      <w:r w:rsidRPr="00A965EA">
        <w:rPr>
          <w:sz w:val="16"/>
        </w:rPr>
        <w:t xml:space="preserve"> (p. 127), </w:t>
      </w:r>
      <w:r w:rsidRPr="00A965EA">
        <w:rPr>
          <w:rStyle w:val="StyleUnderline"/>
        </w:rPr>
        <w:t xml:space="preserve">rooted in the body-in-a- situation/environment in which one moves. </w:t>
      </w:r>
      <w:r w:rsidRPr="00A965EA">
        <w:rPr>
          <w:sz w:val="16"/>
        </w:rPr>
        <w:t xml:space="preserve">Such forms are encountered “in passing” and their effect is not just singular, but spread out into the field of experience in which one is both actor and acted upon. While, as Dewey puts it, “the bustle and ado of modern life render nicety of  placement the feature most difficult for artists to achieve” (p. 220), this is even more of a problem for graffiti artists and especially for those street artists whose works are “authorized.” </w:t>
      </w:r>
      <w:r w:rsidRPr="00A965EA">
        <w:rPr>
          <w:rStyle w:val="StyleUnderline"/>
        </w:rPr>
        <w:t>Where are they going to “place” their works? The problem is of visibility. But the more visible the more likely to be scrubbed away. The less visible the more evident that the authorities are either not aware of these products or discount them by reason of their limited availability to a motivated audience, which it is trying to inspire and create.</w:t>
      </w:r>
      <w:r w:rsidRPr="00A965EA">
        <w:rPr>
          <w:sz w:val="16"/>
        </w:rPr>
        <w:t xml:space="preserve"> It is </w:t>
      </w:r>
      <w:r w:rsidRPr="00A965EA">
        <w:rPr>
          <w:rStyle w:val="StyleUnderline"/>
        </w:rPr>
        <w:t xml:space="preserve">this “in passing” character that makes the arts of resistances an “art of dispersal” that by its very “decenteredness” imposes on us, the perceivers, severe perceptual demands. </w:t>
      </w:r>
      <w:r w:rsidRPr="00A965EA">
        <w:rPr>
          <w:sz w:val="16"/>
        </w:rPr>
        <w:t xml:space="preserve">Arts of resistance are, as I have pointed out, “occasioned art” and in another sense “environmental art.” We do not just respond to them. We respond to, are oriented toward, what they are themselves responding to. And we do not go to them. They come to us by their location in the environment, a museum of walls, which the arts of resistance have made their own. But, in spite of their physical presence, and even their powerful messages, the aesthetic, as opposed to the political, status of the arts of resistance is not self-evident. </w:t>
      </w:r>
      <w:r w:rsidRPr="00A965EA">
        <w:rPr>
          <w:rStyle w:val="StyleUnderline"/>
        </w:rPr>
        <w:t>We need some sort of criteria to sort the aesthetically relevant from the visual rubbish that surrounds us. It is precisely the recognition that so many are forced to live lives that do not have such fulfilling conclusions that leads to graffiti and street art and, paradoxically, to their having forms beyond the mere fact of opposition and resistance.</w:t>
      </w:r>
    </w:p>
    <w:p xmlns:wp14="http://schemas.microsoft.com/office/word/2010/wordml" w:rsidRPr="001641E7" w:rsidR="001860AB" w:rsidP="001860AB" w:rsidRDefault="001860AB" w14:paraId="157C4514" wp14:textId="77777777">
      <w:pPr>
        <w:pStyle w:val="Heading1"/>
        <w:rPr>
          <w:rFonts w:cs="Arial"/>
        </w:rPr>
      </w:pPr>
      <w:r w:rsidRPr="001641E7">
        <w:rPr>
          <w:rFonts w:cs="Arial"/>
        </w:rPr>
        <w:lastRenderedPageBreak/>
        <w:t>Immigration Contagion AFF</w:t>
      </w:r>
    </w:p>
    <w:p xmlns:wp14="http://schemas.microsoft.com/office/word/2010/wordml" w:rsidRPr="001641E7" w:rsidR="001860AB" w:rsidP="001860AB" w:rsidRDefault="001860AB" w14:paraId="08AACAFB" wp14:textId="77777777">
      <w:pPr>
        <w:pStyle w:val="Heading2"/>
        <w:rPr>
          <w:rFonts w:cs="Arial"/>
        </w:rPr>
      </w:pPr>
      <w:r w:rsidRPr="001641E7">
        <w:rPr>
          <w:rFonts w:cs="Arial"/>
        </w:rPr>
        <w:lastRenderedPageBreak/>
        <w:t>1AC</w:t>
      </w:r>
    </w:p>
    <w:p xmlns:wp14="http://schemas.microsoft.com/office/word/2010/wordml" w:rsidRPr="001641E7" w:rsidR="001860AB" w:rsidP="001860AB" w:rsidRDefault="001860AB" w14:paraId="4B9405E4" wp14:textId="77777777">
      <w:pPr>
        <w:pStyle w:val="Heading4"/>
        <w:rPr>
          <w:rFonts w:cs="Arial"/>
        </w:rPr>
      </w:pPr>
      <w:r w:rsidRPr="001641E7">
        <w:rPr>
          <w:rFonts w:cs="Arial"/>
        </w:rPr>
        <w:t>On June 19, Trump tweeted “"Democrats are the problem, they don't care about crime and want illegal immigrants, no matter how bad they may be, to pour into and infest our Country, like MS-13. They can't win on their terrible policies, so they view them as potential voters!"</w:t>
      </w:r>
    </w:p>
    <w:p xmlns:wp14="http://schemas.microsoft.com/office/word/2010/wordml" w:rsidRPr="001641E7" w:rsidR="001860AB" w:rsidP="001860AB" w:rsidRDefault="001860AB" w14:paraId="09880541" wp14:textId="77777777">
      <w:r w:rsidRPr="001641E7">
        <w:t>(https://twitter.com/realdonaldtrump/status/1009071403918864385?lang=en)</w:t>
      </w:r>
    </w:p>
    <w:p xmlns:wp14="http://schemas.microsoft.com/office/word/2010/wordml" w:rsidRPr="001641E7" w:rsidR="001860AB" w:rsidP="001860AB" w:rsidRDefault="001860AB" w14:paraId="13894290" wp14:textId="77777777">
      <w:pPr>
        <w:pStyle w:val="Heading4"/>
        <w:rPr>
          <w:rFonts w:cs="Arial"/>
        </w:rPr>
      </w:pPr>
      <w:r w:rsidRPr="001641E7">
        <w:rPr>
          <w:rFonts w:cs="Arial"/>
        </w:rPr>
        <w:t xml:space="preserve">The language of contagion sets the nation and the state apparatus as the locus of the political, animating a specter of the toxic immigrant against which the health of the body politic must be secured through immunization – the careful selection of desirable immigrants through progressive immigration reform.  </w:t>
      </w:r>
    </w:p>
    <w:p xmlns:wp14="http://schemas.microsoft.com/office/word/2010/wordml" w:rsidRPr="001641E7" w:rsidR="001860AB" w:rsidP="001860AB" w:rsidRDefault="001860AB" w14:paraId="52E56223" wp14:textId="77777777"/>
    <w:p xmlns:wp14="http://schemas.microsoft.com/office/word/2010/wordml" w:rsidRPr="001641E7" w:rsidR="001860AB" w:rsidP="001860AB" w:rsidRDefault="001860AB" w14:paraId="727D740C" wp14:textId="77777777">
      <w:pPr>
        <w:pStyle w:val="Heading4"/>
        <w:rPr>
          <w:rFonts w:cs="Arial"/>
        </w:rPr>
      </w:pPr>
      <w:r w:rsidRPr="001641E7">
        <w:rPr>
          <w:rFonts w:cs="Arial"/>
        </w:rPr>
        <w:t>Disability is at the heart of immigration policy – immigrants are figured as populations of defectiveness thus linking immigration law with eugenics predicated on ability and race.</w:t>
      </w:r>
    </w:p>
    <w:p xmlns:wp14="http://schemas.microsoft.com/office/word/2010/wordml" w:rsidRPr="001641E7" w:rsidR="001860AB" w:rsidP="001860AB" w:rsidRDefault="001860AB" w14:paraId="57E3A686" wp14:textId="77777777">
      <w:r w:rsidRPr="001641E7">
        <w:rPr>
          <w:rStyle w:val="Style13ptBold"/>
        </w:rPr>
        <w:t>Baynton 16</w:t>
      </w:r>
      <w:r w:rsidRPr="001641E7">
        <w:rPr>
          <w:b/>
          <w:sz w:val="24"/>
        </w:rPr>
        <w:t xml:space="preserve"> </w:t>
      </w:r>
      <w:r w:rsidRPr="001641E7">
        <w:t xml:space="preserve">(Douglas C. Ph.D. Professor of American Cultural History, Hisotry of Disability, and American Sign Language at the Iowa College of Liberal Science. Former Smithsonian Institutional Postdoctoral Fellow. The University of Chicago Press: Defective in the Land: Disability and American Immigration in the Age of Eugenics. 2016 ) // ONW </w:t>
      </w:r>
    </w:p>
    <w:p xmlns:wp14="http://schemas.microsoft.com/office/word/2010/wordml" w:rsidRPr="001641E7" w:rsidR="001860AB" w:rsidP="001860AB" w:rsidRDefault="001860AB" w14:paraId="3B8CB45B" wp14:textId="77777777">
      <w:pPr>
        <w:rPr>
          <w:sz w:val="10"/>
        </w:rPr>
      </w:pPr>
      <w:r w:rsidRPr="001641E7">
        <w:rPr>
          <w:sz w:val="10"/>
          <w:szCs w:val="16"/>
        </w:rPr>
        <w:t>SOPHIE FUKO OF Hungary embarked from Hamburg aboard the S S Kaiserin Auguste Victoria in late November 1912, with her six-year-old son, Kaiman. Fuko's husband had died four years earlier and now, at the age of 46, with no remaining relatives in her native land, she had decided to emigrate to the United States to join her two adult sons, Laszlo and Bela. She and Kaiman arrived at Ellis Island December 4. They immediately encountered difficulties. The medical inspectors certified Sophie Fuko as "practically blind in right eye," her son as "afflicted with deaf mutism," and therefore both of them as "likely to become public charges." When their hearing before the Board of Special Inquiry was held four days later, Fuko's adult sons were there to testify on her behalf. Fukotes tified that she had $20 with her and had been self-supporting in Hungary as a housekeeper. Her sons Laszlo and Bela testified that they were employed and earning decent wages. They had spent $170 for a second-class cabin for their mother and brother and $100 to furnish a home for them, as well as paying for the passage from Hungary for Bela's wife and child who were due to arrive soon. Ordinarily, the family's finances would have been more than sufficient, but for the medical certificates. The Board ruled that Fuko and her son were "suffering from physical defects, the nature of which will affect their ability to earn a living" and were therefore "likely to become public charges." It ordered them deported, informing her of her right to appeal to the Secretary of the Department of Commerce and Labor. Fuko did appeal. In her letter to the Secretary, she said that her sons were prepared to furnish bonds guaranteeing that she and her son would not become public charges. She added that while she had little cash, she owned a house in her native town that she would soon sell, "promisery [sic] notes" on which she would soon collect, and a substantial life insurance policy covering herself and her young son. In addition, she claimed that her son was neither deaf nor mute, but could hear when spoken to loudly and that "of late he begain [sic] to talk very nicely." He could also read and write. Finally, she appealed to the Secretary's sympathy by stressing that she had no one left in Hungary to return to, that her only family was here in the United States. William Williams, the Commissioner of Immigration at Ellis Island, had built a reputation as a strict enforcer of the immigration laws, particularly those related to physical and mental defects. He urged the Secretary to dismiss Fuko's appeal, because "her child will always be physically defective, and it would be improper to admit merely because of the relatives here." The Commissioner General of the Bureau of Immigration agreed, saying that "the Bureau does not think the mere presence here of two sons affords any good ground for admitting these physically defective aliens." The Secretary, deferring as he usually did to the Commissioner of the station and the Commissioner General when they were in agree ment, dismissed the appeal. Sophie Fuko and her son were put aboard the USS Pennsylvania on December 21 and returned to an unknown fate in Hungary.1 One of the driving forces behind early federal immigration law, beginning with the first major Immigration Act in 1882, was the exclusion of people with mental and physical defects (as well as those considered crim inal or immoral, problems seen at the time as closely related to mental defect). Congressional legislation throughout this period repeatedly, and with ever increasing urgency, identified defective immigrants as a threat to the nation.</w:t>
      </w:r>
      <w:r w:rsidRPr="001641E7">
        <w:rPr>
          <w:sz w:val="10"/>
        </w:rPr>
        <w:t xml:space="preserve"> </w:t>
      </w:r>
      <w:r w:rsidRPr="001641E7">
        <w:rPr>
          <w:rStyle w:val="StyleUnderline"/>
        </w:rPr>
        <w:t>The desire to keep out immigrants deemed defective was not a isolated development, but rather was one aspect of a trend toward the increasing segregation of disabled people into institutions and the sterilization of the "unfit" and "degenerate" under state eugenic laws. While anti-immigrant sentiment in the United States has long been a significant area of scholarly research, disability has held a marginal place in that scholarship.</w:t>
      </w:r>
      <w:r w:rsidRPr="001641E7">
        <w:rPr>
          <w:sz w:val="10"/>
        </w:rPr>
        <w:t xml:space="preserve"> </w:t>
      </w:r>
      <w:r w:rsidRPr="001641E7">
        <w:rPr>
          <w:rStyle w:val="StyleUnderline"/>
        </w:rPr>
        <w:t>John Higham's Strangers in the Land identified three main currents of anti-immigrant sentiment: anti-Catholicism, fear of foreign radicals, and racial nativism.</w:t>
      </w:r>
      <w:r w:rsidRPr="001641E7">
        <w:rPr>
          <w:sz w:val="10"/>
        </w:rPr>
        <w:t xml:space="preserve"> Roger Daniels stated in Coming to America that "</w:t>
      </w:r>
      <w:r w:rsidRPr="001641E7">
        <w:rPr>
          <w:rStyle w:val="StyleUnderline"/>
        </w:rPr>
        <w:t>by 1917 the immigration policy of the United States had been restricted in seven major ways," with admission being denied to "Asians . . .; criminals; persons who failed to meet certain moral standards; persons with various diseases; paupers; assorted radicals; and illiterates."</w:t>
      </w:r>
      <w:r w:rsidRPr="001641E7">
        <w:rPr>
          <w:b/>
          <w:sz w:val="10"/>
        </w:rPr>
        <w:t xml:space="preserve"> </w:t>
      </w:r>
      <w:r w:rsidRPr="001641E7">
        <w:rPr>
          <w:sz w:val="10"/>
        </w:rPr>
        <w:t xml:space="preserve">Alan Kraut's Silent Travelers and Amy Fairchild's recent book, Science at the Borders, brought a welcome focus to medical inspection, but did not examine communicable disease and disability as distinct issues, nor explore the cultural stigmatization of disability that formed the background to these laws.2 Sophie Fuko does not fit into any of the categories that historians of immigration policy have described as fundamental to anti-immigrant sentiment or the enactment of exclusionary immigration policies in the United States. Though she had little money at hand, she was by no definition a pauper. Neither she nor her son was a carrier of disease. </w:t>
      </w:r>
      <w:r w:rsidRPr="001641E7">
        <w:rPr>
          <w:rStyle w:val="StyleUnderline"/>
        </w:rPr>
        <w:t>The only charge against</w:t>
      </w:r>
      <w:r w:rsidRPr="001641E7">
        <w:rPr>
          <w:sz w:val="10"/>
        </w:rPr>
        <w:t xml:space="preserve"> Fuko, and many other similar</w:t>
      </w:r>
      <w:r w:rsidRPr="001641E7">
        <w:rPr>
          <w:b/>
          <w:sz w:val="10"/>
        </w:rPr>
        <w:t xml:space="preserve"> </w:t>
      </w:r>
      <w:r w:rsidRPr="001641E7">
        <w:rPr>
          <w:rStyle w:val="StyleUnderline"/>
        </w:rPr>
        <w:t>immigrants, was that they were defective</w:t>
      </w:r>
      <w:r w:rsidRPr="001641E7">
        <w:rPr>
          <w:b/>
          <w:sz w:val="10"/>
        </w:rPr>
        <w:t xml:space="preserve">. </w:t>
      </w:r>
      <w:r w:rsidRPr="001641E7">
        <w:rPr>
          <w:sz w:val="10"/>
        </w:rPr>
        <w:t xml:space="preserve">Countless other immigrants passed through Ellis Island with fewer financial resources, no family in the United States to turn to in case of difficulty, and certainly less poignant personal </w:t>
      </w:r>
      <w:r w:rsidRPr="001641E7">
        <w:rPr>
          <w:sz w:val="10"/>
        </w:rPr>
        <w:lastRenderedPageBreak/>
        <w:t xml:space="preserve">circumstances. </w:t>
      </w:r>
      <w:r w:rsidRPr="001641E7">
        <w:rPr>
          <w:rStyle w:val="StyleUnderline"/>
          <w:highlight w:val="green"/>
        </w:rPr>
        <w:t>Disability was a crucial factor in deciding whether an immigrant would be allowed to enter the United States. The first major immigration law, the Act of 1882, prohibited entry to any "lunatic, idiot, or any person unable to take care of himself or herself without becoming a public charge."</w:t>
      </w:r>
      <w:r w:rsidRPr="001641E7">
        <w:rPr>
          <w:rStyle w:val="StyleUnderline"/>
        </w:rPr>
        <w:t xml:space="preserve"> Those placed in the categories "</w:t>
      </w:r>
      <w:r w:rsidRPr="001641E7">
        <w:rPr>
          <w:sz w:val="10"/>
        </w:rPr>
        <w:t>lunatic" or "idiot"</w:t>
      </w:r>
      <w:r w:rsidRPr="001641E7">
        <w:rPr>
          <w:rStyle w:val="StyleUnderline"/>
        </w:rPr>
        <w:t xml:space="preserve"> were automatically excluded. The </w:t>
      </w:r>
      <w:r w:rsidRPr="001641E7">
        <w:rPr>
          <w:rStyle w:val="StyleUnderline"/>
          <w:highlight w:val="green"/>
        </w:rPr>
        <w:t>"public charge"</w:t>
      </w:r>
      <w:r w:rsidRPr="001641E7">
        <w:rPr>
          <w:rStyle w:val="StyleUnderline"/>
        </w:rPr>
        <w:t xml:space="preserve"> provision was intended to encompass individuals with disabilities more generally, and </w:t>
      </w:r>
      <w:r w:rsidRPr="001641E7">
        <w:rPr>
          <w:rStyle w:val="StyleUnderline"/>
          <w:highlight w:val="green"/>
        </w:rPr>
        <w:t>was left to the examining officer's discretion.</w:t>
      </w:r>
      <w:r w:rsidRPr="001641E7">
        <w:rPr>
          <w:rStyle w:val="StyleUnderline"/>
        </w:rPr>
        <w:t xml:space="preserve">3 The criteria for excluding disabled persons were steadily tightened as the eugenics movement and popular fears about the decline of the national stock gathered strength. The Act of 1891 replaced the phrase "unable to take care of himself or herself without becoming a public charge," with "likely to become a public charge." The 1907 law then required a medical certificate for anyone judged "mentally or physically defective, such mental or physical defect being of a nature which may affect the ability of such alien to earn a living." While nondisabled immigrants continued to be admitted unless found to be "likely to become a public charge," </w:t>
      </w:r>
      <w:r w:rsidRPr="001641E7">
        <w:rPr>
          <w:sz w:val="10"/>
        </w:rPr>
        <w:t xml:space="preserve">disabled people were subject to this more rigorous standard.4 Exclusions for mental defect were steadily expanded. In 1903 people with epilepsy were added, as well as "persons who have been insane within five years previous [or] who have had two or more attacks of in sanity at any time previously." In 1907 "imbeciles" and "feeble-minded persons" had been barred, in addition to "idiots." In 1917 the classification of "constitutional psychopathic inferiority" was added, which inspection regulations described as including "various unstable individuals on the border line between sanity and insanity, such as . . . persons with abnormal sex instincts." </w:t>
      </w:r>
      <w:r w:rsidRPr="001641E7">
        <w:rPr>
          <w:rStyle w:val="StyleUnderline"/>
        </w:rPr>
        <w:t>Officials were instructed to exclude persons with "any mental abnormality whatever . . . which justifies the statement that the alien is mentally defective." This provision</w:t>
      </w:r>
      <w:r w:rsidRPr="001641E7">
        <w:rPr>
          <w:sz w:val="10"/>
        </w:rPr>
        <w:t xml:space="preserve">, the regulations explain, </w:t>
      </w:r>
      <w:r w:rsidRPr="001641E7">
        <w:rPr>
          <w:rStyle w:val="StyleUnderline"/>
        </w:rPr>
        <w:t>was intended "as a means of excluding aliens of a mentally inferior type, not comprehended in the other provisions of the law, without being under the necessity, as formerly, of showing that they have a defect which may affect their ability to earn a living</w:t>
      </w:r>
      <w:r w:rsidRPr="001641E7">
        <w:rPr>
          <w:b/>
          <w:sz w:val="10"/>
        </w:rPr>
        <w:t>."</w:t>
      </w:r>
      <w:r w:rsidRPr="001641E7">
        <w:rPr>
          <w:sz w:val="10"/>
        </w:rPr>
        <w:t xml:space="preserve">5 </w:t>
      </w:r>
      <w:r w:rsidRPr="001641E7">
        <w:rPr>
          <w:rStyle w:val="StyleUnderline"/>
        </w:rPr>
        <w:t>The rules governing exclusion for physical disabilities were equally vague and expansive. Regulations instructed inspectors that "each individual should be seen first at rest and then in motion," in order to detect "irregularities in movement" and "abnormalities of any description."</w:t>
      </w:r>
      <w:r w:rsidRPr="001641E7">
        <w:rPr>
          <w:sz w:val="10"/>
        </w:rPr>
        <w:t xml:space="preserve"> </w:t>
      </w:r>
      <w:r w:rsidRPr="001641E7">
        <w:rPr>
          <w:rStyle w:val="StyleUnderline"/>
        </w:rPr>
        <w:t>It listed defects that could be cause for exclusion, a few examples of which were arthritis, asthma, bunions, deafness, deformities, flat feet, heart dis ease, hernia, hysteria, poor eyesight, poor physical development, spinal curvature, vascular disease of the heart, and varicose veins</w:t>
      </w:r>
      <w:r w:rsidRPr="001641E7">
        <w:rPr>
          <w:sz w:val="10"/>
        </w:rPr>
        <w:t xml:space="preserve">.6 An Ellis Island </w:t>
      </w:r>
      <w:r w:rsidRPr="001641E7">
        <w:rPr>
          <w:rStyle w:val="StyleUnderline"/>
        </w:rPr>
        <w:t xml:space="preserve">medical inspector </w:t>
      </w:r>
      <w:r w:rsidRPr="001641E7">
        <w:rPr>
          <w:sz w:val="10"/>
        </w:rPr>
        <w:t xml:space="preserve">later </w:t>
      </w:r>
      <w:r w:rsidRPr="001641E7">
        <w:rPr>
          <w:rStyle w:val="StyleUnderline"/>
        </w:rPr>
        <w:t>wrote that his task was "to detect poorly built, defective or broken down human beings."7 In short, the exclusion of disabled people was central to the laws governing immigration.</w:t>
      </w:r>
      <w:r w:rsidRPr="001641E7">
        <w:rPr>
          <w:sz w:val="10"/>
        </w:rPr>
        <w:t xml:space="preserve"> As the Commissioner General of Immigration reported in 1907, </w:t>
      </w:r>
      <w:r w:rsidRPr="001641E7">
        <w:rPr>
          <w:rStyle w:val="StyleUnderline"/>
        </w:rPr>
        <w:t>"</w:t>
      </w:r>
      <w:r w:rsidRPr="001641E7">
        <w:rPr>
          <w:rStyle w:val="StyleUnderline"/>
          <w:highlight w:val="green"/>
        </w:rPr>
        <w:t>The exclusion from this country of the morally, mentally, and physically deficient is the principal object to be accomplished by</w:t>
      </w:r>
      <w:r w:rsidRPr="001641E7">
        <w:rPr>
          <w:rStyle w:val="StyleUnderline"/>
        </w:rPr>
        <w:t xml:space="preserve"> the </w:t>
      </w:r>
      <w:r w:rsidRPr="001641E7">
        <w:rPr>
          <w:rStyle w:val="StyleUnderline"/>
          <w:highlight w:val="green"/>
        </w:rPr>
        <w:t>immigration laws."</w:t>
      </w:r>
      <w:r w:rsidRPr="001641E7">
        <w:rPr>
          <w:sz w:val="10"/>
        </w:rPr>
        <w:t xml:space="preserve">8 </w:t>
      </w:r>
      <w:r w:rsidRPr="001641E7">
        <w:rPr>
          <w:rStyle w:val="StyleUnderline"/>
        </w:rPr>
        <w:t>These laws were usually presented as simply a matter of economics</w:t>
      </w:r>
      <w:r w:rsidRPr="001641E7">
        <w:rPr>
          <w:sz w:val="10"/>
        </w:rPr>
        <w:t xml:space="preserve">. The issue, however, was rarely so straightforward. </w:t>
      </w:r>
      <w:r w:rsidRPr="001641E7">
        <w:rPr>
          <w:rStyle w:val="StyleUnderline"/>
        </w:rPr>
        <w:t>Many rejected immigrants had been self-supporting in their home countries.</w:t>
      </w:r>
      <w:r w:rsidRPr="001641E7">
        <w:rPr>
          <w:sz w:val="10"/>
        </w:rPr>
        <w:t xml:space="preserve"> Others received job offers while awaiting their hearing, but still were deported as likely to become public charges. More importantly, to the extent that some people with dis abilities might indeed encounter difficulties in finding employment, </w:t>
      </w:r>
      <w:r w:rsidRPr="001641E7">
        <w:rPr>
          <w:rStyle w:val="StyleUnderline"/>
        </w:rPr>
        <w:t>the public charge law also assumes that the unemployment or underemployment of disabled people is a problem centered in bodies rather than in the relationship between particular bodies and the constructed physical and social environments in which they live.</w:t>
      </w:r>
      <w:r w:rsidRPr="001641E7">
        <w:rPr>
          <w:sz w:val="10"/>
        </w:rPr>
        <w:t xml:space="preserve"> This may have been the only practical assumption for immigration officials, but historians should put immigration restriction into context as one element in a larger system of dis crimination that made it difficult for disabled people to live and move about independently. </w:t>
      </w:r>
      <w:r w:rsidRPr="001641E7">
        <w:rPr>
          <w:rStyle w:val="StyleUnderline"/>
        </w:rPr>
        <w:t>Leaving aside, however, complex questions of what factors made</w:t>
      </w:r>
      <w:r w:rsidRPr="001641E7">
        <w:rPr>
          <w:sz w:val="10"/>
        </w:rPr>
        <w:t xml:space="preserve"> (and still make) </w:t>
      </w:r>
      <w:r w:rsidRPr="001641E7">
        <w:rPr>
          <w:rStyle w:val="StyleUnderline"/>
        </w:rPr>
        <w:t>it difficult for disabled people to find work, the economic explanation for exclusion remains an incomplete one. Two examples of the mixed motives and reasoning that went into these exclusions were the diagnoses "poor physique" and "lack of sexual development."</w:t>
      </w:r>
      <w:r w:rsidRPr="001641E7">
        <w:rPr>
          <w:sz w:val="10"/>
        </w:rPr>
        <w:t xml:space="preserve"> In his Annual Report of 1904, </w:t>
      </w:r>
      <w:r w:rsidRPr="001641E7">
        <w:rPr>
          <w:rStyle w:val="StyleUnderline"/>
        </w:rPr>
        <w:t>the Commissioner of Ellis Island,</w:t>
      </w:r>
      <w:r w:rsidRPr="001641E7">
        <w:rPr>
          <w:sz w:val="10"/>
        </w:rPr>
        <w:t xml:space="preserve"> William Williams, </w:t>
      </w:r>
      <w:r w:rsidRPr="001641E7">
        <w:rPr>
          <w:rStyle w:val="StyleUnderline"/>
        </w:rPr>
        <w:t>suggested that the country was "receiving too many immigrants whose physical condition is poor.</w:t>
      </w:r>
      <w:r w:rsidRPr="001641E7">
        <w:rPr>
          <w:b/>
          <w:sz w:val="10"/>
        </w:rPr>
        <w:t>"</w:t>
      </w:r>
      <w:r w:rsidRPr="001641E7">
        <w:rPr>
          <w:sz w:val="10"/>
        </w:rPr>
        <w:t xml:space="preserve"> The only disabled persons specifically excluded under law at that time were idiots, insane persons, and epileptics (the category of "physical and mental defects" came in 1907). As Williams explained, to exclude immigrants certified with physical impairments required finding that they were likely to become public charges, "yet it is obviously impossible to exclude on this ground all per sons whose physical condition is poor." </w:t>
      </w:r>
      <w:r w:rsidRPr="001641E7">
        <w:rPr>
          <w:rStyle w:val="StyleUnderline"/>
        </w:rPr>
        <w:t>He urged that the exclusion of immigrants certified as having "poor physique" be made mandatory in all case</w:t>
      </w:r>
      <w:r w:rsidRPr="001641E7">
        <w:rPr>
          <w:sz w:val="10"/>
        </w:rPr>
        <w:t xml:space="preserve">s.9 Soon thereafter, Robert DeCourcey Ward of the </w:t>
      </w:r>
      <w:r w:rsidRPr="001641E7">
        <w:rPr>
          <w:sz w:val="10"/>
        </w:rPr>
        <w:lastRenderedPageBreak/>
        <w:t xml:space="preserve">Immigration Restriction League wrote to the Commissioner General of Immigration, Frank Sargent, urging him to take up Williams's cause before Congress.10 </w:t>
      </w:r>
      <w:r w:rsidRPr="001641E7">
        <w:rPr>
          <w:rStyle w:val="StyleUnderline"/>
        </w:rPr>
        <w:t xml:space="preserve">The specific diagnostic category was </w:t>
      </w:r>
      <w:r w:rsidRPr="001641E7">
        <w:rPr>
          <w:rStyle w:val="StyleUnderline"/>
          <w:highlight w:val="green"/>
        </w:rPr>
        <w:t>never embodied in law,</w:t>
      </w:r>
      <w:r w:rsidRPr="001641E7">
        <w:rPr>
          <w:rStyle w:val="StyleUnderline"/>
        </w:rPr>
        <w:t xml:space="preserve"> but within a year </w:t>
      </w:r>
      <w:r w:rsidRPr="001641E7">
        <w:rPr>
          <w:rStyle w:val="StyleUnderline"/>
          <w:highlight w:val="green"/>
        </w:rPr>
        <w:t>"poor physique" was</w:t>
      </w:r>
      <w:r w:rsidRPr="001641E7">
        <w:rPr>
          <w:rStyle w:val="StyleUnderline"/>
        </w:rPr>
        <w:t xml:space="preserve"> being </w:t>
      </w:r>
      <w:r w:rsidRPr="001641E7">
        <w:rPr>
          <w:rStyle w:val="StyleUnderline"/>
          <w:highlight w:val="green"/>
        </w:rPr>
        <w:t>widely used as a diagnosis by immigration officials to exclude immigrants</w:t>
      </w:r>
      <w:r w:rsidRPr="001641E7">
        <w:rPr>
          <w:rStyle w:val="StyleUnderline"/>
        </w:rPr>
        <w:t xml:space="preserve"> on grounds of being "likely to become a public charge." The immigration service defined poor physique as covering individuals "who have frail frame, flat chest, and are generally deficient in muscular development," or who are "undersized markedly of short stature?</w:t>
      </w:r>
      <w:r w:rsidRPr="001641E7">
        <w:rPr>
          <w:sz w:val="10"/>
        </w:rPr>
        <w:t xml:space="preserve">dwarf."11 As one </w:t>
      </w:r>
      <w:r w:rsidRPr="001641E7">
        <w:rPr>
          <w:rStyle w:val="StyleUnderline"/>
        </w:rPr>
        <w:t>medical officer explained, the "immigrant of poor physique is not able to perform rough labor, and even if he were able, employers of labor would not hire him."</w:t>
      </w:r>
      <w:r w:rsidRPr="001641E7">
        <w:rPr>
          <w:sz w:val="10"/>
        </w:rPr>
        <w:t>12 That is,</w:t>
      </w:r>
      <w:r w:rsidRPr="001641E7">
        <w:rPr>
          <w:b/>
          <w:sz w:val="10"/>
        </w:rPr>
        <w:t xml:space="preserve"> </w:t>
      </w:r>
      <w:r w:rsidRPr="001641E7">
        <w:rPr>
          <w:rStyle w:val="StyleUnderline"/>
          <w:highlight w:val="green"/>
        </w:rPr>
        <w:t>the belief that an immigrant was unfit to work justified exclusion</w:t>
      </w:r>
      <w:r w:rsidRPr="001641E7">
        <w:rPr>
          <w:rStyle w:val="StyleUnderline"/>
        </w:rPr>
        <w:t xml:space="preserve">, but so did the belief that an immigrant was likely to encounter discrimination because of a disability. </w:t>
      </w:r>
      <w:r w:rsidRPr="001641E7">
        <w:rPr>
          <w:rStyle w:val="StyleUnderline"/>
          <w:highlight w:val="green"/>
        </w:rPr>
        <w:t>Eugenic considerations</w:t>
      </w:r>
      <w:r w:rsidRPr="001641E7">
        <w:rPr>
          <w:rStyle w:val="StyleUnderline"/>
        </w:rPr>
        <w:t xml:space="preserve"> also </w:t>
      </w:r>
      <w:r w:rsidRPr="001641E7">
        <w:rPr>
          <w:rStyle w:val="StyleUnderline"/>
          <w:highlight w:val="green"/>
        </w:rPr>
        <w:t>played an important role in both the creation and the application of immigration law.</w:t>
      </w:r>
      <w:r w:rsidRPr="001641E7">
        <w:rPr>
          <w:sz w:val="10"/>
        </w:rPr>
        <w:t xml:space="preserve"> In a letter to the Commissioner General, </w:t>
      </w:r>
      <w:r w:rsidRPr="001641E7">
        <w:rPr>
          <w:b/>
          <w:sz w:val="10"/>
        </w:rPr>
        <w:t xml:space="preserve">the </w:t>
      </w:r>
      <w:r w:rsidRPr="001641E7">
        <w:rPr>
          <w:rStyle w:val="StyleUnderline"/>
        </w:rPr>
        <w:t xml:space="preserve">Ellis Island Commissioner wrote that the Bureau had "no more important work to perform than that of picking out all mentally defective immigrants, for these are not only likely to join the criminal classes and become public charges, but by leaving feebleminded descendents they start vicious strains which lead to misery and loss in future generations and influence unfavorably the character and lives of hundreds of persons."13 This inter-generational "contagion" of defect worried the Commissioner General about immigrants with "poor physiques." In </w:t>
      </w:r>
      <w:r w:rsidRPr="001641E7">
        <w:rPr>
          <w:rStyle w:val="StyleUnderline"/>
          <w:highlight w:val="green"/>
        </w:rPr>
        <w:t>a 1905 memorandum</w:t>
      </w:r>
      <w:r w:rsidRPr="001641E7">
        <w:rPr>
          <w:rStyle w:val="StyleUnderline"/>
        </w:rPr>
        <w:t xml:space="preserve">, he </w:t>
      </w:r>
      <w:r w:rsidRPr="001641E7">
        <w:rPr>
          <w:rStyle w:val="StyleUnderline"/>
          <w:highlight w:val="green"/>
        </w:rPr>
        <w:t>explained</w:t>
      </w:r>
      <w:r w:rsidRPr="001641E7">
        <w:rPr>
          <w:rStyle w:val="StyleUnderline"/>
        </w:rPr>
        <w:t xml:space="preserve"> that "a certificate of this nature implies that the alien concerned is afflicted with a body but illy adapted ... to the work necessary to earn his bread," and further that </w:t>
      </w:r>
      <w:r w:rsidRPr="001641E7">
        <w:rPr>
          <w:rStyle w:val="StyleUnderline"/>
          <w:highlight w:val="green"/>
        </w:rPr>
        <w:t>the immigrant is "undersized, poorly developed [and] physically degenerate, and as such,</w:t>
      </w:r>
      <w:r w:rsidRPr="001641E7">
        <w:rPr>
          <w:rStyle w:val="StyleUnderline"/>
        </w:rPr>
        <w:t xml:space="preserve"> not only </w:t>
      </w:r>
      <w:r w:rsidRPr="001641E7">
        <w:rPr>
          <w:rStyle w:val="StyleUnderline"/>
          <w:highlight w:val="green"/>
        </w:rPr>
        <w:t>unlikely to become a desirable citizen, but also very likely to transmit his undesirable qualities to his offspring</w:t>
      </w:r>
      <w:r w:rsidRPr="001641E7">
        <w:rPr>
          <w:rStyle w:val="StyleUnderline"/>
        </w:rPr>
        <w:t>, should he unfortunately for the country in which he is domiciled, have any."</w:t>
      </w:r>
      <w:r w:rsidRPr="001641E7">
        <w:rPr>
          <w:sz w:val="10"/>
        </w:rPr>
        <w:t>14</w:t>
      </w:r>
    </w:p>
    <w:p xmlns:wp14="http://schemas.microsoft.com/office/word/2010/wordml" w:rsidRPr="001641E7" w:rsidR="001860AB" w:rsidP="001860AB" w:rsidRDefault="001860AB" w14:paraId="75EFE041" wp14:textId="77777777">
      <w:pPr>
        <w:pStyle w:val="Heading4"/>
        <w:rPr>
          <w:rFonts w:cs="Arial"/>
        </w:rPr>
      </w:pPr>
      <w:r w:rsidRPr="001641E7">
        <w:rPr>
          <w:rFonts w:cs="Arial"/>
        </w:rPr>
        <w:t>The calculus of risk and race continually reproduces toxic expulsion of Othered peoples and places.  US Empire simultaneously figures immigration as a toxic contagion threatening from the inside while placing under erasure the anti-black vectors of toxicity that naturalize poison and criminality to black flesh.  Biopolitical toxicity occurs through an assemblage interwoven with class, race, and ability in the name of protecting the white child and the healthy body politic.  Through discursive and material affects of contamination, US empire is produced and extended.</w:t>
      </w:r>
    </w:p>
    <w:p xmlns:wp14="http://schemas.microsoft.com/office/word/2010/wordml" w:rsidRPr="001641E7" w:rsidR="001860AB" w:rsidP="001860AB" w:rsidRDefault="001860AB" w14:paraId="1DD754E3" wp14:textId="77777777">
      <w:r w:rsidRPr="001641E7">
        <w:rPr>
          <w:rStyle w:val="Style13ptBold"/>
        </w:rPr>
        <w:t>Chen 12</w:t>
      </w:r>
      <w:r w:rsidRPr="001641E7">
        <w:t xml:space="preserve"> [Mel, Assoc. Prof. Gender and Women’s Studies and Vice Chair for Research, Dir. of the Center for the Study of Sexual Culture @ UC Berkeley, Animacies: Biopolitical Racial Mattering and Queer Affect, p. 173-85]</w:t>
      </w:r>
    </w:p>
    <w:p xmlns:wp14="http://schemas.microsoft.com/office/word/2010/wordml" w:rsidRPr="001641E7" w:rsidR="001860AB" w:rsidP="001860AB" w:rsidRDefault="001860AB" w14:paraId="207EE9A2" wp14:textId="77777777">
      <w:pPr>
        <w:rPr>
          <w:sz w:val="10"/>
        </w:rPr>
      </w:pPr>
      <w:r w:rsidRPr="001641E7">
        <w:rPr>
          <w:sz w:val="10"/>
        </w:rPr>
        <w:t xml:space="preserve">Lead’s Labors </w:t>
      </w:r>
      <w:r w:rsidRPr="001641E7">
        <w:rPr>
          <w:rStyle w:val="StyleUnderline"/>
          <w:highlight w:val="green"/>
        </w:rPr>
        <w:t>The image of the vulnerable white child is relentlessly promoted over and against an enduring and</w:t>
      </w:r>
      <w:r w:rsidRPr="001641E7">
        <w:rPr>
          <w:sz w:val="10"/>
        </w:rPr>
        <w:t xml:space="preserve"> blatant background (that is, </w:t>
      </w:r>
      <w:r w:rsidRPr="001641E7">
        <w:rPr>
          <w:rStyle w:val="StyleUnderline"/>
          <w:highlight w:val="green"/>
        </w:rPr>
        <w:t>unacknowledged) condition of labor and of racism: the ongoing exposure of immigrants and people of color to risk that sets them up for conditions of bodily work and residence that dramatize the body burdens that projects</w:t>
      </w:r>
      <w:r w:rsidRPr="001641E7">
        <w:rPr>
          <w:rStyle w:val="StyleUnderline"/>
        </w:rPr>
        <w:t xml:space="preserve"> </w:t>
      </w:r>
      <w:r w:rsidRPr="001641E7">
        <w:rPr>
          <w:rStyle w:val="StyleUnderline"/>
          <w:highlight w:val="green"/>
        </w:rPr>
        <w:t>of white nationalism</w:t>
      </w:r>
      <w:r w:rsidRPr="001641E7">
        <w:rPr>
          <w:sz w:val="10"/>
        </w:rPr>
        <w:t xml:space="preserve"> can hardly </w:t>
      </w:r>
      <w:r w:rsidRPr="001641E7">
        <w:rPr>
          <w:rStyle w:val="StyleUnderline"/>
          <w:highlight w:val="green"/>
        </w:rPr>
        <w:t>refuse to perceive.</w:t>
      </w:r>
      <w:r w:rsidRPr="001641E7">
        <w:rPr>
          <w:sz w:val="10"/>
        </w:rPr>
        <w:t xml:space="preserve"> Blithely 174 overlooked—or </w:t>
      </w:r>
      <w:r w:rsidRPr="001641E7">
        <w:rPr>
          <w:rStyle w:val="StyleUnderline"/>
        </w:rPr>
        <w:t xml:space="preserve">steadfastly ignored—are </w:t>
      </w:r>
      <w:r w:rsidRPr="001641E7">
        <w:rPr>
          <w:rStyle w:val="StyleUnderline"/>
          <w:highlight w:val="green"/>
        </w:rPr>
        <w:t>the toxic conditions of</w:t>
      </w:r>
      <w:r w:rsidRPr="001641E7">
        <w:rPr>
          <w:rStyle w:val="StyleUnderline"/>
        </w:rPr>
        <w:t xml:space="preserve"> labor and of manufacture, such as inattention to </w:t>
      </w:r>
      <w:r w:rsidRPr="001641E7">
        <w:rPr>
          <w:rStyle w:val="StyleUnderline"/>
          <w:highlight w:val="green"/>
        </w:rPr>
        <w:t>harmful transnational labor and industrial practices that poison</w:t>
      </w:r>
      <w:r w:rsidRPr="001641E7">
        <w:rPr>
          <w:sz w:val="10"/>
        </w:rPr>
        <w:t xml:space="preserve">, in many cases, </w:t>
      </w:r>
      <w:r w:rsidRPr="001641E7">
        <w:rPr>
          <w:rStyle w:val="StyleUnderline"/>
          <w:highlight w:val="green"/>
        </w:rPr>
        <w:t>badly protected or unprotected workers.</w:t>
      </w:r>
      <w:r w:rsidRPr="001641E7">
        <w:rPr>
          <w:sz w:val="10"/>
        </w:rPr>
        <w:t xml:space="preserve">33 Other </w:t>
      </w:r>
      <w:r w:rsidRPr="001641E7">
        <w:rPr>
          <w:rStyle w:val="StyleUnderline"/>
          <w:highlight w:val="green"/>
        </w:rPr>
        <w:t xml:space="preserve">persistent conditions include the invisibility within the United States of the </w:t>
      </w:r>
      <w:r w:rsidRPr="001641E7">
        <w:rPr>
          <w:rStyle w:val="StyleUnderline"/>
          <w:highlight w:val="green"/>
        </w:rPr>
        <w:lastRenderedPageBreak/>
        <w:t>working, destitute, or agrarian poor</w:t>
      </w:r>
      <w:r w:rsidRPr="001641E7">
        <w:rPr>
          <w:sz w:val="10"/>
        </w:rPr>
        <w:t xml:space="preserve"> in favor of idealized consumers who are white and middle or upper middle class; </w:t>
      </w:r>
      <w:r w:rsidRPr="001641E7">
        <w:rPr>
          <w:rStyle w:val="StyleUnderline"/>
          <w:highlight w:val="green"/>
        </w:rPr>
        <w:t>electronic wastes as extravagant and unattended exports of the United States to countries willing to take the cash to mine it; the dumping of toxic wastes and high-polluting industries into poorer neighborhoods within municipalities; and common practices in the United States of exporting products of greater toxicity than is permitted within its own borders</w:t>
      </w:r>
      <w:r w:rsidRPr="001641E7">
        <w:rPr>
          <w:sz w:val="10"/>
        </w:rPr>
        <w:t xml:space="preserve">.34 Here, </w:t>
      </w:r>
      <w:r w:rsidRPr="001641E7">
        <w:rPr>
          <w:rStyle w:val="StyleUnderline"/>
          <w:highlight w:val="green"/>
        </w:rPr>
        <w:t>the cynical calculus of risk, race, and international trade continually reproduces a specific configuration of toxic expulsion to othered lands or peoples.</w:t>
      </w:r>
      <w:r w:rsidRPr="001641E7">
        <w:rPr>
          <w:sz w:val="10"/>
        </w:rPr>
        <w:t xml:space="preserve"> </w:t>
      </w:r>
      <w:r w:rsidRPr="001641E7">
        <w:rPr>
          <w:rStyle w:val="StyleUnderline"/>
        </w:rPr>
        <w:t>As</w:t>
      </w:r>
      <w:r w:rsidRPr="001641E7">
        <w:rPr>
          <w:sz w:val="10"/>
        </w:rPr>
        <w:t xml:space="preserve"> Cheri Lucas Jennings and Bruce H. Jennings report, the international economic director of </w:t>
      </w:r>
      <w:r w:rsidRPr="001641E7">
        <w:rPr>
          <w:rStyle w:val="StyleUnderline"/>
        </w:rPr>
        <w:t>the World Bank suggested that third-world countries might be better off trading for the toxic waste of first-world countries, since “poverty or imminent starvation” were a greater threat to life</w:t>
      </w:r>
      <w:r w:rsidRPr="001641E7">
        <w:rPr>
          <w:sz w:val="10"/>
        </w:rPr>
        <w:t xml:space="preserve"> expectancy </w:t>
      </w:r>
      <w:r w:rsidRPr="001641E7">
        <w:rPr>
          <w:rStyle w:val="StyleUnderline"/>
        </w:rPr>
        <w:t>than the toxicity of the waste they would receive.</w:t>
      </w:r>
      <w:r w:rsidRPr="001641E7">
        <w:rPr>
          <w:sz w:val="10"/>
        </w:rPr>
        <w:t xml:space="preserve">35 </w:t>
      </w:r>
      <w:r w:rsidRPr="001641E7">
        <w:rPr>
          <w:rStyle w:val="StyleUnderline"/>
        </w:rPr>
        <w:t>Within the U</w:t>
      </w:r>
      <w:r w:rsidRPr="001641E7">
        <w:rPr>
          <w:sz w:val="10"/>
        </w:rPr>
        <w:t xml:space="preserve">nited </w:t>
      </w:r>
      <w:r w:rsidRPr="001641E7">
        <w:rPr>
          <w:rStyle w:val="StyleUnderline"/>
        </w:rPr>
        <w:t>S</w:t>
      </w:r>
      <w:r w:rsidRPr="001641E7">
        <w:rPr>
          <w:sz w:val="10"/>
        </w:rPr>
        <w:t xml:space="preserve">tates, these authors point to </w:t>
      </w:r>
      <w:r w:rsidRPr="001641E7">
        <w:rPr>
          <w:rStyle w:val="StyleUnderline"/>
          <w:highlight w:val="green"/>
        </w:rPr>
        <w:t>the greater access to less persistent toxins</w:t>
      </w:r>
      <w:r w:rsidRPr="001641E7">
        <w:rPr>
          <w:sz w:val="10"/>
        </w:rPr>
        <w:t xml:space="preserve"> (such as pesticides) </w:t>
      </w:r>
      <w:r w:rsidRPr="001641E7">
        <w:rPr>
          <w:rStyle w:val="StyleUnderline"/>
          <w:highlight w:val="green"/>
        </w:rPr>
        <w:t>by those with economic privilege</w:t>
      </w:r>
      <w:r w:rsidRPr="001641E7">
        <w:rPr>
          <w:sz w:val="10"/>
          <w:highlight w:val="green"/>
        </w:rPr>
        <w:t xml:space="preserve">, </w:t>
      </w:r>
      <w:r w:rsidRPr="001641E7">
        <w:rPr>
          <w:rStyle w:val="StyleUnderline"/>
          <w:highlight w:val="green"/>
        </w:rPr>
        <w:t>lead</w:t>
      </w:r>
      <w:r w:rsidRPr="001641E7">
        <w:rPr>
          <w:sz w:val="10"/>
        </w:rPr>
        <w:t xml:space="preserve">ing </w:t>
      </w:r>
      <w:r w:rsidRPr="001641E7">
        <w:rPr>
          <w:rStyle w:val="StyleUnderline"/>
          <w:highlight w:val="green"/>
        </w:rPr>
        <w:t>to a bifurcated distribution of greater and lesser toxic infusion along lines of</w:t>
      </w:r>
      <w:r w:rsidRPr="001641E7">
        <w:rPr>
          <w:rStyle w:val="StyleUnderline"/>
        </w:rPr>
        <w:t xml:space="preserve"> both </w:t>
      </w:r>
      <w:r w:rsidRPr="001641E7">
        <w:rPr>
          <w:rStyle w:val="StyleUnderline"/>
          <w:highlight w:val="green"/>
        </w:rPr>
        <w:t>class and race.</w:t>
      </w:r>
      <w:r w:rsidRPr="001641E7">
        <w:rPr>
          <w:sz w:val="10"/>
        </w:rPr>
        <w:t xml:space="preserve"> </w:t>
      </w:r>
      <w:r w:rsidRPr="001641E7">
        <w:rPr>
          <w:rStyle w:val="StyleUnderline"/>
          <w:highlight w:val="green"/>
        </w:rPr>
        <w:t>The contemporary fears in the U</w:t>
      </w:r>
      <w:r w:rsidRPr="001641E7">
        <w:rPr>
          <w:rStyle w:val="StyleUnderline"/>
        </w:rPr>
        <w:t xml:space="preserve">nited </w:t>
      </w:r>
      <w:r w:rsidRPr="001641E7">
        <w:rPr>
          <w:rStyle w:val="StyleUnderline"/>
          <w:highlight w:val="green"/>
        </w:rPr>
        <w:t>S</w:t>
      </w:r>
      <w:r w:rsidRPr="001641E7">
        <w:rPr>
          <w:rStyle w:val="StyleUnderline"/>
        </w:rPr>
        <w:t xml:space="preserve">tates </w:t>
      </w:r>
      <w:r w:rsidRPr="001641E7">
        <w:rPr>
          <w:rStyle w:val="StyleUnderline"/>
          <w:highlight w:val="green"/>
        </w:rPr>
        <w:t>about</w:t>
      </w:r>
      <w:r w:rsidRPr="001641E7">
        <w:rPr>
          <w:sz w:val="10"/>
        </w:rPr>
        <w:t xml:space="preserve"> lead </w:t>
      </w:r>
      <w:r w:rsidRPr="001641E7">
        <w:rPr>
          <w:rStyle w:val="StyleUnderline"/>
          <w:highlight w:val="green"/>
        </w:rPr>
        <w:t>contamination and mental degradation are complexly interwoven with race, class, and</w:t>
      </w:r>
      <w:r w:rsidRPr="001641E7">
        <w:rPr>
          <w:rStyle w:val="StyleUnderline"/>
        </w:rPr>
        <w:t xml:space="preserve"> cognitive </w:t>
      </w:r>
      <w:r w:rsidRPr="001641E7">
        <w:rPr>
          <w:rStyle w:val="StyleUnderline"/>
          <w:highlight w:val="green"/>
        </w:rPr>
        <w:t>ability</w:t>
      </w:r>
      <w:r w:rsidRPr="001641E7">
        <w:rPr>
          <w:sz w:val="10"/>
        </w:rPr>
        <w:t xml:space="preserve">, both as they externally manifest (that is, the racialization of imports from China) and as they dovetail with internal registers of classism and regional stereotyping. Take, for example, one toy, Hillbilly Teeth, made in China and distributed by the company Funtastic (of Houston, Texas), which was recalled due to concerns about lead in 2008 (figure 16). The recall notice of this product issued by the U.S. Consumer Product Safety Commission singled out the gray paint on the teeth as the source of lead.36 Though it was coded as threatening or harmful due to its potentially tainted plastic (which would by design be placed in the child’s mouth), one could equally find alarm in its perpetration of classed, ableist, and ruralized violence in its identity as a toy. The package’s cardboard backing depicts a smiling, presumably “nonhillbilly” white male child wearing the denture insert, and the 175 discolored, out of proportion, and otherwise imperfect teeth are designated “yucky,” “gross,” and “scary.” An inset fake frame, labeled “My Name’s Bubba,” has a cartoon speech bubble (“Yain’t I purdy?”) that uses a distorted caricature of rural or Southern accents. The prefatory and framing “Let’s Get Goofy!” resembles the youthful refrain “Let’s Get Retarded!” and signifies a willful and temporary loss of rationality and cognitive measure. The extant class coding of the “bad teeth” further builds on the myth of rural and working-class degradation by hinting at the acute dental issues that often accompany addiction to methamphetamines (aka “meth mouth”). Methamphetamines are the most recognized drug problem in “hillbilly country,” that is, the rural South and Midwest. The juxtaposition of Hillbilly and Teeth reminds us that both the urban gentrified center and the pastoral myths of the United States have their own white undersides.37 Against such a consolidated scenario, the leaden gray-tinted tooth paint seems even more intent on the protection of a limited few, the urban kids who 16. Funtastic’s “Let’s Get Goofy” Hillbilly Teeth, made in China, recalled in 2008. Source unknown. 176 have the voluntary luxury, every year on Halloween, of assuming the mask of fallen class and intellectual ability, only to snap it off later. A different toy, however, sat at the center of the lead panic in 2007: the expensive toy series Thomas the Tank Engine, seen earlier. Thomas and his “friends” are immensely popular objects and are accompanied by a range of lucrative tie-ins, including a television show, games, activity books, candy, and other merchandise bearing Thomas’s characteristic blue “body” and round gray and black face. These are not only meant for children. The series is marketed to middle-class parents who insist on high-status “quality” products, which in this case are tuned toward boys and quite explicitly direct their proper masculine development. An article from the New York Times in 2007 explicitly associated the toys’ high prices with their presumed quality and safety. The article bears one visual image, a photograph of the “James Engine” from the Thomas series, and a description of one member of the vulnerable population (identified as children), a white four-year- old boy whose mother points to the expectation of “quality” for these toys and whose class membership appears to be middle to upper middle class: “The affected Thomas toys were manufactured in China. . . . ‘These are not cheap, plastic McDonald’s toys,’ said Marian Goldstein of Maplewood, N.J., who spent more than $1,000 on her son’s Thomas collection, for toys that can cost $10 to $70 apiece. ‘But these are what is supposed to be a high-quality children’s toy.’”38 Presumably, the “cheap,” working-class McDonald’s toys are the toxic ground on which the nontoxic quality toys are to be built and compared. Goldstein may have a point about the train’s symbolic privilege, at least. Trains occupy an iconic place in the mythology and economic actuality of the creation of the American West. Symbolically and materially, trains are intrinsically connected to commerce and the circulation of economic goods as well as, in the United States, to a hidden history of Chinese labor. Both the extension of railroad systems to the American West and the development of the Sacramento River Delta in California heavily depended on imported Chinese labor that was rendered invisible in certain interested histories of labor.39 Narratives about lead toxicity in toys from China largely obscure the conditions of Chinese labor in the production of these toy trains.40 Nevertheless, these narratives deploy the fact of labor obliquely, in an explication of the pathway of toxicity (lead must be painted on). How to explain this incipient visibility? 177 An accusatory narrative in which Chinese are the criminal painters of the toy Thomas trains sets things up differently from the story of the Chinese laborers who extended the railroads to the American West: while the latter were made invisible in the interest of the white ownership of land, property, and history, for the toy painters the conditions of labor needed to be made just visible enough to facilitate the territorial, state, and racial assignation of blame, but not enough to generally extend the ring of sympathetic concern around the workers themselves.41 Indeed, I found very few instances among concerned parents or journalists in the United States in which lead was also understood to be a source of toxicity for the immigrant or transnational laboring subjects who take part in the manufacture of the product. So, </w:t>
      </w:r>
      <w:r w:rsidRPr="001641E7">
        <w:rPr>
          <w:rStyle w:val="StyleUnderline"/>
          <w:highlight w:val="green"/>
        </w:rPr>
        <w:t>the story</w:t>
      </w:r>
      <w:r w:rsidRPr="001641E7">
        <w:rPr>
          <w:rStyle w:val="StyleUnderline"/>
        </w:rPr>
        <w:t xml:space="preserve"> of lead, a story </w:t>
      </w:r>
      <w:r w:rsidRPr="001641E7">
        <w:rPr>
          <w:rStyle w:val="StyleUnderline"/>
          <w:highlight w:val="green"/>
        </w:rPr>
        <w:t>of toxicity, security, and nationality, is</w:t>
      </w:r>
      <w:r w:rsidRPr="001641E7">
        <w:rPr>
          <w:rStyle w:val="StyleUnderline"/>
        </w:rPr>
        <w:t xml:space="preserve"> also </w:t>
      </w:r>
      <w:r w:rsidRPr="001641E7">
        <w:rPr>
          <w:rStyle w:val="StyleUnderline"/>
          <w:highlight w:val="green"/>
        </w:rPr>
        <w:t>necessarily about labor: when it is registered, and when it is hidden</w:t>
      </w:r>
      <w:r w:rsidRPr="001641E7">
        <w:rPr>
          <w:rStyle w:val="StyleUnderline"/>
        </w:rPr>
        <w:t>, and who pays what kind of attention to whose labor.</w:t>
      </w:r>
      <w:r w:rsidRPr="001641E7">
        <w:rPr>
          <w:sz w:val="10"/>
        </w:rPr>
        <w:t xml:space="preserve"> </w:t>
      </w:r>
      <w:r w:rsidRPr="001641E7">
        <w:rPr>
          <w:rStyle w:val="StyleUnderline"/>
          <w:highlight w:val="green"/>
        </w:rPr>
        <w:t>The regular erasure</w:t>
      </w:r>
      <w:r w:rsidRPr="001641E7">
        <w:rPr>
          <w:sz w:val="10"/>
        </w:rPr>
        <w:t xml:space="preserve">, or continued invisibility, </w:t>
      </w:r>
      <w:r w:rsidRPr="001641E7">
        <w:rPr>
          <w:rStyle w:val="StyleUnderline"/>
        </w:rPr>
        <w:t xml:space="preserve">in the lead narratives of the textile sweatshops, device assemblers, and toy painters, who are largely young women who have migrated into the Chinese cities from rural satellites, </w:t>
      </w:r>
      <w:r w:rsidRPr="001641E7">
        <w:rPr>
          <w:rStyle w:val="StyleUnderline"/>
          <w:highlight w:val="green"/>
        </w:rPr>
        <w:t>renders quite ironic the care work that is</w:t>
      </w:r>
      <w:r w:rsidRPr="001641E7">
        <w:rPr>
          <w:rStyle w:val="StyleUnderline"/>
        </w:rPr>
        <w:t xml:space="preserve"> so poignantly </w:t>
      </w:r>
      <w:r w:rsidRPr="001641E7">
        <w:rPr>
          <w:rStyle w:val="StyleUnderline"/>
          <w:highlight w:val="green"/>
        </w:rPr>
        <w:t>provided by</w:t>
      </w:r>
      <w:r w:rsidRPr="001641E7">
        <w:rPr>
          <w:rStyle w:val="StyleUnderline"/>
        </w:rPr>
        <w:t xml:space="preserve"> the toys—and transitively by the women who make them. The transitive criminalization of Chinese toy assemblers is all the more ironic when we consider </w:t>
      </w:r>
      <w:r w:rsidRPr="001641E7">
        <w:rPr>
          <w:rStyle w:val="StyleUnderline"/>
          <w:highlight w:val="green"/>
        </w:rPr>
        <w:t>the routinization of childcare inside the U</w:t>
      </w:r>
      <w:r w:rsidRPr="001641E7">
        <w:rPr>
          <w:rStyle w:val="StyleUnderline"/>
        </w:rPr>
        <w:t xml:space="preserve">nited </w:t>
      </w:r>
      <w:r w:rsidRPr="001641E7">
        <w:rPr>
          <w:rStyle w:val="StyleUnderline"/>
          <w:highlight w:val="green"/>
        </w:rPr>
        <w:t>S</w:t>
      </w:r>
      <w:r w:rsidRPr="001641E7">
        <w:rPr>
          <w:rStyle w:val="StyleUnderline"/>
        </w:rPr>
        <w:t xml:space="preserve">tates </w:t>
      </w:r>
      <w:r w:rsidRPr="001641E7">
        <w:rPr>
          <w:rStyle w:val="StyleUnderline"/>
          <w:highlight w:val="green"/>
        </w:rPr>
        <w:t>by African Americans and immigrants from Central and South America, the Philippines, South Asia, the Caribbean, and elsewhere</w:t>
      </w:r>
      <w:r w:rsidRPr="001641E7">
        <w:rPr>
          <w:rStyle w:val="StyleUnderline"/>
        </w:rPr>
        <w:t>, for middle-class parents of all ethnicities.</w:t>
      </w:r>
      <w:r w:rsidRPr="001641E7">
        <w:rPr>
          <w:sz w:val="10"/>
        </w:rPr>
        <w:t xml:space="preserve">42 In some respects, the economy itself and changing kinship structures have increasingly meant that parents hire help while they work away from home, a creep of the care crisis into higher echelons of society, as feminist labor scholar Evelyn Nakano Glenn notes.43 From the 1980s, middle-class mothers increasingly joined the labor force as neoliberalism took hold in the racialized sphere of the care of children: as they increasingly left the house and their children, “mothers had to accomplish more intimate care in less time,” suggesting that care work be taken up by others in their place.44 </w:t>
      </w:r>
      <w:r w:rsidRPr="001641E7">
        <w:rPr>
          <w:rStyle w:val="StyleUnderline"/>
          <w:highlight w:val="green"/>
        </w:rPr>
        <w:t>The racial mapping of the desirable subjects in the United States thus occurs in the context of the erasure of its disposable ones</w:t>
      </w:r>
      <w:r w:rsidRPr="001641E7">
        <w:rPr>
          <w:sz w:val="10"/>
        </w:rPr>
        <w:t>; I refer here to Grace Chang’s notion of (</w:t>
      </w:r>
      <w:r w:rsidRPr="001641E7">
        <w:rPr>
          <w:rStyle w:val="StyleUnderline"/>
          <w:highlight w:val="green"/>
        </w:rPr>
        <w:t>immigrant female) “disposable domestics.</w:t>
      </w:r>
      <w:r w:rsidRPr="001641E7">
        <w:rPr>
          <w:sz w:val="10"/>
        </w:rPr>
        <w:t xml:space="preserve">”45 Just as lead particles travel, so too does Thomas the train. It is a mobile vehicle, not only symbolically but also materially, one that has 178 journeyed from England to the United States to China and back again. And indeed, a trip I took to China in 2010 revealed many knockoffs of Thomas, who is just as popular there as he is in the United States. These packaged toys, puzzle books, and candies were immediately recognizable but had slightly incorrect English spellings of his name, such as “Tromas,” or “Tomas” (figure 17), as if to match the impossibility of perfect translation. These “illegal” copies show that, like the lead he allegedly carries with him on his back, Thomas is not containable within a given trajectory of movement and desire. The global spread of this commodity complicates the one-way vector of contamination from China to the United States, indicating a multidirectional flow. And yet, little is still known within the United States about how these toys may or may not harm Chinese children or the Chinese workers who produce them. I referred earlier to a mode of transmission—from contaminated toy to child—as one of transitivity. For the late-capitalist, high-consumption, and highly networked sectors of the world, transitivity has arguably become a default mode not only of representation but of world-relating. The asymmetry of this world-relation is no barrier to the toxic effectivity of simmering racial panics. The sphere of the world that is well rehearsed in the flow of transnational commodities, services, and communications has become the perfect “host” for such transitivity, or at least the collapsing of transitive relations into conceptualizations of immediate contact. Patricia Clough, in her theorization of the complex, even nonhuman, agencies and affects participating in television and computer-consuming information societies, aptly writes that “even as the transnational or the global become visible, proposing themselves as far-flung extensions of social structure, they are ungrounded by that upon which they depend: the speed of the exchange of information, capital, bodies, and abstract knowledge and the vulnerability of exposure to media event-ness.” 46 An advertisement on the airport trolleys in Shanghai Pudong Airport (figure 18) in June 2010 demonstrates this relentlessly productive metonymic and economic transitivity. The text reads, “Your Eyes in the Factory! Book and Manage your Quality Control on www .AsiaInspection.com,” in stark white letters on a red background; below the website name is an icon of inspection, the magnifying glass. In an inset picture, a male worker—possibly an inspector, possibly an assembler—handles a product. The transitivity here is not between the Chinese workers and the toys they have assembled, but rather 17. Super Tomas Series toy train set, outdoor market, Guilin, China, 2010. At lower right, the first three Chinese characters are to-ma- sz, a </w:t>
      </w:r>
      <w:r w:rsidRPr="001641E7">
        <w:rPr>
          <w:sz w:val="10"/>
        </w:rPr>
        <w:lastRenderedPageBreak/>
        <w:t xml:space="preserve">phonetic spelling of Thomas. Photograph by the author. 180 of participants in production monitoring. It exists between the eyes of international corporate managers, the advertisement’s English-reading addressees, and another set of eyes that is ambiguously either that of local Chinese inspectors or that of remote cameras that focus on Chinese workers. The ad further represents the interest in surveillance, glossed here as more benign “quality control,” that arose after the toxicity of Chinese products illuminated Chinese production as a troubled site.47 Blackened Lead Some years ago, as I indicated earlier, before the domestic narrative largely disappeared in favor of the Chinese one, the greater public was invited to consider the vulnerability of black children to lead intoxication. What happened to this association? Did it simply disappear, as I first hinted? Or did it meaningfully recede? I turn here to take a closer look at the medicalization of lead. Lead toxicity is medically characterized as at least partly neural; that is, it involves the nerve system, most notably comprising the brain and nerve pathways throughout the body. Medical accounts of lead toxicity, including those in- 18. Airport trolley ad for AsiaInspection. Photograph by the author, June 26, 2010. 181 voked in the toy lead panic of 2007, invoke its ability to lower the intelligence quotient (iq) of a child. The iq measure bears a distinctly eugenicist history and remains the subject of controversy regarding whether it has adequately shed its originary racial and socioeconomic biases.48 Indeed, to what extent might we imagine that lead-induced loss not only threatens the promise of success in an information economy, but also involves subtle racial movement away from whiteness, where the greatest horror is not death but disablement, that is, mental alteration and the loss of rational control? Julian B. Carter’s study of neurasthenia, or “nervous exhaustion,” and its characterization in the 1880s by the neurologist George Beard as a specific property of genteel, sensitive, intelligent, well-bred whiteness (rather than, it was assumed, as a property of the working or peasant classes) gives us a more specific backdrop against which to consider neurotoxicity and its connection to the new lead’s poster boy, the white middle-class child. Carter argues that the very vulnerability expressed by neurasthenia as a property cultivated primarily in privileged whites, both men and women, is what legitimated their claim to power in modernity, even as industrialization was blamed as a cause of the condition.49 Within the United States, </w:t>
      </w:r>
      <w:r w:rsidRPr="001641E7">
        <w:rPr>
          <w:rStyle w:val="StyleUnderline"/>
          <w:highlight w:val="green"/>
        </w:rPr>
        <w:t>“blackness” has its own specific history with regard to rhetorics of contamination, not least the “one drop of blood” policies against racial mixing and miscegenation.</w:t>
      </w:r>
      <w:r w:rsidRPr="001641E7">
        <w:rPr>
          <w:sz w:val="10"/>
        </w:rPr>
        <w:t xml:space="preserve"> Later policies of racial segregation in the Jim Crow South were also linked to white fears of contamination. Referring to the debates in Plessy v. Ferguson, Saidiya </w:t>
      </w:r>
      <w:r w:rsidRPr="001641E7">
        <w:rPr>
          <w:rStyle w:val="StyleUnderline"/>
          <w:highlight w:val="green"/>
        </w:rPr>
        <w:t>Hartman writes of white concerns about the “integrity of bodily boundaries and racial self-certainty.”</w:t>
      </w:r>
      <w:r w:rsidRPr="001641E7">
        <w:rPr>
          <w:sz w:val="10"/>
        </w:rPr>
        <w:t xml:space="preserve"> She notes, </w:t>
      </w:r>
      <w:r w:rsidRPr="001641E7">
        <w:rPr>
          <w:rStyle w:val="StyleUnderline"/>
        </w:rPr>
        <w:t>“As Plessy evinced, sitting next to a black person on a train, sleeping in a hotel bed formerly used by a black patron, or dining with a black party seated at a nearby table not only diminished white enjoyment but also incited fears of engulfment and contamination.”</w:t>
      </w:r>
      <w:r w:rsidRPr="001641E7">
        <w:rPr>
          <w:sz w:val="10"/>
        </w:rPr>
        <w:t xml:space="preserve">50 Lead contamination in the United States continues to be scrutinized for its racial bias, albeit unevenly. One recent contested conjunction of African American populations and lead was a study led by the Kennedy Krieger Institute. This study, conducted between 1993 and 1995, tracked lead levels in the children of Baltimore public housing occupants (primarily African Americans) who were exposed to various degrees of lead toxicity in residential paint, without adequate warning of the dangers of that lead. A storm of debate erupted around 182 this study, in which healthy families were recruited to live in lead-contaminated houses. (This experiment harked back to the notorious Tuskegee Institute study, conducted between 1932 and 1972, which monitored poor black men who had syphilis but neither treated nor informed them in any way about the disease.)51 I have claimed that the year 2007 represented a year of transition, as a new and imaginatively more dominant, exogenous Chinese lead was entering the public domain. In this very same year, National Public Radio symptomatically both remembered and forgot received knowledge about domestic lead toxicity. First, a National Public Radio (npr) show called “Living on Earth” updated its coverage of a longitudinal study on the urban poor and lead toxicity. That same year, another npr show noted the higher levels of lead toxicity among African American children and pronounced these statistics “puzzling,” leaving it at that.52 “Puzzling”: this illogic or failure of deduction occurred </w:t>
      </w:r>
      <w:r w:rsidRPr="001641E7">
        <w:rPr>
          <w:rStyle w:val="StyleUnderline"/>
        </w:rPr>
        <w:t>despite all kinds of widely available evidence pointing to increased urban regional pollution, lower access to information, and lower financial capacity to remediate or conceal lead paint</w:t>
      </w:r>
      <w:r w:rsidRPr="001641E7">
        <w:rPr>
          <w:sz w:val="10"/>
        </w:rPr>
        <w:t xml:space="preserve">. This easy disregard explains how </w:t>
      </w:r>
      <w:r w:rsidRPr="001641E7">
        <w:rPr>
          <w:rStyle w:val="StyleUnderline"/>
        </w:rPr>
        <w:t xml:space="preserve">black children in representations of toxic lead largely disappear and are replaced by white children: </w:t>
      </w:r>
      <w:r w:rsidRPr="001641E7">
        <w:rPr>
          <w:rStyle w:val="StyleUnderline"/>
          <w:highlight w:val="green"/>
        </w:rPr>
        <w:t>the national security project of the U</w:t>
      </w:r>
      <w:r w:rsidRPr="001641E7">
        <w:rPr>
          <w:rStyle w:val="StyleUnderline"/>
        </w:rPr>
        <w:t xml:space="preserve">nited </w:t>
      </w:r>
      <w:r w:rsidRPr="001641E7">
        <w:rPr>
          <w:rStyle w:val="StyleUnderline"/>
          <w:highlight w:val="green"/>
        </w:rPr>
        <w:t>S</w:t>
      </w:r>
      <w:r w:rsidRPr="001641E7">
        <w:rPr>
          <w:rStyle w:val="StyleUnderline"/>
        </w:rPr>
        <w:t xml:space="preserve">tates </w:t>
      </w:r>
      <w:r w:rsidRPr="001641E7">
        <w:rPr>
          <w:rStyle w:val="StyleUnderline"/>
          <w:highlight w:val="green"/>
        </w:rPr>
        <w:t>is less interested in profiling African American children as victims of</w:t>
      </w:r>
      <w:r w:rsidRPr="001641E7">
        <w:rPr>
          <w:rStyle w:val="StyleUnderline"/>
        </w:rPr>
        <w:t xml:space="preserve"> lead </w:t>
      </w:r>
      <w:r w:rsidRPr="001641E7">
        <w:rPr>
          <w:rStyle w:val="StyleUnderline"/>
          <w:highlight w:val="green"/>
        </w:rPr>
        <w:t>poisoning</w:t>
      </w:r>
      <w:r w:rsidRPr="001641E7">
        <w:rPr>
          <w:rStyle w:val="StyleUnderline"/>
        </w:rPr>
        <w:t>, especially when the “new” lead is now situated as an externally derived attack.</w:t>
      </w:r>
      <w:r w:rsidRPr="001641E7">
        <w:rPr>
          <w:sz w:val="10"/>
        </w:rPr>
        <w:t xml:space="preserve"> Even the “remembering” of urban toxicity in the npr “Living on Earth” show in 2007 is of a certain kind. This show updated its audience on an acclaimed longitudinal study on lead’s effects on children that was begun in the 1970s, led by Kim Dietrich of the University of Cincinnati, and revisited over the years by npr. Dietrich reported that early exposure to lead toxicity can be linked to later criminal behavior. </w:t>
      </w:r>
      <w:r w:rsidRPr="001641E7">
        <w:rPr>
          <w:rStyle w:val="StyleUnderline"/>
          <w:highlight w:val="green"/>
        </w:rPr>
        <w:t>By design,</w:t>
      </w:r>
      <w:r w:rsidRPr="001641E7">
        <w:rPr>
          <w:sz w:val="10"/>
        </w:rPr>
        <w:t xml:space="preserve"> the study was focused on “inner-city” children, according to Dietrich, “who are largely minority.”53 In the npr update in 2007, which functions as a symptomatic piling-up of racial constructs, Dietrich actively legitimated the interviewer’s prompts, gathering </w:t>
      </w:r>
      <w:r w:rsidRPr="001641E7">
        <w:rPr>
          <w:rStyle w:val="StyleUnderline"/>
          <w:highlight w:val="green"/>
        </w:rPr>
        <w:t>a stunning assemblage: poverty, proximity of weapons, violence, lead, and poor nutrition</w:t>
      </w:r>
      <w:r w:rsidRPr="001641E7">
        <w:rPr>
          <w:rStyle w:val="StyleUnderline"/>
        </w:rPr>
        <w:t xml:space="preserve"> together</w:t>
      </w:r>
      <w:r w:rsidRPr="001641E7">
        <w:rPr>
          <w:sz w:val="10"/>
        </w:rPr>
        <w:t xml:space="preserve"> </w:t>
      </w:r>
      <w:r w:rsidRPr="001641E7">
        <w:rPr>
          <w:rStyle w:val="StyleUnderline"/>
        </w:rPr>
        <w:t>as collective determining factors for inner-city criminality</w:t>
      </w:r>
      <w:r w:rsidRPr="001641E7">
        <w:rPr>
          <w:sz w:val="10"/>
        </w:rPr>
        <w:t xml:space="preserve">: Gellerman (interviewer): So if you look at inner cities, if you look at the poor, if you look at their exposure to weapons, you look at their exposure to violence, you look at their exposure to lead, and 183 their poor nutrition. Is this sort of the perfect combination of factors for crime? Dietrich: Yes, it’s in a sense, the perfect storm. Uh, the environment provides a lot of incentives for crime. The child is in a community where he or she sees violence—the availability of guns, the availability of illicit drugs. So I would say that the inner-city environment provides the weapon, lead pulls the trigger. “Lead pulls the trigger.” This metaphor of weaponry </w:t>
      </w:r>
      <w:r w:rsidRPr="001641E7">
        <w:rPr>
          <w:rStyle w:val="StyleUnderline"/>
          <w:highlight w:val="green"/>
        </w:rPr>
        <w:t>is used to characterize a latent violent criminality</w:t>
      </w:r>
      <w:r w:rsidRPr="001641E7">
        <w:rPr>
          <w:rStyle w:val="StyleUnderline"/>
        </w:rPr>
        <w:t xml:space="preserve"> </w:t>
      </w:r>
      <w:r w:rsidRPr="001641E7">
        <w:rPr>
          <w:rStyle w:val="Emphasis"/>
        </w:rPr>
        <w:t>domestic to the United States</w:t>
      </w:r>
      <w:r w:rsidRPr="001641E7">
        <w:rPr>
          <w:rStyle w:val="StyleUnderline"/>
        </w:rPr>
        <w:t xml:space="preserve">, naturalized to an urban underclass of color, using a co-construction of guns, “ghettoes,” and racialized pathology. </w:t>
      </w:r>
      <w:r w:rsidRPr="001641E7">
        <w:rPr>
          <w:sz w:val="10"/>
        </w:rPr>
        <w:t xml:space="preserve">In some sense, it is an old story: </w:t>
      </w:r>
      <w:r w:rsidRPr="001641E7">
        <w:rPr>
          <w:rStyle w:val="StyleUnderline"/>
        </w:rPr>
        <w:t>to pump someone full of lead is to kill them. But the form and objects of death have become molecular, and intentionality has shifted to neglect</w:t>
      </w:r>
      <w:r w:rsidRPr="001641E7">
        <w:rPr>
          <w:sz w:val="10"/>
        </w:rPr>
        <w:t xml:space="preserve">, and a fragile self-identification rather than potency reshapes the threat into the other person, conflated with the lead that afflicts them. Contrast this metaphor of weaponry to the title of </w:t>
      </w:r>
      <w:r w:rsidRPr="001641E7">
        <w:rPr>
          <w:rStyle w:val="StyleUnderline"/>
          <w:highlight w:val="green"/>
        </w:rPr>
        <w:t>the</w:t>
      </w:r>
      <w:r w:rsidRPr="001641E7">
        <w:rPr>
          <w:sz w:val="10"/>
        </w:rPr>
        <w:t xml:space="preserve"> New York Times article on toxic </w:t>
      </w:r>
      <w:r w:rsidRPr="001641E7">
        <w:rPr>
          <w:rStyle w:val="StyleUnderline"/>
          <w:highlight w:val="green"/>
        </w:rPr>
        <w:t>Chinese</w:t>
      </w:r>
      <w:r w:rsidRPr="001641E7">
        <w:rPr>
          <w:sz w:val="10"/>
        </w:rPr>
        <w:t xml:space="preserve"> drywall, “The </w:t>
      </w:r>
      <w:r w:rsidRPr="001641E7">
        <w:rPr>
          <w:rStyle w:val="StyleUnderline"/>
          <w:highlight w:val="green"/>
        </w:rPr>
        <w:t>Enemy at Home</w:t>
      </w:r>
      <w:r w:rsidRPr="001641E7">
        <w:rPr>
          <w:sz w:val="10"/>
        </w:rPr>
        <w:t xml:space="preserve">,” which </w:t>
      </w:r>
      <w:r w:rsidRPr="001641E7">
        <w:rPr>
          <w:rStyle w:val="StyleUnderline"/>
          <w:highlight w:val="green"/>
        </w:rPr>
        <w:t>partakes of a war metaphor</w:t>
      </w:r>
      <w:r w:rsidRPr="001641E7">
        <w:rPr>
          <w:rStyle w:val="StyleUnderline"/>
        </w:rPr>
        <w:t xml:space="preserve"> not because of some naturalizing co-construction of guns, “ghetto,” and racialized pathology, but in relation to a transnational</w:t>
      </w:r>
      <w:r w:rsidRPr="001641E7">
        <w:rPr>
          <w:sz w:val="10"/>
        </w:rPr>
        <w:t xml:space="preserve"> (that is, </w:t>
      </w:r>
      <w:r w:rsidRPr="001641E7">
        <w:rPr>
          <w:rStyle w:val="StyleUnderline"/>
        </w:rPr>
        <w:t>extra-domestic) exchange that simultaneously seems to threaten representative individual bodies and criminalize Chinese trade participation.</w:t>
      </w:r>
      <w:r w:rsidRPr="001641E7">
        <w:rPr>
          <w:sz w:val="10"/>
        </w:rPr>
        <w:t xml:space="preserve"> This enemy, that is, should not be at “home,” with this word understood both as a generalized national body and as the domicile of family units (who are in a position to afford the construction of new homes). One wonders to what degree any newfound alarmism about the vulnerability of black children to environmental lead can succeed, given the abiding construction of affinities between racist constructions of blackness and those of lead, long integral to the American racial and gendered corporeal imaginary.54 A </w:t>
      </w:r>
      <w:r w:rsidRPr="001641E7">
        <w:rPr>
          <w:rStyle w:val="StyleUnderline"/>
        </w:rPr>
        <w:t xml:space="preserve">racial construction of blacks as already unruly, violent, contaminated, and mentally deficient lies inherent in </w:t>
      </w:r>
      <w:r w:rsidRPr="001641E7">
        <w:rPr>
          <w:rStyle w:val="StyleUnderline"/>
          <w:highlight w:val="green"/>
        </w:rPr>
        <w:t>the</w:t>
      </w:r>
      <w:r w:rsidRPr="001641E7">
        <w:rPr>
          <w:rStyle w:val="StyleUnderline"/>
        </w:rPr>
        <w:t xml:space="preserve"> current </w:t>
      </w:r>
      <w:r w:rsidRPr="001641E7">
        <w:rPr>
          <w:rStyle w:val="StyleUnderline"/>
          <w:highlight w:val="green"/>
        </w:rPr>
        <w:t>neoliberal economy</w:t>
      </w:r>
      <w:r w:rsidRPr="001641E7">
        <w:rPr>
          <w:rStyle w:val="StyleUnderline"/>
        </w:rPr>
        <w:t xml:space="preserve">, which not only </w:t>
      </w:r>
      <w:r w:rsidRPr="001641E7">
        <w:rPr>
          <w:rStyle w:val="StyleUnderline"/>
          <w:highlight w:val="green"/>
        </w:rPr>
        <w:t>positions people of color in a labor hierarchy that matches them with literally disabling forms of manual labor</w:t>
      </w:r>
      <w:r w:rsidRPr="001641E7">
        <w:rPr>
          <w:rStyle w:val="StyleUnderline"/>
        </w:rPr>
        <w:t>, but is also conditioned and supported by a growing and incredibly powerful prison industrial complex structured according to race, class, and gender.</w:t>
      </w:r>
      <w:r w:rsidRPr="001641E7">
        <w:rPr>
          <w:sz w:val="10"/>
        </w:rPr>
        <w:t xml:space="preserve">55 </w:t>
      </w:r>
      <w:r w:rsidRPr="001641E7">
        <w:rPr>
          <w:rStyle w:val="StyleUnderline"/>
        </w:rPr>
        <w:t xml:space="preserve">If lead exposure itself is associated with cognitive delay, enhanced aggressivity, impulsivity, convulsions, and mental lethargy, then </w:t>
      </w:r>
      <w:r w:rsidRPr="001641E7">
        <w:rPr>
          <w:rStyle w:val="StyleUnderline"/>
          <w:highlight w:val="green"/>
        </w:rPr>
        <w:t>we might read</w:t>
      </w:r>
      <w:r w:rsidRPr="001641E7">
        <w:rPr>
          <w:rStyle w:val="StyleUnderline"/>
        </w:rPr>
        <w:t xml:space="preserve"> such </w:t>
      </w:r>
      <w:r w:rsidRPr="001641E7">
        <w:rPr>
          <w:rStyle w:val="StyleUnderline"/>
          <w:highlight w:val="green"/>
        </w:rPr>
        <w:lastRenderedPageBreak/>
        <w:t>characterizations of blackness as attributions</w:t>
      </w:r>
      <w:r w:rsidRPr="001641E7">
        <w:rPr>
          <w:sz w:val="10"/>
        </w:rPr>
        <w:t xml:space="preserve">, or intimations, </w:t>
      </w:r>
      <w:r w:rsidRPr="001641E7">
        <w:rPr>
          <w:rStyle w:val="StyleUnderline"/>
          <w:highlight w:val="green"/>
        </w:rPr>
        <w:t>of disability</w:t>
      </w:r>
      <w:r w:rsidRPr="001641E7">
        <w:rPr>
          <w:rStyle w:val="StyleUnderline"/>
        </w:rPr>
        <w:t>, as much as we already understand them as damaging racial profiles.</w:t>
      </w:r>
      <w:r w:rsidRPr="001641E7">
        <w:rPr>
          <w:sz w:val="10"/>
        </w:rPr>
        <w:t xml:space="preserve"> Eric Lott’s study of blackface minstrelsy relates the suturing of impulsivity or sudden bodily displacement to fears about black masculinity in this performance culture in the United States. Lott reads Charles Dickens’s account of the dancing in a New York blackface performance as stunned by its spasticity: “the whole passage reads as if Dickens did not really know what to do with such energy, where to put it.”56 Would lead toxicity, hence overdetermined with legacies of the negative characteristics of blackness, succeed quite so successfully as an imagined property of other racialized bodies, such as the Mexican braceros of the Second World War and modern-day maquiladora workers, both of whom have suffered from lead toxicity?57 </w:t>
      </w:r>
      <w:r w:rsidRPr="001641E7">
        <w:rPr>
          <w:rStyle w:val="StyleUnderline"/>
        </w:rPr>
        <w:t>If disability can be read into constructs of blackness, disability itself is also a critically important axis of difference.</w:t>
      </w:r>
      <w:r w:rsidRPr="001641E7">
        <w:rPr>
          <w:sz w:val="10"/>
        </w:rPr>
        <w:t xml:space="preserve"> Scholars such as Nirmala Erevelles and Andrea Minear point out the dangers of being both black and disabled; the authors suggest that within critical race feminism, while disability is sometimes recognized, it can often analytically function for scholars as a “nuance” of intensity rather than its own structural difference, leading to a loss of complexity in the reading: </w:t>
      </w:r>
      <w:r w:rsidRPr="001641E7">
        <w:rPr>
          <w:rStyle w:val="StyleUnderline"/>
        </w:rPr>
        <w:t>“the omission of disability as a critical category in discussions of intersectionality has disastrous and sometimes deadly consequences for disabled people of color caught at the interstices of multiple differences.”</w:t>
      </w:r>
      <w:r w:rsidRPr="001641E7">
        <w:rPr>
          <w:sz w:val="10"/>
        </w:rPr>
        <w:t xml:space="preserve"> These are just some ways in which criminality, race, and disability can be mutually produced and reproduced. Thus, it is not necessarily correct to judge that African American youth are now no longer viewed as vulnerable to lead. Rather, it is easier to imagine that </w:t>
      </w:r>
      <w:r w:rsidRPr="001641E7">
        <w:rPr>
          <w:rStyle w:val="StyleUnderline"/>
        </w:rPr>
        <w:t>in this pointedly transnational struggle between major economic powers, black children are</w:t>
      </w:r>
      <w:r w:rsidRPr="001641E7">
        <w:rPr>
          <w:sz w:val="10"/>
        </w:rPr>
        <w:t xml:space="preserve"> now the less-urgent population under threat. It is, instead, as if black children are constructed as more proximate to lead itself, </w:t>
      </w:r>
      <w:r w:rsidRPr="001641E7">
        <w:rPr>
          <w:rStyle w:val="StyleUnderline"/>
        </w:rPr>
        <w:t xml:space="preserve">as </w:t>
      </w:r>
      <w:r w:rsidRPr="001641E7">
        <w:rPr>
          <w:rStyle w:val="Emphasis"/>
        </w:rPr>
        <w:t>naturalized to lead</w:t>
      </w:r>
      <w:r w:rsidRPr="001641E7">
        <w:rPr>
          <w:rStyle w:val="StyleUnderline"/>
        </w:rPr>
        <w:t>; they serve as new ground to the newest figure.</w:t>
      </w:r>
      <w:r w:rsidRPr="001641E7">
        <w:rPr>
          <w:sz w:val="10"/>
        </w:rPr>
        <w:t xml:space="preserve"> </w:t>
      </w:r>
      <w:r w:rsidRPr="001641E7">
        <w:rPr>
          <w:rStyle w:val="StyleUnderline"/>
        </w:rPr>
        <w:t xml:space="preserve">In the case of the Thomas trains, lead </w:t>
      </w:r>
      <w:r w:rsidRPr="001641E7">
        <w:rPr>
          <w:rStyle w:val="StyleUnderline"/>
          <w:highlight w:val="green"/>
        </w:rPr>
        <w:t xml:space="preserve">toxicity is racialized, not only because the threatened future has the color of a white boy, but also because that boy </w:t>
      </w:r>
      <w:r w:rsidRPr="001641E7">
        <w:rPr>
          <w:rStyle w:val="Emphasis"/>
          <w:highlight w:val="green"/>
        </w:rPr>
        <w:t>must not change color.</w:t>
      </w:r>
      <w:r w:rsidRPr="001641E7">
        <w:rPr>
          <w:sz w:val="10"/>
        </w:rPr>
        <w:t xml:space="preserve"> The boy can change color in two ways: First, lead lurks as a dirty toxin, as a pollutant, and it is persistently racialized as anything but white. Second, </w:t>
      </w:r>
      <w:r w:rsidRPr="001641E7">
        <w:rPr>
          <w:rStyle w:val="StyleUnderline"/>
          <w:highlight w:val="green"/>
        </w:rPr>
        <w:t>black children are assumed to be toxic; and lead’s threat to white children is not only that they risk becoming dull and cognitively defective, but precisely that they lose their</w:t>
      </w:r>
      <w:r w:rsidRPr="001641E7">
        <w:rPr>
          <w:sz w:val="10"/>
        </w:rPr>
        <w:t xml:space="preserve"> class-elaborated </w:t>
      </w:r>
      <w:r w:rsidRPr="001641E7">
        <w:rPr>
          <w:rStyle w:val="StyleUnderline"/>
          <w:highlight w:val="green"/>
        </w:rPr>
        <w:t>white racial cerebrality, and</w:t>
      </w:r>
      <w:r w:rsidRPr="001641E7">
        <w:rPr>
          <w:sz w:val="10"/>
        </w:rPr>
        <w:t xml:space="preserve"> that they </w:t>
      </w:r>
      <w:r w:rsidRPr="001641E7">
        <w:rPr>
          <w:rStyle w:val="StyleUnderline"/>
          <w:highlight w:val="green"/>
        </w:rPr>
        <w:t>become suited racially to living in the ghettoes.</w:t>
      </w:r>
      <w:r w:rsidRPr="001641E7">
        <w:rPr>
          <w:sz w:val="10"/>
        </w:rPr>
        <w:t>58</w:t>
      </w:r>
    </w:p>
    <w:p xmlns:wp14="http://schemas.microsoft.com/office/word/2010/wordml" w:rsidRPr="001641E7" w:rsidR="001860AB" w:rsidP="001860AB" w:rsidRDefault="001860AB" w14:paraId="0310B53A" wp14:textId="77777777">
      <w:pPr>
        <w:pStyle w:val="Heading4"/>
        <w:rPr>
          <w:rFonts w:cs="Arial"/>
        </w:rPr>
      </w:pPr>
      <w:r w:rsidRPr="001641E7">
        <w:rPr>
          <w:rFonts w:cs="Arial"/>
        </w:rPr>
        <w:t>Biopolitical governance expels the toxic through immunity nationalism – the negative protection of health and life through the necropolitical production of bare life.</w:t>
      </w:r>
    </w:p>
    <w:p xmlns:wp14="http://schemas.microsoft.com/office/word/2010/wordml" w:rsidRPr="001641E7" w:rsidR="001860AB" w:rsidP="001860AB" w:rsidRDefault="001860AB" w14:paraId="155EFE08" wp14:textId="77777777">
      <w:r w:rsidRPr="001641E7">
        <w:rPr>
          <w:rStyle w:val="Style13ptBold"/>
        </w:rPr>
        <w:t>Chen 12</w:t>
      </w:r>
      <w:r w:rsidRPr="001641E7">
        <w:t xml:space="preserve"> [Mel, Assoc. Prof. Gender and Women’s Studies and Vice Chair for Research, Dir. of the Center for the Study of Sexual Culture @ UC Berkeley, Animacies: Biopolitical Racial Mattering and Queer Affect, pp. 192-5]</w:t>
      </w:r>
    </w:p>
    <w:p xmlns:wp14="http://schemas.microsoft.com/office/word/2010/wordml" w:rsidRPr="001641E7" w:rsidR="001860AB" w:rsidP="001860AB" w:rsidRDefault="001860AB" w14:paraId="27224D9D" wp14:textId="77777777">
      <w:pPr>
        <w:rPr>
          <w:sz w:val="12"/>
        </w:rPr>
      </w:pPr>
      <w:r w:rsidRPr="001641E7">
        <w:rPr>
          <w:sz w:val="12"/>
        </w:rPr>
        <w:t xml:space="preserve">Immunitary Fabric </w:t>
      </w:r>
      <w:r w:rsidRPr="001641E7">
        <w:rPr>
          <w:rStyle w:val="StyleUnderline"/>
        </w:rPr>
        <w:t>All cultural productions of toxicity must be rethought as an integral part of the affective fabric of immunity nationalism.</w:t>
      </w:r>
      <w:r w:rsidRPr="001641E7">
        <w:rPr>
          <w:sz w:val="12"/>
        </w:rPr>
        <w:t xml:space="preserve"> When immunity nationalism is individuated through biopower, in a culture of responsibility, self- care, anxious monitoring, and the like, toxicity becomes a predictable figure. The apprehension of a toxin relies minimally on two discourses: “science” and “the body.” Science studies and feminist studies have worked to study and materially reground these two figures which often stand as both ontologically basal and hence unindictable. In Bodies That Matter, Judith Butler engages the biological insofar as she asks us to reconsider the discursive pinning of “sex” to biology and of “gender” to the realm of social and cultural life; but as she warns us, assigning originary status to “sex” or biology obfuscates gender’s contribution to (and ontologizing of ) sex; that is, both gender and sex “matter.”11 Rather than displacing the extant materiality of the body, she focuses on its partially ontologizing figurations. It is often hard to get a grip on what, precisely, “the body” is supposed to mean and what we ask it to do, and on how we demand of it so much symbolically, materially, and theoretically. Questions of “the body” become particularly complex when taking into account the various mixings, hybridizations, and impurities that accompany contemporary bodily forms, from genetically modified food to the cyborg triumphed by Donna Haraway.12 What, indeed, becomes of life now that Haraway’s vision has in some regard prevailed? Though her “Manifesto for Cyborgs” is over twenty- five years old, it has proved eerily prescient in its view of the ever- seamless integration of machines, humans, animals, and structures of capital. </w:t>
      </w:r>
      <w:r w:rsidRPr="001641E7">
        <w:rPr>
          <w:rStyle w:val="StyleUnderline"/>
        </w:rPr>
        <w:t>Human bodies, those preeminent containers of life, are themselves pervaded by xenobiotic substances and nanotechnologies. Toxicity becomes significant now for reasons beyond the pressing environmental hazards that encroach into zones of privilege, beyond late- transnational capitalism doing violence to national integrities.</w:t>
      </w:r>
      <w:r w:rsidRPr="001641E7">
        <w:rPr>
          <w:sz w:val="12"/>
        </w:rPr>
        <w:t xml:space="preserve"> Because of debates around abortion (such as those about when life is technically said to begin) and around the lifeliness or deathliness of those in “persistent vegetative states,” not only can we not tell what is alive or dead, but </w:t>
      </w:r>
      <w:r w:rsidRPr="001641E7">
        <w:rPr>
          <w:rStyle w:val="StyleUnderline"/>
        </w:rPr>
        <w:t>the diagnostic promise of the categories of life and death is itself in crisis, not least when thinking through the “necropolitics” that Achille Mbembe proposes for postcolonial modes of analysis.</w:t>
      </w:r>
      <w:r w:rsidRPr="001641E7">
        <w:rPr>
          <w:sz w:val="12"/>
        </w:rPr>
        <w:t xml:space="preserve">13 </w:t>
      </w:r>
      <w:r w:rsidRPr="001641E7">
        <w:rPr>
          <w:rStyle w:val="StyleUnderline"/>
        </w:rPr>
        <w:t>For when biopolitics builds itself upon “life” or “death” or even Agamben’s “bare life”</w:t>
      </w:r>
      <w:r w:rsidRPr="001641E7">
        <w:rPr>
          <w:sz w:val="12"/>
        </w:rPr>
        <w:t>14—</w:t>
      </w:r>
      <w:r w:rsidRPr="001641E7">
        <w:rPr>
          <w:rStyle w:val="StyleUnderline"/>
        </w:rPr>
        <w:t xml:space="preserve">much like kinship notions that build only upon humans and hence fail to recognize integral presences of nonhuman animals—it risks missing its cosubstantiating contingencies in which not only the dead have died for life, but the inanimate and animate are both subject to the biopolitical hand. </w:t>
      </w:r>
      <w:r w:rsidRPr="001641E7">
        <w:rPr>
          <w:sz w:val="12"/>
        </w:rPr>
        <w:t xml:space="preserve">Nan Enstad notes that </w:t>
      </w:r>
      <w:r w:rsidRPr="001641E7">
        <w:rPr>
          <w:rStyle w:val="StyleUnderline"/>
        </w:rPr>
        <w:t xml:space="preserve">toxicity forces us “to bridge the analytical polarization of global and local by placing the body in </w:t>
      </w:r>
      <w:r w:rsidRPr="001641E7">
        <w:rPr>
          <w:rStyle w:val="StyleUnderline"/>
        </w:rPr>
        <w:lastRenderedPageBreak/>
        <w:t>the picture” and to consider commodities in new ways in the context of global capitalism, for instance, “capitalism’s remarkable success at infusing lives and bodies around the world with its products and by- products.”</w:t>
      </w:r>
      <w:r w:rsidRPr="001641E7">
        <w:rPr>
          <w:sz w:val="12"/>
        </w:rPr>
        <w:t xml:space="preserve">15 Yet, considering the reach of toxicity thinking described earlier, I would like to expand her fairly concrete take on “the body” (for all the discursive complication she admits) by suggesting that many bodies are subject to the toxic—even toxins themselves—and that it is worth examining the toxicities that seem to trouble more than human bodies. Indeed, it is one way for us to challenge the conceptual integrity of our notions of “the body.” </w:t>
      </w:r>
      <w:r w:rsidRPr="001641E7">
        <w:rPr>
          <w:rStyle w:val="StyleUnderline"/>
        </w:rPr>
        <w:t>For biopolitical governance to remain effective, there must be porous or even co- constituting bonds between human individual bodies and the body of a nation, a state, and even a racial locus like “whiteness.” This is especially salient within the complex political, legal, and medical developments of immunity. For toxicity’s coextant figure is</w:t>
      </w:r>
      <w:r w:rsidRPr="001641E7">
        <w:rPr>
          <w:sz w:val="12"/>
        </w:rPr>
        <w:t xml:space="preserve"> immunity: to be more precise, </w:t>
      </w:r>
      <w:r w:rsidRPr="001641E7">
        <w:rPr>
          <w:rStyle w:val="StyleUnderline"/>
        </w:rPr>
        <w:t>threatened immunity. Immune systems are themselves constituted by the intertwinings of scientific, public, and political cultures together.</w:t>
      </w:r>
      <w:r w:rsidRPr="001641E7">
        <w:rPr>
          <w:sz w:val="12"/>
        </w:rPr>
        <w:t xml:space="preserve">16 Even further, we know that the medicalized notion of immunity was derived from political brokerages. It is no surprise that </w:t>
      </w:r>
      <w:r w:rsidRPr="001641E7">
        <w:rPr>
          <w:rStyle w:val="StyleUnderline"/>
        </w:rPr>
        <w:t>discourses on sickness bleed from medical immunity discourse into nationalist rhetoric.</w:t>
      </w:r>
      <w:r w:rsidRPr="001641E7">
        <w:rPr>
          <w:sz w:val="12"/>
        </w:rPr>
        <w:t xml:space="preserve"> Ed Cohen’s A Body Worth Defending details the history of immunity as a legal concept, tracking its eventual adoption into medicine, a step that eventually enabled people to speak of immune systems with a singular possessive, as in “my immune system.”17 Cohen’s historicization of immunity gives insight into the breadth of contemporary expressions of immunity and toxicity, and their many affects in relation to threat. Analyzing the period after this discursive migration, Emily Martin’s anthropological study of twentieth- century immune systems, Flexible Bodies, details a twentieth- century shift in contemporary thinking about immunity to something private or personal— “maintained by internal processes”—away from a previous focus on public hygiene, in which immunity was seen as “related to unconnected factors from the outside.”18 This internalization, even </w:t>
      </w:r>
      <w:r w:rsidRPr="001641E7">
        <w:rPr>
          <w:rStyle w:val="StyleUnderline"/>
        </w:rPr>
        <w:t>privatization</w:t>
      </w:r>
      <w:r w:rsidRPr="001641E7">
        <w:rPr>
          <w:sz w:val="12"/>
        </w:rPr>
        <w:t xml:space="preserve">, </w:t>
      </w:r>
      <w:r w:rsidRPr="001641E7">
        <w:rPr>
          <w:rStyle w:val="StyleUnderline"/>
        </w:rPr>
        <w:t>of immunity helps to explain the particular indignation that toxicity evokes, since it is understood as an unnaturally external force that violates (rather than informs) an integral and bounded self.</w:t>
      </w:r>
      <w:r w:rsidRPr="001641E7">
        <w:rPr>
          <w:sz w:val="12"/>
        </w:rPr>
        <w:t xml:space="preserve"> </w:t>
      </w:r>
      <w:r w:rsidRPr="001641E7">
        <w:rPr>
          <w:rStyle w:val="StyleUnderline"/>
        </w:rPr>
        <w:t xml:space="preserve">This is what Cohen calls the “apotheosis of the modern body,” the abandonment of humans’ integral relation to their environments and the insistence on a radical segregation of self and world fueled by a bellicose antagonism. </w:t>
      </w:r>
      <w:r w:rsidRPr="001641E7">
        <w:rPr>
          <w:sz w:val="12"/>
        </w:rPr>
        <w:t xml:space="preserve">We can further consider the Italian political philosopher Ricardo Esposito’s elucidation of the ways in which </w:t>
      </w:r>
      <w:r w:rsidRPr="001641E7">
        <w:rPr>
          <w:rStyle w:val="StyleUnderline"/>
        </w:rPr>
        <w:t>immunity seems to work as a kind of destructive “negative protection of life.”</w:t>
      </w:r>
      <w:r w:rsidRPr="001641E7">
        <w:rPr>
          <w:sz w:val="12"/>
        </w:rPr>
        <w:t xml:space="preserve">19 </w:t>
      </w:r>
      <w:r w:rsidRPr="001641E7">
        <w:rPr>
          <w:rStyle w:val="StyleUnderline"/>
        </w:rPr>
        <w:t>In Esposito’s “immunizing paradigm,” immunity is contracted on a “poisoned” affect of gratitude (on the basis of membership in a community) that undercuts the final possibility of individual immunity. Esposito identifies the shaky prescription of the introjection of the negative agent as a way to defend against its exterior identity.</w:t>
      </w:r>
      <w:r w:rsidRPr="001641E7">
        <w:rPr>
          <w:sz w:val="12"/>
        </w:rPr>
        <w:t xml:space="preserve"> Intriguingly, through “poisoned” affect, or an affect of gratitude that is somehow fatally compromised, toxicity thus sneaks into Esposito’s elaboration of immunity in the realm of affect rather than as a formal object; it is thus never fully addressed beyond the given questions of negativity in relation to immunity. This may not be surprising, as the history of immunity does not confirm that toxicity was there from the start. But if it was not there, then what was? It could be productive, I think, to use this theorization of immunity to ask questions of the absence or presence of toxicity (both are here) as a means of approaching immunity, and particularly to take the consideration of “poisoned” affect and its compromise to individual immunity further. I suggest that </w:t>
      </w:r>
      <w:r w:rsidRPr="001641E7">
        <w:rPr>
          <w:rStyle w:val="StyleUnderline"/>
        </w:rPr>
        <w:t>toxicity incontrovertibly meddles with the relations of subject and object required for even the kind of contractual immunitary ordering</w:t>
      </w:r>
      <w:r w:rsidRPr="001641E7">
        <w:rPr>
          <w:sz w:val="12"/>
        </w:rPr>
        <w:t xml:space="preserve"> that Esposito suggests. Thus, </w:t>
      </w:r>
      <w:r w:rsidRPr="001641E7">
        <w:rPr>
          <w:rStyle w:val="StyleUnderline"/>
        </w:rPr>
        <w:t>while the threat of toxicity is held to a clear subject- object relation, intoxication (of an object by a toxin) is never held to an advantageous “homeopathic” quantity (in light of the biopolitical interjection of negativity): indeed, this is the function of poisoned affect seen fully through. Not only is political immunity challenged, the very nature of this alteration cannot be fully known. Who is, after all, the subject here? What if the object, which is itself a subject, has been substantively and subjectively altered by the toxin?</w:t>
      </w:r>
      <w:r w:rsidRPr="001641E7">
        <w:rPr>
          <w:sz w:val="12"/>
        </w:rPr>
        <w:t xml:space="preserve"> Could we tell a history of intoxication in relation to political immunity that sits next to Esposito’s? There are clearly many more questions than answers here about the history of the political affect of immunity.</w:t>
      </w:r>
    </w:p>
    <w:p xmlns:wp14="http://schemas.microsoft.com/office/word/2010/wordml" w:rsidRPr="001641E7" w:rsidR="001860AB" w:rsidP="001860AB" w:rsidRDefault="001860AB" w14:paraId="07547A01" wp14:textId="77777777"/>
    <w:p xmlns:wp14="http://schemas.microsoft.com/office/word/2010/wordml" w:rsidRPr="001641E7" w:rsidR="001860AB" w:rsidP="001860AB" w:rsidRDefault="001860AB" w14:paraId="704249C7" wp14:textId="77777777">
      <w:pPr>
        <w:pStyle w:val="Heading4"/>
        <w:rPr>
          <w:rFonts w:cs="Arial"/>
        </w:rPr>
      </w:pPr>
      <w:r w:rsidRPr="001641E7">
        <w:rPr>
          <w:rFonts w:cs="Arial"/>
        </w:rPr>
        <w:t>The concept of work that subtends hierarchizations of productive immigration is fundamentally anti-black.  The figure of the hardworking immigrant is pitted against black people simultaneously constructed as lazy and antagonistic to capitalist civil society and as nativists xenophobes</w:t>
      </w:r>
    </w:p>
    <w:p xmlns:wp14="http://schemas.microsoft.com/office/word/2010/wordml" w:rsidRPr="001641E7" w:rsidR="001860AB" w:rsidP="001860AB" w:rsidRDefault="001860AB" w14:paraId="42E4FEEC" wp14:textId="77777777">
      <w:r w:rsidRPr="001641E7">
        <w:rPr>
          <w:rStyle w:val="Style13ptBold"/>
        </w:rPr>
        <w:t xml:space="preserve">Nopper 11 </w:t>
      </w:r>
      <w:r w:rsidRPr="001641E7">
        <w:t xml:space="preserve">[Tamara K., Sociology and Asian American Studies @ University of Pennsylvania, “The Wages of Non-Blackness: Contemporary Immigrant Rights and Discourse of Character, </w:t>
      </w:r>
      <w:r w:rsidRPr="001641E7">
        <w:lastRenderedPageBreak/>
        <w:t xml:space="preserve">Productivity, and Value, </w:t>
      </w:r>
      <w:r w:rsidRPr="001641E7">
        <w:rPr>
          <w:i/>
        </w:rPr>
        <w:t>In</w:t>
      </w:r>
      <w:r w:rsidRPr="001641E7">
        <w:t>Tensions Journal Issue 5 (Fall/Winter 2011), pp. 2-23// http://www.yorku.ca/intent/issue5/articles/pdfs/tamaraknopperarticle.pdf]</w:t>
      </w:r>
    </w:p>
    <w:p xmlns:wp14="http://schemas.microsoft.com/office/word/2010/wordml" w:rsidRPr="001641E7" w:rsidR="001860AB" w:rsidP="001860AB" w:rsidRDefault="001860AB" w14:paraId="75A28479" wp14:textId="77777777">
      <w:pPr>
        <w:rPr>
          <w:rStyle w:val="StyleUnderline"/>
        </w:rPr>
      </w:pPr>
      <w:r w:rsidRPr="001641E7">
        <w:rPr>
          <w:sz w:val="8"/>
        </w:rPr>
        <w:t xml:space="preserve">[4] Rather than engage in an empirical debate regarding whether Navarrette’s claims about African Americans’ interest in returning to New Orleans is accurate, I want to consider how Navarrette valorizes immigrants for being willing to move to a city where, as he describes, “22 million tons of garbage are littering the streets, including rotten food.” An obvious issue, of course, is the castigation of African Americans for not wanting to live in unsanitary and hazardous conditions. Another is how Navarrette poses the purported willingness of Latino immigrants to reside and work in such conditions as indicative of their character. </w:t>
      </w:r>
      <w:r w:rsidRPr="001641E7">
        <w:rPr>
          <w:rStyle w:val="StyleUnderline"/>
        </w:rPr>
        <w:t xml:space="preserve">As the columnist suggests, </w:t>
      </w:r>
      <w:r w:rsidRPr="001641E7">
        <w:rPr>
          <w:rStyle w:val="StyleUnderline"/>
          <w:highlight w:val="green"/>
        </w:rPr>
        <w:t>African Americans</w:t>
      </w:r>
      <w:r w:rsidRPr="001641E7">
        <w:rPr>
          <w:rStyle w:val="StyleUnderline"/>
        </w:rPr>
        <w:t xml:space="preserve">, by purportedly refusing to endure more suffering beyond that which they experienced before and during the actual Hurricane and rescue efforts (Sexton), </w:t>
      </w:r>
      <w:r w:rsidRPr="001641E7">
        <w:rPr>
          <w:rStyle w:val="StyleUnderline"/>
          <w:highlight w:val="green"/>
        </w:rPr>
        <w:t>are too accustomed to leisure, whereas Latinos are accustomed to hard work.</w:t>
      </w:r>
      <w:r w:rsidRPr="001641E7">
        <w:rPr>
          <w:rStyle w:val="StyleUnderline"/>
        </w:rPr>
        <w:t xml:space="preserve"> As non-immigrants, African Americans, according to Navarrette, have become too dependent on welfare</w:t>
      </w:r>
      <w:r w:rsidRPr="001641E7">
        <w:rPr>
          <w:sz w:val="8"/>
        </w:rPr>
        <w:t xml:space="preserve">: there’s a struggle of competing values. City officials say that one thing that keeps former residents from wanting to give New Orleans another chance is the lack of subsidized housing. Guess what? Latino immigrants have to contend with the same shortage. The difference is that the immigrants are not sitting around and waiting for government to come to the rescue. They’re probably living two or three families to a house, and saving money to buy a home of their own. That’s how it used to be in this country before the advent of the welfare state. And, if immigrants win this tug of war, that’s the way it’ll be again. Let’s understand the stakes. This is a struggle between those who want to be seen as delivering salvation and those who believe that everyone is responsible for saving themselves. (2) [5] </w:t>
      </w:r>
      <w:r w:rsidRPr="001641E7">
        <w:rPr>
          <w:rStyle w:val="StyleUnderline"/>
        </w:rPr>
        <w:t>Navarrette’s claim that African Americans lack character due to environmental factors, in his case, “the advent of the welfare state” (2), echoes similar environmental arguments made by white imperialists towards non-Whites. For example, consider how a white U.S. official involved in the colonization of Samoa in the early 20th century equated enduring hardship with character; in the following remark, Samoans are depicted as too accustomed to leisure—in this case because of the beautiful natural environment—or at least a lack of deprivation, and thus void of character: Taken as a whole the people lack character. It is doubtless a natural law that there can be no development without hardship, and nature here is so kind that the natives practically never have to face hardships. They move along through life, as did many generations of their forefathers, without the necessity of any great amount of work or of privation. The result is that they are amiable, but lack seriousness.</w:t>
      </w:r>
      <w:r w:rsidRPr="001641E7">
        <w:rPr>
          <w:sz w:val="8"/>
        </w:rPr>
        <w:t xml:space="preserve"> (quoted in Go 41) [6] </w:t>
      </w:r>
      <w:r w:rsidRPr="001641E7">
        <w:rPr>
          <w:rStyle w:val="StyleUnderline"/>
          <w:highlight w:val="green"/>
        </w:rPr>
        <w:t>Navarrette’s commentary</w:t>
      </w:r>
      <w:r w:rsidRPr="001641E7">
        <w:rPr>
          <w:rStyle w:val="StyleUnderline"/>
        </w:rPr>
        <w:t xml:space="preserve">, then, </w:t>
      </w:r>
      <w:r w:rsidRPr="001641E7">
        <w:rPr>
          <w:rStyle w:val="StyleUnderline"/>
          <w:highlight w:val="green"/>
        </w:rPr>
        <w:t>relies on tropes popular among white colonizers of the 20th century which posited that those who have endured hardships are more</w:t>
      </w:r>
      <w:r w:rsidRPr="001641E7">
        <w:rPr>
          <w:rStyle w:val="StyleUnderline"/>
        </w:rPr>
        <w:t xml:space="preserve"> evolved and thus </w:t>
      </w:r>
      <w:r w:rsidRPr="001641E7">
        <w:rPr>
          <w:rStyle w:val="StyleUnderline"/>
          <w:highlight w:val="green"/>
        </w:rPr>
        <w:t>prepared to develop nations</w:t>
      </w:r>
      <w:r w:rsidRPr="001641E7">
        <w:rPr>
          <w:sz w:val="8"/>
        </w:rPr>
        <w:t xml:space="preserve">, or in the case of New Orleans, rebuild cities. </w:t>
      </w:r>
      <w:r w:rsidRPr="001641E7">
        <w:rPr>
          <w:rStyle w:val="StyleUnderline"/>
          <w:highlight w:val="green"/>
        </w:rPr>
        <w:t>Competition over jobs and space between African Americans and other groups</w:t>
      </w:r>
      <w:r w:rsidRPr="001641E7">
        <w:rPr>
          <w:rStyle w:val="StyleUnderline"/>
        </w:rPr>
        <w:t>, then, comes down to a “tug of war” between groups with “competing values”</w:t>
      </w:r>
      <w:r w:rsidRPr="001641E7">
        <w:rPr>
          <w:sz w:val="8"/>
        </w:rPr>
        <w:t xml:space="preserve"> (Navarrette 2) engendered by environmental factors. Unfortunately, Navarrette is not alone in believing that who gets jobs is just a matter of cultural values or that African Americans lack the necessary character to endure harsh conditions, work, or keep a job. Indeed, </w:t>
      </w:r>
      <w:r w:rsidRPr="001641E7">
        <w:rPr>
          <w:rStyle w:val="StyleUnderline"/>
        </w:rPr>
        <w:t xml:space="preserve">a host of sociological studies indicate that such perspectives are common among </w:t>
      </w:r>
      <w:r w:rsidRPr="001641E7">
        <w:rPr>
          <w:rStyle w:val="StyleUnderline"/>
          <w:highlight w:val="green"/>
        </w:rPr>
        <w:t>employers</w:t>
      </w:r>
      <w:r w:rsidRPr="001641E7">
        <w:rPr>
          <w:sz w:val="8"/>
        </w:rPr>
        <w:t xml:space="preserve"> (Moss and Tilly, Neckerman and Kirschenman, Park, and Thomas). This research has found that they </w:t>
      </w:r>
      <w:r w:rsidRPr="001641E7">
        <w:rPr>
          <w:rStyle w:val="StyleUnderline"/>
          <w:highlight w:val="green"/>
        </w:rPr>
        <w:t>perceive African Americans as lazy, criminal, undisciplined, and lacking</w:t>
      </w:r>
      <w:r w:rsidRPr="001641E7">
        <w:rPr>
          <w:rStyle w:val="StyleUnderline"/>
        </w:rPr>
        <w:t xml:space="preserve"> what William Julius Wilson labels </w:t>
      </w:r>
      <w:r w:rsidRPr="001641E7">
        <w:rPr>
          <w:rStyle w:val="StyleUnderline"/>
          <w:highlight w:val="green"/>
        </w:rPr>
        <w:t>“soft skills,” or “personalities suitable to the work environment</w:t>
      </w:r>
      <w:r w:rsidRPr="001641E7">
        <w:rPr>
          <w:rStyle w:val="StyleUnderline"/>
        </w:rPr>
        <w:t>, good grooming, group-oriented work behaviors, etc.”</w:t>
      </w:r>
      <w:r w:rsidRPr="001641E7">
        <w:rPr>
          <w:sz w:val="8"/>
        </w:rPr>
        <w:t xml:space="preserve"> (136). [7] </w:t>
      </w:r>
      <w:r w:rsidRPr="001641E7">
        <w:rPr>
          <w:rStyle w:val="StyleUnderline"/>
        </w:rPr>
        <w:t>In many cases, employers of different racial backgrounds valorize NBPOC in relation to African Americans. For instance, Edward Park, studying race and hiring in Silicon Valley, reports that one white personnel manager commented: “Asians work hard due to their Confucian culture. They have loyalty to the company and view the company like a family. Latinos in America also work hard because they had to. Working as migrant farmers for all these years has instilled a hard work ethic in them”</w:t>
      </w:r>
      <w:r w:rsidRPr="001641E7">
        <w:rPr>
          <w:sz w:val="8"/>
        </w:rPr>
        <w:t xml:space="preserve"> (quoted in Park 230). </w:t>
      </w:r>
      <w:r w:rsidRPr="001641E7">
        <w:rPr>
          <w:rStyle w:val="StyleUnderline"/>
        </w:rPr>
        <w:t>The same manager made an environmental argument about African Americans that echoed Navarrette’s claim: “And blacks. I think they have lost much of their work ethic, and it’s really the fault of the welfare system. Why work when you can have the same income and maybe even better benefits from the welfare office?”</w:t>
      </w:r>
      <w:r w:rsidRPr="001641E7">
        <w:rPr>
          <w:sz w:val="8"/>
        </w:rPr>
        <w:t xml:space="preserve"> (quoted in Park 230). [8] </w:t>
      </w:r>
      <w:r w:rsidRPr="001641E7">
        <w:rPr>
          <w:rStyle w:val="StyleUnderline"/>
        </w:rPr>
        <w:t xml:space="preserve">Along with celebrating the pliancy of NBPOC, cast by this manager as “loyalty” and a work ethic derived from a history of migrant labor—a point hearkening back to the aforementioned colonizing discourses of hard labor as a source of character building—African Americans are depicted by employers as lazy. They are also perceived as too militant and demanding of rights, presumably a subterfuge meant to conceal a lack of work ethic. One of Park’s respondents, a white business owner, for example, argued that environmental changes ushered in by the Civil Rights Movement have made African Americans too vigilant and therefore less </w:t>
      </w:r>
      <w:r w:rsidRPr="001641E7">
        <w:rPr>
          <w:rStyle w:val="StyleUnderline"/>
        </w:rPr>
        <w:lastRenderedPageBreak/>
        <w:t xml:space="preserve">manageable than NBPOC: </w:t>
      </w:r>
      <w:r w:rsidRPr="001641E7">
        <w:rPr>
          <w:sz w:val="8"/>
        </w:rPr>
        <w:t xml:space="preserve">As a small businessman, my main fear is having a worker who is bent on filing formal complaints or lawsuits. It would surely drive me out of business. As I see it, Asians and Mexicans are generally not like that. If they have a problem, they try and solve it personally, or they just go to another company. But whites and blacks, they like to stand up for their rights, even if it means they can drive me out of business and all of the other workers lose their jobs. For blacks, I’m afraid that they will not just involve lawyers but bring outsiders, like the NAACP or the Black Panther’s Party or whatever they have now. Then I’m really dead. (quoted in Park 230) [9] Part of the problem, according to this employer, is not so much that Blacks and Whites purportedly act similarly. Rather, as suggested by the references to the NAACP and the Black Panther Party, Blacks bully or physically threaten employers to see them as equal to Whites and thus don’t “know their place” in the American racial hierarchy. </w:t>
      </w:r>
      <w:r w:rsidRPr="001641E7">
        <w:rPr>
          <w:rStyle w:val="StyleUnderline"/>
        </w:rPr>
        <w:t xml:space="preserve">Efforts by African Americans to secure or keep their jobs through political activism and intra-racial solidarity are thus devious and violent acts. Blacks are also considered delusional as indicated by their purported misidentification with Whites as fellow Americans or equals. </w:t>
      </w:r>
      <w:r w:rsidRPr="001641E7">
        <w:rPr>
          <w:sz w:val="8"/>
        </w:rPr>
        <w:t xml:space="preserve">While such remarks come from people whose job is to manage others in the name of making profits, far too many others echo this sentiment. Navarrette, in his column, states, “Ironically, a lot of what’s being said by these folks resembles what white nativists say in the immigration debate” (1). [10] Given Navarrette’s racist commentary about African Americans and welfare use, it is perhaps easy for some to dismiss his discussion of Black nativism. Yet </w:t>
      </w:r>
      <w:r w:rsidRPr="001641E7">
        <w:rPr>
          <w:rStyle w:val="StyleUnderline"/>
          <w:highlight w:val="green"/>
        </w:rPr>
        <w:t>even among progressives concerned with interracial solidarity and social justice, “Black citizenship” is treated as a form of privilege that African Americans exert over immigrants. Thus, immigrant status, and the very real vulnerability and structural exploitation of poor and working-class immigrants serve as a moral claim deployed against African Americans when the latter have difficulty getting jobs that purportedly “only immigrants will work.”</w:t>
      </w:r>
      <w:r w:rsidRPr="001641E7">
        <w:rPr>
          <w:sz w:val="8"/>
        </w:rPr>
        <w:t xml:space="preserve"> For example, in an article published on the website of the North American Congress on Latin America, Claudia Sandoval, exploring Black-Latino conflict in Chicago, writes: the nationwide anti-immigrant discourse in the mainstream media and in politics has posed a powerful challenge to black-Latino coalition politics, since it groups Chicago’s Whites together with African Americans within the category of lawful, hard-working citizens—as defined against a criminal, alien Latino Other. (36) [11] One example Sandoval gives of African Americans being “grouped” with Whites as “lawful, hard-working citizens” is that of “a group of about 10 to 15 African American men” who “held a demonstration outside a meat-processing plant, shouting ‘Illegal!’ at Latino workers” (37). “Through this frame,” Sandoval argues: African Americans have the advantage of symbolically belonging to (white) U.S. society—’symbolically’ because any actions that African Americans take on the immigration debate does not change the existing racial structure of white dominance, dominance, much less translate into substantive change for their own life chances (39). [12] While I agree with Sandoval that </w:t>
      </w:r>
      <w:r w:rsidRPr="001641E7">
        <w:rPr>
          <w:rStyle w:val="StyleUnderline"/>
        </w:rPr>
        <w:t>African Americans are not imagined or treated as real U.S. citizens despite their legal citizenship status</w:t>
      </w:r>
      <w:r w:rsidRPr="001641E7">
        <w:rPr>
          <w:sz w:val="8"/>
        </w:rPr>
        <w:t xml:space="preserve">, I want to consider how Sandoval’s </w:t>
      </w:r>
      <w:r w:rsidRPr="001641E7">
        <w:rPr>
          <w:rStyle w:val="StyleUnderline"/>
          <w:highlight w:val="green"/>
        </w:rPr>
        <w:t>discussion of African Americans’ “symbolic” citizenship</w:t>
      </w:r>
      <w:r w:rsidRPr="001641E7">
        <w:rPr>
          <w:sz w:val="8"/>
        </w:rPr>
        <w:t xml:space="preserve">, as opposed to legitimate citizenship, </w:t>
      </w:r>
      <w:r w:rsidRPr="001641E7">
        <w:rPr>
          <w:rStyle w:val="StyleUnderline"/>
          <w:highlight w:val="green"/>
        </w:rPr>
        <w:t>serves to negate an adequate discussion of Black structural vulnerability in the economy as well as in debates regarding work and productivity.</w:t>
      </w:r>
      <w:r w:rsidRPr="001641E7">
        <w:rPr>
          <w:rStyle w:val="StyleUnderline"/>
        </w:rPr>
        <w:t xml:space="preserve"> </w:t>
      </w:r>
      <w:r w:rsidRPr="001641E7">
        <w:rPr>
          <w:sz w:val="8"/>
        </w:rPr>
        <w:t xml:space="preserve">Despite pointing out the high unemployment rate of African Americans, Sandoval does so to suggest that Black Chicagoans may be easily seduced by rhetoric that “aims to drive a wedge between ‘illegal aliens’ and ‘working families’ of whatever race” (37). Some African Americans may be anti-immigrant as well as concerned with non-citizens being offered jobs that Black people often can’t get—as opposed to unwilling to work. Yet given the wealth of evidence documenting the negative perception of African Americans as lazy, undisciplined, and dependent as a belief common among more than just employers or writers such as Navarrette (Ransby), it is highly unlikely that, to non-Blacks, African Americans are the face of “working families.” Sandoval’s discussion also ironically echoes some of the frustration expressed by employers that Blacks have a false sense of equality with Whites. </w:t>
      </w:r>
      <w:r w:rsidRPr="001641E7">
        <w:rPr>
          <w:rStyle w:val="StyleUnderline"/>
        </w:rPr>
        <w:t xml:space="preserve">Because African Americans in Sandoval’s account are suffering from “false consciousness” of their citizenship status (my words, not hers), their demands for work and claims to productivity are de-legitimized. Sandoval’s depiction implies that African Americans do not have a legitimate claim to jobs or productivity when immigrants are involved, because to assert as much is xenophobic. </w:t>
      </w:r>
      <w:r w:rsidRPr="001641E7">
        <w:rPr>
          <w:sz w:val="8"/>
        </w:rPr>
        <w:t xml:space="preserve">[13] By emphasizing Black xenophobia in relationship to the status of undocumented immigrants, some of whose stories of deportation she details, Sandoval also casts the undocumented immigrant as a much more sympathetic figure than the Black Chicagoans who, she reports, suffer from an unemployment rate twice that of the national rate (37). Indeed, </w:t>
      </w:r>
      <w:r w:rsidRPr="001641E7">
        <w:rPr>
          <w:rStyle w:val="StyleUnderline"/>
          <w:highlight w:val="green"/>
        </w:rPr>
        <w:t>it is precisely by emphasizing the illegal status of some immigrants as well as suggesting that Latinos face nativist opposition from both Blacks and Whites that Latino/immigrant productivity is amplified.</w:t>
      </w:r>
      <w:r w:rsidRPr="001641E7">
        <w:rPr>
          <w:rStyle w:val="StyleUnderline"/>
        </w:rPr>
        <w:t xml:space="preserve"> Only the Latino or immigrant, particularly those who are undocumented, cares about work or needs work whereas African Americans, by presumably casting their lot with Whites as “Americans,” are simply engaging in nativism and capitalist exploitation by attempting to control who works and who does not. </w:t>
      </w:r>
      <w:r w:rsidRPr="001641E7">
        <w:rPr>
          <w:sz w:val="8"/>
        </w:rPr>
        <w:t xml:space="preserve">Sandoval also suggests that Blacks are the driving force behind “Black-Latino conflict.” Although contradicting her claim that “any actions that African Americans take on the immigration debate does not change the existing racial structure of white dominance,” Sandoval’s </w:t>
      </w:r>
      <w:r w:rsidRPr="001641E7">
        <w:rPr>
          <w:rStyle w:val="StyleUnderline"/>
        </w:rPr>
        <w:t>positing</w:t>
      </w:r>
      <w:r w:rsidRPr="001641E7">
        <w:rPr>
          <w:sz w:val="8"/>
        </w:rPr>
        <w:t xml:space="preserve"> of </w:t>
      </w:r>
      <w:r w:rsidRPr="001641E7">
        <w:rPr>
          <w:rStyle w:val="StyleUnderline"/>
        </w:rPr>
        <w:t>African Americans as politically selfish, i.e., possessing an “unwillingness to understand the struggle of other U.S. minority groups” (39), reinforces the image of the immigrant worker, particularly those who are undocumented, as overly productive compared to Blacks.</w:t>
      </w:r>
      <w:r w:rsidRPr="001641E7">
        <w:rPr>
          <w:sz w:val="8"/>
        </w:rPr>
        <w:t xml:space="preserve"> The denial of immigrants’ political and social rights, due to xenophobia and anti-Latino racism perpetrated by both Whites and Blacks underscores the economic productivity of the immigrant. </w:t>
      </w:r>
      <w:r w:rsidRPr="001641E7">
        <w:rPr>
          <w:rStyle w:val="StyleUnderline"/>
        </w:rPr>
        <w:t xml:space="preserve">That is, </w:t>
      </w:r>
      <w:r w:rsidRPr="001641E7">
        <w:rPr>
          <w:rStyle w:val="StyleUnderline"/>
          <w:highlight w:val="green"/>
        </w:rPr>
        <w:t>we are to assume that the (illegal) immigrant is permitted to do nothing but labor and to do so in dire conditions and under the vigilant eye of xenophobic African Americans colluding with Whites.</w:t>
      </w:r>
      <w:r w:rsidRPr="001641E7">
        <w:rPr>
          <w:rStyle w:val="StyleUnderline"/>
        </w:rPr>
        <w:t xml:space="preserve"> </w:t>
      </w:r>
      <w:r w:rsidRPr="001641E7">
        <w:rPr>
          <w:sz w:val="8"/>
        </w:rPr>
        <w:t xml:space="preserve">[14] </w:t>
      </w:r>
      <w:r w:rsidRPr="001641E7">
        <w:rPr>
          <w:rStyle w:val="StyleUnderline"/>
          <w:highlight w:val="green"/>
        </w:rPr>
        <w:t>Amplifying the denial of immigrants’ social and political, as well as economic, rights is a general strategy of liberal and progressive defenses of immigration, which generally assert the economic contributions of immigrants, particularly those who are undocumented, to the United States. In this discourse, immigrants are inadvertently praised for being deprived, a gesture that, while meant to emphasize their vulnerable racial status, ironically casts them as akin to (imagined) whiteness as self-reliant and of possessing character developed through hardship. Consider,</w:t>
      </w:r>
      <w:r w:rsidRPr="001641E7">
        <w:rPr>
          <w:rStyle w:val="StyleUnderline"/>
        </w:rPr>
        <w:t xml:space="preserve"> for example, </w:t>
      </w:r>
      <w:r w:rsidRPr="001641E7">
        <w:rPr>
          <w:rStyle w:val="StyleUnderline"/>
          <w:highlight w:val="green"/>
        </w:rPr>
        <w:t>how the taxing of immigrants</w:t>
      </w:r>
      <w:r w:rsidRPr="001641E7">
        <w:rPr>
          <w:rStyle w:val="StyleUnderline"/>
        </w:rPr>
        <w:t xml:space="preserve">, legal and undocumented, </w:t>
      </w:r>
      <w:r w:rsidRPr="001641E7">
        <w:rPr>
          <w:rStyle w:val="StyleUnderline"/>
          <w:highlight w:val="green"/>
        </w:rPr>
        <w:lastRenderedPageBreak/>
        <w:t>is discussed.</w:t>
      </w:r>
      <w:r w:rsidRPr="001641E7">
        <w:rPr>
          <w:rStyle w:val="StyleUnderline"/>
        </w:rPr>
        <w:t xml:space="preserve"> A 2008 Associated Press article titled </w:t>
      </w:r>
      <w:r w:rsidRPr="001641E7">
        <w:rPr>
          <w:rStyle w:val="StyleUnderline"/>
          <w:highlight w:val="green"/>
        </w:rPr>
        <w:t>“At tax time, illegal immigrants are paying too” reports, “The tax system collects its due, even from a class of workers with little likelihood of claiming a refund and no hope of drawing a Social Security check.”</w:t>
      </w:r>
      <w:r w:rsidRPr="001641E7">
        <w:rPr>
          <w:rStyle w:val="StyleUnderline"/>
        </w:rPr>
        <w:t xml:space="preserve"> And in a sociological article, Nadia Kim remarks: </w:t>
      </w:r>
      <w:r w:rsidRPr="001641E7">
        <w:rPr>
          <w:sz w:val="8"/>
        </w:rPr>
        <w:t xml:space="preserve">In sharp contrast to lawmakers’ depictions of immigrants from south of the border as economic burdens, scholarly evidence overwhelmingly points to the equal or greater tax contributions of immigrants. Evidence also reveals the fiscal windfall that the federal government enjoys from taxing undocumented immigrants without accountability. </w:t>
      </w:r>
      <w:r w:rsidRPr="001641E7">
        <w:rPr>
          <w:rStyle w:val="StyleUnderline"/>
        </w:rPr>
        <w:t>The continued exclusion and derision of Mexican and Central American immigrants as economic burdens, when in fact they pay billions in taxes, cast into sharp relief the return to more pernicious racialized class discrimination in U.S. immigration law. No matter what immigrants do, no matter how indispensable they are to the U.S. economy, they are racialized as economic burdens and society’s parasites.</w:t>
      </w:r>
      <w:r w:rsidRPr="001641E7">
        <w:rPr>
          <w:sz w:val="8"/>
        </w:rPr>
        <w:t xml:space="preserve"> (473) [15] </w:t>
      </w:r>
      <w:r w:rsidRPr="001641E7">
        <w:rPr>
          <w:rStyle w:val="StyleUnderline"/>
        </w:rPr>
        <w:t>Seeking to refute the myth that immigrants are what Kim critically labels “society’s parasites</w:t>
      </w:r>
      <w:r w:rsidRPr="001641E7">
        <w:rPr>
          <w:sz w:val="8"/>
        </w:rPr>
        <w:t xml:space="preserve">” (473), Grace Chang, in Disposable Domestics: Immigrant Women Workers in the Global Economy, comments: The notion that immigrants pose a burden on ‘native’ citizens has held fast in public perceptions, despite study after study’s consistent finding that immigrants contribute a great deal more than they ‘cost’ this country. In particular, the perception that immigrants drain the public coffers by heavy dependence on public assistance and social services persist. (28) Chang cites the work of Julian Simon, a professor of business, who found, as she describes, “that ‘illegal’ immigrants provide the greatest economic bonus because they use practically no welfare services, while about three quarters pay Social Security and income taxes” (29). Reporting another finding of Simon’s, Chang states, “His analysis of 1976 Census Bureau data on welfare use and taxes shows that legal immigrants actually use less than their share of medical care, unemployment insurance, food programs, AFDC, retirement programs, and educational programs” (29). [16] Again, these </w:t>
      </w:r>
      <w:r w:rsidRPr="001641E7">
        <w:rPr>
          <w:rStyle w:val="StyleUnderline"/>
        </w:rPr>
        <w:t>defenses of immigrant workers against the charge that they burden U.S. citizens ironically celebrate immigrants for being deprived and exploited. Immigrants’ contribution, then, to the U.S. economy, lies in the willingness to give more than they get, a valorization that informs the aforementioned belief that immigrants have more character than African Americans who are associated with an unwillingness to suffer as much as they purportedly should, and who are associated more generally with waste, excess, and instant gratification</w:t>
      </w:r>
      <w:r w:rsidRPr="001641E7">
        <w:rPr>
          <w:sz w:val="8"/>
        </w:rPr>
        <w:t xml:space="preserve"> (Ransby</w:t>
      </w:r>
      <w:r w:rsidRPr="001641E7">
        <w:rPr>
          <w:rStyle w:val="StyleUnderline"/>
        </w:rPr>
        <w:t xml:space="preserve">). Additionally, the specter of </w:t>
      </w:r>
      <w:r w:rsidRPr="001641E7">
        <w:rPr>
          <w:rStyle w:val="StyleUnderline"/>
          <w:highlight w:val="green"/>
        </w:rPr>
        <w:t>Blackness</w:t>
      </w:r>
      <w:r w:rsidRPr="001641E7">
        <w:rPr>
          <w:rStyle w:val="StyleUnderline"/>
        </w:rPr>
        <w:t>, and specifically the racist and sexist image of Black women as “lazy, promiscuous, and irresponsible”</w:t>
      </w:r>
      <w:r w:rsidRPr="001641E7">
        <w:rPr>
          <w:sz w:val="8"/>
        </w:rPr>
        <w:t xml:space="preserve"> (Ransby 218) </w:t>
      </w:r>
      <w:r w:rsidRPr="001641E7">
        <w:rPr>
          <w:rStyle w:val="StyleUnderline"/>
        </w:rPr>
        <w:t xml:space="preserve">also </w:t>
      </w:r>
      <w:r w:rsidRPr="001641E7">
        <w:rPr>
          <w:rStyle w:val="StyleUnderline"/>
          <w:highlight w:val="green"/>
        </w:rPr>
        <w:t>accentuates the immigrant, and particularly immigrant women, as economically productive and contributing to the U.S. economy due to their reported under-utilization of social welfare services.</w:t>
      </w:r>
      <w:r w:rsidRPr="001641E7">
        <w:rPr>
          <w:rStyle w:val="StyleUnderline"/>
        </w:rPr>
        <w:t xml:space="preserve"> </w:t>
      </w:r>
      <w:r w:rsidRPr="001641E7">
        <w:rPr>
          <w:sz w:val="8"/>
        </w:rPr>
        <w:t xml:space="preserve">[17] </w:t>
      </w:r>
      <w:r w:rsidRPr="001641E7">
        <w:rPr>
          <w:rStyle w:val="StyleUnderline"/>
        </w:rPr>
        <w:t>Whereas poor Black women, many of whom also work (and for low wages), are depicted as draining the resources of the middle class and wealthy, immigrant women are often celebrated for contributing to these classes’ livelihoods and careers. Such sentiment is expressed by those working as domestic workers or advocating on their behalf.</w:t>
      </w:r>
      <w:r w:rsidRPr="001641E7">
        <w:rPr>
          <w:sz w:val="8"/>
        </w:rPr>
        <w:t xml:space="preserve"> For example, at a talk sponsored by the Labor Research Association, Ai-Jen Poo, an organizer with Domestic Workers United (DWU), which represents “Caribbean, Latina and African nannies, housekeepers, and elderly caregivers in New York,” remarks: The role that this great city plays in the global economy is increasingly important in the wake of neoliberal globalization. For the shift in production to countries scattered all over the world demands centralized command posts to coordinate the process of production. New York City is a key city where financial services, corporate law firms, media, and other high-level services are centralized to help coordinate the global economy. There is an increasing demand for professionals who will work in these professional sectors. And there is also an increasing demand for low-wage service workers who will support this work force…New York needs domestic workers, nannies, housekeepers, elder care givers, who do the work in the home that makes it possible for the professional sectors to go to work. New York in fact survives and thrives off of the labor of workers in unregulated sectors. (Web) [18] In Poo’s assessment, </w:t>
      </w:r>
      <w:r w:rsidRPr="001641E7">
        <w:rPr>
          <w:rStyle w:val="StyleUnderline"/>
          <w:highlight w:val="green"/>
        </w:rPr>
        <w:t>the value of immigrant labor is that it buttresses the productivity of those working in corporate professions or who serve as the architects of capital and cultural hegemony in both the United States and the global economy.</w:t>
      </w:r>
      <w:r w:rsidRPr="001641E7">
        <w:rPr>
          <w:rStyle w:val="StyleUnderline"/>
        </w:rPr>
        <w:t xml:space="preserve"> </w:t>
      </w:r>
      <w:r w:rsidRPr="001641E7">
        <w:rPr>
          <w:sz w:val="8"/>
        </w:rPr>
        <w:t xml:space="preserve">To be fair, DWU’s goal of organizing “for power, respect, fair labor standards and to help build a movement to end exploitation and oppression for all” does challenge many employers’ dehumanizing and violent practices as well as the opportunistic brokering of “migration intermediaries” who market and financially benefit from a pliant workforce (Chang, DWU). Yet </w:t>
      </w:r>
      <w:r w:rsidRPr="001641E7">
        <w:rPr>
          <w:rStyle w:val="StyleUnderline"/>
        </w:rPr>
        <w:t>such analysis, while situating immigrant labor within a discussion of neoliberal globalization, is not antagonistic to capital or the rise of global cities and their role as “centralized command posts” in the world economy</w:t>
      </w:r>
      <w:r w:rsidRPr="001641E7">
        <w:rPr>
          <w:sz w:val="8"/>
        </w:rPr>
        <w:t xml:space="preserve"> (Poo). Without discounting the organizing work of DWU and their affiliates, or the risk it takes for the women to demand their rights, we can consider how this representation of immigrant labor as of value to the productivity of global cities and to their middle and wealthy classes may have helped the organization succeed in having the landmark Domestic Workers Bill of Rights recently passed in New York state (DWU). [19] </w:t>
      </w:r>
      <w:r w:rsidRPr="001641E7">
        <w:rPr>
          <w:rStyle w:val="StyleUnderline"/>
        </w:rPr>
        <w:t xml:space="preserve">In the case of </w:t>
      </w:r>
      <w:r w:rsidRPr="001641E7">
        <w:rPr>
          <w:rStyle w:val="StyleUnderline"/>
          <w:highlight w:val="green"/>
        </w:rPr>
        <w:t>immigrant domestic workers</w:t>
      </w:r>
      <w:r w:rsidRPr="001641E7">
        <w:rPr>
          <w:rStyle w:val="StyleUnderline"/>
        </w:rPr>
        <w:t xml:space="preserve">, they </w:t>
      </w:r>
      <w:r w:rsidRPr="001641E7">
        <w:rPr>
          <w:rStyle w:val="StyleUnderline"/>
          <w:highlight w:val="green"/>
        </w:rPr>
        <w:t>are not only celebrated for contributing to the (global) cities in which many of them work, but also for contributing to the development of their home countries through remittances.</w:t>
      </w:r>
      <w:r w:rsidRPr="001641E7">
        <w:rPr>
          <w:sz w:val="8"/>
        </w:rPr>
        <w:t xml:space="preserve"> While a 2011 story in the New York Times (NYT) lauded the stories of such women as “a tale of emotional hardship, but also of female empowerment,” others, such as Chang, situate the reliance on women as transnational breadwinners against the backdrop of structural adjustment programs (SAP) in the third world: “</w:t>
      </w:r>
      <w:r w:rsidRPr="001641E7">
        <w:rPr>
          <w:rStyle w:val="StyleUnderline"/>
        </w:rPr>
        <w:t>Their role as commodities (or, at best, mercenaries) in this global exchange is explicit, as they are both prodded to migrate and lauded for doing so by statesmen calling them the new ‘heroes’ of their countries”</w:t>
      </w:r>
      <w:r w:rsidRPr="001641E7">
        <w:rPr>
          <w:sz w:val="8"/>
        </w:rPr>
        <w:t xml:space="preserve"> (16). Chang’s work rightfully challenges the dubious and short-sighted celebration of “female empowerment” expressed in the NYT article, which conspicuously does not address SAPs. However, Chang’s argument fails to address a specific issue as it relates to African Americans. While Chang, in Disposable Domestics, does discuss the negative impact of SAPs on African Americans in the United States, such as vicious attacks on social welfare, she nevertheless fails to consider that </w:t>
      </w:r>
      <w:r w:rsidRPr="001641E7">
        <w:rPr>
          <w:rStyle w:val="StyleUnderline"/>
          <w:highlight w:val="green"/>
        </w:rPr>
        <w:t xml:space="preserve">the subject of Black labor cannot be adequately explored through a framework of globalization that prioritizes or valorizes the post-WWII immigrant experience. </w:t>
      </w:r>
      <w:r w:rsidRPr="001641E7">
        <w:rPr>
          <w:rStyle w:val="StyleUnderline"/>
        </w:rPr>
        <w:t xml:space="preserve">This is not because African Americans are not economically exploited or </w:t>
      </w:r>
      <w:r w:rsidRPr="001641E7">
        <w:rPr>
          <w:rStyle w:val="StyleUnderline"/>
        </w:rPr>
        <w:lastRenderedPageBreak/>
        <w:t>lack character or are incapable of possessing valued characteristics commonly associated with immigrants. Rather, it is because the value of labor among non-Black people, including NBPOC, is calculated in relationship to that of African Americans according to a “racial calculus and a political arithmetic that were entrenched centuries ago” in which “black lives are still imperiled and devalued”</w:t>
      </w:r>
      <w:r w:rsidRPr="001641E7">
        <w:rPr>
          <w:sz w:val="8"/>
        </w:rPr>
        <w:t xml:space="preserve"> (Hartman 6). </w:t>
      </w:r>
      <w:r w:rsidRPr="001641E7">
        <w:rPr>
          <w:rStyle w:val="StyleUnderline"/>
          <w:highlight w:val="green"/>
        </w:rPr>
        <w:t>Despite working and often doing so in dangerous and hazardous conditions, including prisons, African Americans, unlike vulnerable immigrant workers, are not celebrated as important contributors to the world economy or as assisting in the development and progress of two nations. Indeed, they are not even viewed as (economic) contributors to the country in which they live and at least on paper, have citizenship. As the descendants of slaves, African Americans are what Hartman describes as “strangers”</w:t>
      </w:r>
      <w:r w:rsidRPr="001641E7">
        <w:rPr>
          <w:sz w:val="8"/>
        </w:rPr>
        <w:t xml:space="preserve"> (5), </w:t>
      </w:r>
      <w:r w:rsidRPr="001641E7">
        <w:rPr>
          <w:rStyle w:val="StyleUnderline"/>
          <w:highlight w:val="green"/>
        </w:rPr>
        <w:t>in this case, to the (neoliberal) world order; thus, as workers, African Americans are treated as possessing no productive value and contributing to no economy or nation.</w:t>
      </w:r>
      <w:r w:rsidRPr="001641E7">
        <w:rPr>
          <w:rStyle w:val="StyleUnderline"/>
        </w:rPr>
        <w:t xml:space="preserve"> </w:t>
      </w:r>
      <w:r w:rsidRPr="001641E7">
        <w:rPr>
          <w:sz w:val="8"/>
        </w:rPr>
        <w:t xml:space="preserve">Conclusion [20] When articulating the psychological wage of whiteness, Du Bois provided a lengthier description than that given at the beginning of this article. Speaking of the white laborer, he posited: They were given public deference and titles of courtesy because they were white. They were admitted freely with all classes of white people to public functions, public parks, and the best schools. 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them…The newspapers specialized on news that flattered the poor whites and almost utterly ignored the Negro except in crime and ridicule. (700-1) [21] Du Bois’ characterization of a “public and psychological wage” (700) may read as incompatible with the lived experiences of most NBPOC immigrants living and working in the United States, and understandably so given the virulent racism, white supremacy, structural and interpersonal violence, and surveillance that immigrants of color experience (Brotherton and Kretsedemas). Thus, the wage that white laborers accrued in Du Bois’s account may not be easily recognizable for measuring the public and psychological compensation of post-WWII immigrants of color, particularly those working as low-wage earners. But </w:t>
      </w:r>
      <w:r w:rsidRPr="001641E7">
        <w:rPr>
          <w:rStyle w:val="StyleUnderline"/>
          <w:highlight w:val="green"/>
        </w:rPr>
        <w:t>one does not have to experience the exact same treatment as Whites to have access to the psychological wage of whiteness. One needs simply to have access to the subject category of worker</w:t>
      </w:r>
      <w:r w:rsidRPr="001641E7">
        <w:rPr>
          <w:rStyle w:val="StyleUnderline"/>
        </w:rPr>
        <w:t xml:space="preserve">, access to which requires a particular racial status. As Frank Wilderson reminds us, </w:t>
      </w:r>
      <w:r w:rsidRPr="001641E7">
        <w:rPr>
          <w:rStyle w:val="StyleUnderline"/>
          <w:highlight w:val="green"/>
        </w:rPr>
        <w:t>“work is a white category” (238). The worker, while exploited and demeaned, categorically exists within the logic of civil society. The slave, embodied in the Black, however, cannot be incorporated into the logic of civil society but rather exists as an antagonism and therefore “can not be satisfied through a transfer of ownership/organisation of existing rubrics”</w:t>
      </w:r>
      <w:r w:rsidRPr="001641E7">
        <w:rPr>
          <w:rStyle w:val="StyleUnderline"/>
        </w:rPr>
        <w:t xml:space="preserve"> (231)</w:t>
      </w:r>
      <w:r w:rsidRPr="001641E7">
        <w:rPr>
          <w:rStyle w:val="StyleUnderline"/>
          <w:highlight w:val="green"/>
        </w:rPr>
        <w:t>. Whereas the “worker calls into question the legitimacy of productive practices, the slave calls into question the legitimacy of productivity itself”</w:t>
      </w:r>
      <w:r w:rsidRPr="001641E7">
        <w:rPr>
          <w:rStyle w:val="StyleUnderline"/>
        </w:rPr>
        <w:t xml:space="preserve"> (231). Additionally, the grievance of the worker, i.e., exploitation, may be addressed through the mechanisms of civil society but the slave experiences a suffering, involving accumulation and death, which cannot be relieved through the same means as the worker (234). </w:t>
      </w:r>
      <w:r w:rsidRPr="001641E7">
        <w:rPr>
          <w:sz w:val="8"/>
        </w:rPr>
        <w:t xml:space="preserve">[22] Of course, Wilderson notes, this does not mean that Black people don’t work: </w:t>
      </w:r>
      <w:r w:rsidRPr="001641E7">
        <w:rPr>
          <w:rStyle w:val="StyleUnderline"/>
        </w:rPr>
        <w:t>The fact that millions upon millions of black people work misses the point. The point is we were never meant to be workers;</w:t>
      </w:r>
      <w:r w:rsidRPr="001641E7">
        <w:rPr>
          <w:sz w:val="8"/>
        </w:rPr>
        <w:t xml:space="preserve"> in other words, capital/white supremacy’s dream did not envision us as being incorporated or incorporative. </w:t>
      </w:r>
      <w:r w:rsidRPr="001641E7">
        <w:rPr>
          <w:rStyle w:val="StyleUnderline"/>
        </w:rPr>
        <w:t>From the very beginning, we were meant to be accumulated and die.</w:t>
      </w:r>
      <w:r w:rsidRPr="001641E7">
        <w:rPr>
          <w:sz w:val="8"/>
        </w:rPr>
        <w:t xml:space="preserve"> Work (i.e. the French shipbuilding industry and bourgeois civil society which finally extended its progressive hegemony to workers and peasants to topple the aristocracy) was what grew up all around us—20 to 60 million seeds planted at the bottom of the Atlantic, 5 million seeds planted in Dixie…Today, at the end of the twentieth century, we are still not meant to be workers. We are meant to be warehoused and die. (238) [23] </w:t>
      </w:r>
      <w:r w:rsidRPr="001641E7">
        <w:rPr>
          <w:rStyle w:val="StyleUnderline"/>
        </w:rPr>
        <w:t xml:space="preserve">The difference between the worker and the slave or whiteness/non-Blackness and Blackness is not simply a matter of distinctive formations. Rather, it is an issue of interrelation; </w:t>
      </w:r>
      <w:r w:rsidRPr="001641E7">
        <w:rPr>
          <w:rStyle w:val="StyleUnderline"/>
          <w:highlight w:val="green"/>
        </w:rPr>
        <w:t>it is the civil death of Blacks that girds notions of work—as well as character, productivity, and value.</w:t>
      </w:r>
      <w:r w:rsidRPr="001641E7">
        <w:rPr>
          <w:rStyle w:val="StyleUnderline"/>
        </w:rPr>
        <w:t xml:space="preserve"> Or as Wilderson puts it, “where whiteness is concerned, work registers as a constituent element. And the black body must be processed through a kind of civil death for this constituent element of whiteness to gain coherence”</w:t>
      </w:r>
      <w:r w:rsidRPr="001641E7">
        <w:rPr>
          <w:sz w:val="8"/>
        </w:rPr>
        <w:t xml:space="preserve"> (238). [24] </w:t>
      </w:r>
      <w:r w:rsidRPr="001641E7">
        <w:rPr>
          <w:rStyle w:val="StyleUnderline"/>
        </w:rPr>
        <w:t xml:space="preserve">Whereas poorly paid immigrant workers of color experience a greater degree of vulnerability, exploitation, surveillance, and nativism than that of the white worker, the former’s presumed character, productivity, and value is amplified when their “work” or “willingness to work” is compared to African Americans. In other words, </w:t>
      </w:r>
      <w:r w:rsidRPr="001641E7">
        <w:rPr>
          <w:rStyle w:val="StyleUnderline"/>
          <w:highlight w:val="green"/>
        </w:rPr>
        <w:t>the recognition of immigrant labor as productive is articulated through anti-Black rhetoric and practice.</w:t>
      </w:r>
      <w:r w:rsidRPr="001641E7">
        <w:rPr>
          <w:rStyle w:val="StyleUnderline"/>
        </w:rPr>
        <w:t xml:space="preserve"> As I have shown, such positive albeit at times condescending and disingenuous characterization of immigrants unites capitalists, managers, and immigrant rights’ advocates in a shared discourse that explicitly or implicitly casts immigrants as more akin to Whites and in turn, “not (like) Black(s).” With the addition of liberal and progressive people of color, such an alliance is reminiscent of what Du Bois posited as </w:t>
      </w:r>
      <w:r w:rsidRPr="001641E7">
        <w:rPr>
          <w:rStyle w:val="StyleUnderline"/>
        </w:rPr>
        <w:lastRenderedPageBreak/>
        <w:t>an ideology “uniting the planter and the poor white”</w:t>
      </w:r>
      <w:r w:rsidRPr="001641E7">
        <w:rPr>
          <w:sz w:val="8"/>
        </w:rPr>
        <w:t xml:space="preserve"> (700). </w:t>
      </w:r>
      <w:r w:rsidRPr="001641E7">
        <w:rPr>
          <w:rStyle w:val="StyleUnderline"/>
        </w:rPr>
        <w:t xml:space="preserve">This is precisely why I consider the moral claims regarding character, value, and productivity that are invoked about—as well as by—NBPOC and immigrants as a wage of non-Blackness. </w:t>
      </w:r>
      <w:r w:rsidRPr="001641E7">
        <w:rPr>
          <w:rStyle w:val="StyleUnderline"/>
          <w:highlight w:val="green"/>
        </w:rPr>
        <w:t>If Asian and Latino immigrants, particularly those without documentation, have not yet achieved whiteness,</w:t>
      </w:r>
      <w:r w:rsidRPr="001641E7">
        <w:rPr>
          <w:rStyle w:val="StyleUnderline"/>
        </w:rPr>
        <w:t xml:space="preserve"> or at least do not have the exact same material, political, and social experiences as that of the white laborer Du Bois described, </w:t>
      </w:r>
      <w:r w:rsidRPr="001641E7">
        <w:rPr>
          <w:rStyle w:val="StyleUnderline"/>
          <w:highlight w:val="green"/>
        </w:rPr>
        <w:t>they nevertheless are associated with character, productivity, and value that becomes amplified in relationship to the non-Black world’s perceptions and actual treatment of African Americans.</w:t>
      </w:r>
      <w:r w:rsidRPr="001641E7">
        <w:rPr>
          <w:rStyle w:val="StyleUnderline"/>
        </w:rPr>
        <w:t xml:space="preserve"> </w:t>
      </w:r>
      <w:r w:rsidRPr="001641E7">
        <w:rPr>
          <w:sz w:val="8"/>
        </w:rPr>
        <w:t xml:space="preserve">[25] Overall, </w:t>
      </w:r>
      <w:r w:rsidRPr="001641E7">
        <w:rPr>
          <w:rStyle w:val="StyleUnderline"/>
        </w:rPr>
        <w:t xml:space="preserve">those committed to social justice have a formidable task: articulating </w:t>
      </w:r>
      <w:r w:rsidRPr="001641E7">
        <w:rPr>
          <w:rStyle w:val="StyleUnderline"/>
          <w:highlight w:val="green"/>
        </w:rPr>
        <w:t>the value and rights of the immigrant without relying on pro-white, anti-Black, and pro-capitalist tropes.</w:t>
      </w:r>
      <w:r w:rsidRPr="001641E7">
        <w:rPr>
          <w:rStyle w:val="StyleUnderline"/>
        </w:rPr>
        <w:t xml:space="preserve"> Such a demand for </w:t>
      </w:r>
      <w:r w:rsidRPr="001641E7">
        <w:rPr>
          <w:rStyle w:val="StyleUnderline"/>
          <w:highlight w:val="green"/>
        </w:rPr>
        <w:t>an ethical discourse of immigrant rights is</w:t>
      </w:r>
      <w:r w:rsidRPr="001641E7">
        <w:rPr>
          <w:rStyle w:val="StyleUnderline"/>
        </w:rPr>
        <w:t xml:space="preserve"> most likely </w:t>
      </w:r>
      <w:r w:rsidRPr="001641E7">
        <w:rPr>
          <w:rStyle w:val="StyleUnderline"/>
          <w:highlight w:val="green"/>
        </w:rPr>
        <w:t>impossible within popular frameworks of work, productivity, and value</w:t>
      </w:r>
      <w:r w:rsidRPr="001641E7">
        <w:rPr>
          <w:rStyle w:val="StyleUnderline"/>
        </w:rPr>
        <w:t xml:space="preserve"> as detailed here. Indeed, such discourses perhaps need to be totally taken off of the table as they can, to quote Hartman again, only become legible to the world through the expression of a “racial calculus and a political arithmetic that were entrenched centuries ago” (Hartman 6).</w:t>
      </w:r>
    </w:p>
    <w:p xmlns:wp14="http://schemas.microsoft.com/office/word/2010/wordml" w:rsidRPr="001641E7" w:rsidR="001860AB" w:rsidP="001860AB" w:rsidRDefault="001860AB" w14:paraId="325E19DB" wp14:textId="77777777">
      <w:pPr>
        <w:pStyle w:val="Heading4"/>
        <w:rPr>
          <w:rFonts w:cs="Arial"/>
        </w:rPr>
      </w:pPr>
      <w:r w:rsidRPr="001641E7">
        <w:rPr>
          <w:rFonts w:cs="Arial"/>
        </w:rPr>
        <w:t xml:space="preserve">Furthermore, the work machine is the war machine – work, like war, is the debilitating operation that biopolitically produce the figure of the disabled through </w:t>
      </w:r>
      <w:r w:rsidRPr="001641E7">
        <w:rPr>
          <w:rFonts w:cs="Arial"/>
          <w:u w:val="single"/>
        </w:rPr>
        <w:t>a politics of maiming</w:t>
      </w:r>
      <w:r w:rsidRPr="001641E7">
        <w:rPr>
          <w:rFonts w:cs="Arial"/>
        </w:rPr>
        <w:t>.  Global capitalism and US empire structures debilitation of peoples and places who are figured as pre-disabled, marked for amputation and incapacitation that conditions forced migration</w:t>
      </w:r>
    </w:p>
    <w:p xmlns:wp14="http://schemas.microsoft.com/office/word/2010/wordml" w:rsidRPr="001641E7" w:rsidR="001860AB" w:rsidP="001860AB" w:rsidRDefault="001860AB" w14:paraId="68F2AB6F" wp14:textId="77777777">
      <w:pPr>
        <w:rPr>
          <w:sz w:val="16"/>
        </w:rPr>
      </w:pPr>
      <w:r w:rsidRPr="001641E7">
        <w:rPr>
          <w:rStyle w:val="Style13ptBold"/>
        </w:rPr>
        <w:t>Puar 17</w:t>
      </w:r>
      <w:r w:rsidRPr="001641E7">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63-5]</w:t>
      </w:r>
    </w:p>
    <w:p xmlns:wp14="http://schemas.microsoft.com/office/word/2010/wordml" w:rsidRPr="001641E7" w:rsidR="001860AB" w:rsidP="001860AB" w:rsidRDefault="001860AB" w14:paraId="666DE28B" wp14:textId="77777777">
      <w:pPr>
        <w:rPr>
          <w:sz w:val="8"/>
        </w:rPr>
      </w:pPr>
      <w:r w:rsidRPr="001641E7">
        <w:rPr>
          <w:sz w:val="8"/>
        </w:rPr>
        <w:t xml:space="preserve">Once again, who could say which is better and which is worse? It is true that war kills, and hideously mutilates. But it is especially true after the State has appropriated the war machine. Above all, </w:t>
      </w:r>
      <w:r w:rsidRPr="001641E7">
        <w:rPr>
          <w:rStyle w:val="StyleUnderline"/>
        </w:rPr>
        <w:t>the State apparatus makes</w:t>
      </w:r>
      <w:r w:rsidRPr="001641E7">
        <w:rPr>
          <w:sz w:val="8"/>
        </w:rPr>
        <w:t xml:space="preserve"> the </w:t>
      </w:r>
      <w:r w:rsidRPr="001641E7">
        <w:rPr>
          <w:rStyle w:val="StyleUnderline"/>
        </w:rPr>
        <w:t>mutilation, and</w:t>
      </w:r>
      <w:r w:rsidRPr="001641E7">
        <w:rPr>
          <w:sz w:val="8"/>
        </w:rPr>
        <w:t xml:space="preserve"> even </w:t>
      </w:r>
      <w:r w:rsidRPr="001641E7">
        <w:rPr>
          <w:rStyle w:val="StyleUnderline"/>
        </w:rPr>
        <w:t>death</w:t>
      </w:r>
      <w:r w:rsidRPr="001641E7">
        <w:rPr>
          <w:sz w:val="8"/>
        </w:rPr>
        <w:t xml:space="preserve">, come first. It needs them preaccomplished, for people to be born that way, crippled and zombielike. The myth of the zombie, of the living dead, is a work myth and not a war myth. </w:t>
      </w:r>
      <w:r w:rsidRPr="001641E7">
        <w:rPr>
          <w:rStyle w:val="StyleUnderline"/>
          <w:highlight w:val="green"/>
        </w:rPr>
        <w:t>Mutilation is</w:t>
      </w:r>
      <w:r w:rsidRPr="001641E7">
        <w:rPr>
          <w:rStyle w:val="StyleUnderline"/>
        </w:rPr>
        <w:t xml:space="preserve"> a consequence of war, but it is a necessary condition, </w:t>
      </w:r>
      <w:r w:rsidRPr="001641E7">
        <w:rPr>
          <w:rStyle w:val="StyleUnderline"/>
          <w:highlight w:val="green"/>
        </w:rPr>
        <w:t>a presupposition of the State apparatus and the organization of work</w:t>
      </w:r>
      <w:r w:rsidRPr="001641E7">
        <w:rPr>
          <w:sz w:val="8"/>
        </w:rPr>
        <w:t xml:space="preserve"> (hence the native infirmity not only of the worker but also of the man of State himself, whether of the One-Eyed or the One-Armed type): “The brutal exhibition of severed flesh shocked me. . . . Wasn’t it an integral part of technical perfection and the intoxication of it . . . ? Mankind has waged wars since the world began, but I can’t remember one single example in the Iliad where the loss of an arm or a leg is reported. Mythology reserved mutilation for monsters, for human beasts of the race of Tantalus or Procrustes. . . . It is an optical illusion to attribute these mutilations to accidents. Actually, accidents are the result of mutilations that took place long ago in the embryo of our world; and the increase in amputations is one of the symptoms bearing witness to the triumph of the morality of the scalpel. The loss occurred long before it was visibly taken into account” [Jünger, The Glass Bees, 112]. </w:t>
      </w:r>
      <w:r w:rsidRPr="001641E7">
        <w:rPr>
          <w:rStyle w:val="StyleUnderline"/>
          <w:highlight w:val="green"/>
        </w:rPr>
        <w:t>The State apparatus needs, at its summit as at its base, predisabled people</w:t>
      </w:r>
      <w:r w:rsidRPr="001641E7">
        <w:rPr>
          <w:rStyle w:val="StyleUnderline"/>
        </w:rPr>
        <w:t>, preexisting amputees, the still-born, the congenitally infirm, the one-eyed and one-armed.</w:t>
      </w:r>
      <w:r w:rsidRPr="001641E7">
        <w:rPr>
          <w:sz w:val="8"/>
        </w:rPr>
        <w:t xml:space="preserve"> —gilles deleuze and félix guattari, A Thousand Plateaus </w:t>
      </w:r>
      <w:r w:rsidRPr="001641E7">
        <w:rPr>
          <w:rStyle w:val="StyleUnderline"/>
          <w:highlight w:val="green"/>
        </w:rPr>
        <w:t>In their brutal diagnostic of the relations between state apparatuses, war machines, debilitation, and labor,</w:t>
      </w:r>
      <w:r w:rsidRPr="001641E7">
        <w:rPr>
          <w:rStyle w:val="StyleUnderline"/>
        </w:rPr>
        <w:t xml:space="preserve"> Gilles </w:t>
      </w:r>
      <w:r w:rsidRPr="001641E7">
        <w:rPr>
          <w:rStyle w:val="StyleUnderline"/>
          <w:highlight w:val="green"/>
        </w:rPr>
        <w:t>Deleuze and</w:t>
      </w:r>
      <w:r w:rsidRPr="001641E7">
        <w:rPr>
          <w:rStyle w:val="StyleUnderline"/>
        </w:rPr>
        <w:t xml:space="preserve"> Félix </w:t>
      </w:r>
      <w:r w:rsidRPr="001641E7">
        <w:rPr>
          <w:rStyle w:val="StyleUnderline"/>
          <w:highlight w:val="green"/>
        </w:rPr>
        <w:t>Guattari direct our attention to the genealogy of the accident. The accident is no accident:</w:t>
      </w:r>
      <w:r w:rsidRPr="001641E7">
        <w:rPr>
          <w:rStyle w:val="StyleUnderline"/>
        </w:rPr>
        <w:t xml:space="preserve"> “It is an optical illusion to attribute these mutilations to accidents . . . accidents are the result of mutilations that took place long ago.”1 </w:t>
      </w:r>
      <w:r w:rsidRPr="001641E7">
        <w:rPr>
          <w:rStyle w:val="StyleUnderline"/>
          <w:highlight w:val="green"/>
        </w:rPr>
        <w:t>The accident functions as an alibi for the constitutive relations of force necessary to bring about something, an event that is in retrospect deemed an accident.</w:t>
      </w:r>
      <w:r w:rsidRPr="001641E7">
        <w:rPr>
          <w:sz w:val="8"/>
        </w:rPr>
        <w:t xml:space="preserve"> What does the “accident” of wartime mutilation mask? Indebted to what structure does the accident labor? Deleuze and Guattari upend the teleological assumption of the statements “war kills” and “war hideously mutilates” by showing us that the war machine of the state predisposes those who are to be mutilated, and those who are to be killed. </w:t>
      </w:r>
      <w:r w:rsidRPr="001641E7">
        <w:rPr>
          <w:rStyle w:val="StyleUnderline"/>
          <w:highlight w:val="green"/>
        </w:rPr>
        <w:t>Linking mutilation as “a presupposition of the State apparatus” of the war machine to the “organization of work,” they refuse the mythology of</w:t>
      </w:r>
      <w:r w:rsidRPr="001641E7">
        <w:rPr>
          <w:rStyle w:val="StyleUnderline"/>
        </w:rPr>
        <w:t xml:space="preserve"> the </w:t>
      </w:r>
      <w:r w:rsidRPr="001641E7">
        <w:rPr>
          <w:rStyle w:val="StyleUnderline"/>
          <w:highlight w:val="green"/>
        </w:rPr>
        <w:t>work</w:t>
      </w:r>
      <w:r w:rsidRPr="001641E7">
        <w:rPr>
          <w:rStyle w:val="StyleUnderline"/>
        </w:rPr>
        <w:t xml:space="preserve"> zombie, articulating instead the linkage between work and war. The zombie as work myth, in fact, aids the elision of mutilation and crippling in war mythology. Fusing these two together—the work myth and the war myth—Deleuze and Guattari insist on the utility of what they call </w:t>
      </w:r>
      <w:r w:rsidRPr="001641E7">
        <w:rPr>
          <w:rStyle w:val="StyleUnderline"/>
          <w:highlight w:val="green"/>
        </w:rPr>
        <w:t>“predisabled people”</w:t>
      </w:r>
      <w:r w:rsidRPr="001641E7">
        <w:rPr>
          <w:rStyle w:val="StyleUnderline"/>
        </w:rPr>
        <w:t xml:space="preserve"> to the </w:t>
      </w:r>
      <w:r w:rsidRPr="001641E7">
        <w:rPr>
          <w:rStyle w:val="StyleUnderline"/>
          <w:highlight w:val="green"/>
        </w:rPr>
        <w:t>braid</w:t>
      </w:r>
      <w:r w:rsidRPr="001641E7">
        <w:rPr>
          <w:rStyle w:val="StyleUnderline"/>
        </w:rPr>
        <w:t xml:space="preserve">ed </w:t>
      </w:r>
      <w:r w:rsidRPr="001641E7">
        <w:rPr>
          <w:rStyle w:val="StyleUnderline"/>
          <w:highlight w:val="green"/>
        </w:rPr>
        <w:t xml:space="preserve">operations of capitalism and the war machine of the state. Mutilation and amputation are thus no accident but are part of the biopolitical scripting of populations available for injury, </w:t>
      </w:r>
      <w:r w:rsidRPr="001641E7">
        <w:rPr>
          <w:rStyle w:val="StyleUnderline"/>
          <w:highlight w:val="green"/>
        </w:rPr>
        <w:lastRenderedPageBreak/>
        <w:t>whether through laboring or through warring or both: laboring in the service of war that mutilates both national bodies and foreign entities</w:t>
      </w:r>
      <w:r w:rsidRPr="001641E7">
        <w:rPr>
          <w:rStyle w:val="StyleUnderline"/>
        </w:rPr>
        <w:t xml:space="preserve"> denoted as enemies; </w:t>
      </w:r>
      <w:r w:rsidRPr="001641E7">
        <w:rPr>
          <w:rStyle w:val="StyleUnderline"/>
          <w:highlight w:val="green"/>
        </w:rPr>
        <w:t>or laboring as an inverted form of warfare against a disposable population ensnared as laborers</w:t>
      </w:r>
      <w:r w:rsidRPr="001641E7">
        <w:rPr>
          <w:rStyle w:val="StyleUnderline"/>
        </w:rPr>
        <w:t xml:space="preserve">-consigned- to- having- an- accident. </w:t>
      </w:r>
      <w:r w:rsidRPr="001641E7">
        <w:rPr>
          <w:rStyle w:val="StyleUnderline"/>
          <w:highlight w:val="green"/>
        </w:rPr>
        <w:t>The twinning of working and warring predicates the emergence of the modern subject of disability.</w:t>
      </w:r>
      <w:r w:rsidRPr="001641E7">
        <w:rPr>
          <w:sz w:val="8"/>
        </w:rPr>
        <w:t xml:space="preserve"> The aftermath of World War II gives rise to forms of activism, visibility, and collective consciousness about the plight of injured veterans.2 </w:t>
      </w:r>
      <w:r w:rsidRPr="001641E7">
        <w:rPr>
          <w:rStyle w:val="StyleUnderline"/>
          <w:highlight w:val="green"/>
        </w:rPr>
        <w:t>Work and war as debilitating activities foreground U.S. imperialism, global injustice, exploitative labor conditions, the industry of incarceration, and environmental toxicity.</w:t>
      </w:r>
      <w:r w:rsidRPr="001641E7">
        <w:rPr>
          <w:sz w:val="8"/>
        </w:rPr>
        <w:t xml:space="preserve">3 These are situations where the accident is not even invoked as unfortunate because it is constituted as “part of the job” and thus quite the intended accident. Here, the façade of the accident is easily unpeeled. And yet Deleuze and Guattari also warn that “accidents are the result of mutilations that took place long ago in the embryo of our world.”4 The embryo is the site where the biopolitics of debilitation come together to weaponize genetics: environmental toxicity, generational trauma, the structural and psychic impacts of racism, imperialism, and capitalism </w:t>
      </w:r>
      <w:r w:rsidRPr="001641E7">
        <w:rPr>
          <w:rStyle w:val="StyleUnderline"/>
          <w:highlight w:val="green"/>
        </w:rPr>
        <w:t>The work machine and the war machine both need bodies that are preordained for</w:t>
      </w:r>
      <w:r w:rsidRPr="001641E7">
        <w:rPr>
          <w:rStyle w:val="StyleUnderline"/>
        </w:rPr>
        <w:t xml:space="preserve"> injury and maiming, often </w:t>
      </w:r>
      <w:r w:rsidRPr="001641E7">
        <w:rPr>
          <w:rStyle w:val="StyleUnderline"/>
          <w:highlight w:val="green"/>
        </w:rPr>
        <w:t>targeted maiming. Capitalism, war, forced migration, settler colonial occupation, and,</w:t>
      </w:r>
      <w:r w:rsidRPr="001641E7">
        <w:rPr>
          <w:rStyle w:val="StyleUnderline"/>
        </w:rPr>
        <w:t xml:space="preserve"> </w:t>
      </w:r>
      <w:r w:rsidRPr="001641E7">
        <w:rPr>
          <w:sz w:val="8"/>
        </w:rPr>
        <w:t xml:space="preserve">in the case of this chapter, </w:t>
      </w:r>
      <w:r w:rsidRPr="001641E7">
        <w:rPr>
          <w:rStyle w:val="StyleUnderline"/>
          <w:highlight w:val="green"/>
        </w:rPr>
        <w:t>U.S. capitalist imperialism are the generators of</w:t>
      </w:r>
      <w:r w:rsidRPr="001641E7">
        <w:rPr>
          <w:rStyle w:val="StyleUnderline"/>
        </w:rPr>
        <w:t xml:space="preserve"> much of </w:t>
      </w:r>
      <w:r w:rsidRPr="001641E7">
        <w:rPr>
          <w:rStyle w:val="StyleUnderline"/>
          <w:highlight w:val="green"/>
        </w:rPr>
        <w:t>the world’s disability, yet contribute unruly source material for rights discourses that propagate</w:t>
      </w:r>
      <w:r w:rsidRPr="001641E7">
        <w:rPr>
          <w:rStyle w:val="StyleUnderline"/>
        </w:rPr>
        <w:t xml:space="preserve"> visibility, </w:t>
      </w:r>
      <w:r w:rsidRPr="001641E7">
        <w:rPr>
          <w:rStyle w:val="StyleUnderline"/>
          <w:highlight w:val="green"/>
        </w:rPr>
        <w:t>empowerment</w:t>
      </w:r>
      <w:r w:rsidRPr="001641E7">
        <w:rPr>
          <w:rStyle w:val="StyleUnderline"/>
        </w:rPr>
        <w:t>, identification, and pride. Much of this debilitation is caused by the exploitative capital and imperial structures of the global north.</w:t>
      </w:r>
      <w:r w:rsidRPr="001641E7">
        <w:rPr>
          <w:sz w:val="8"/>
        </w:rPr>
        <w:t xml:space="preserve"> Claiming an empowered disability identity as a site of creative embodiment and resistance—what David Mitchell and Sharon Snyder call “peripheral embodiment”—is perhaps more tenable when disability is perceived or felt as the result of an unfortunate accident, or a misfortune, as an exceptional circumstance for which the body impacted is in no way to blame.5 Far from suggesting that there is by any means a “fortunate” accident, I am gesturing to bodily experiences that can be capacitated through a reorganization of resources, of white privilege and class and economic mobility. For others, </w:t>
      </w:r>
      <w:r w:rsidRPr="001641E7">
        <w:rPr>
          <w:rStyle w:val="StyleUnderline"/>
          <w:highlight w:val="green"/>
        </w:rPr>
        <w:t>disability is a</w:t>
      </w:r>
      <w:r w:rsidRPr="001641E7">
        <w:rPr>
          <w:rStyle w:val="StyleUnderline"/>
        </w:rPr>
        <w:t xml:space="preserve"> product—not a by-product, but </w:t>
      </w:r>
      <w:r w:rsidRPr="001641E7">
        <w:rPr>
          <w:rStyle w:val="StyleUnderline"/>
          <w:highlight w:val="green"/>
        </w:rPr>
        <w:t>a deliberate product—of exploitative labor conditions, racist incarceration and policing practices, militarization, and other modes of community disenfranchisement. Lived as the ongoing marking of an already defective body, this body,</w:t>
      </w:r>
      <w:r w:rsidRPr="001641E7">
        <w:rPr>
          <w:rStyle w:val="StyleUnderline"/>
        </w:rPr>
        <w:t xml:space="preserve"> Alison Kafer writes</w:t>
      </w:r>
      <w:r w:rsidRPr="001641E7">
        <w:rPr>
          <w:rStyle w:val="StyleUnderline"/>
          <w:highlight w:val="green"/>
        </w:rPr>
        <w:t>, is one whose “disablement [is] a foregone conclusion.”6</w:t>
      </w:r>
      <w:r w:rsidRPr="001641E7">
        <w:rPr>
          <w:rStyle w:val="StyleUnderline"/>
        </w:rPr>
        <w:t xml:space="preserve"> </w:t>
      </w:r>
      <w:r w:rsidRPr="001641E7">
        <w:rPr>
          <w:rStyle w:val="StyleUnderline"/>
          <w:highlight w:val="green"/>
        </w:rPr>
        <w:t>Disability</w:t>
      </w:r>
      <w:r w:rsidRPr="001641E7">
        <w:rPr>
          <w:rStyle w:val="StyleUnderline"/>
        </w:rPr>
        <w:t xml:space="preserve"> in these cases </w:t>
      </w:r>
      <w:r w:rsidRPr="001641E7">
        <w:rPr>
          <w:rStyle w:val="StyleUnderline"/>
          <w:highlight w:val="green"/>
        </w:rPr>
        <w:t>does not present any possibility of the reorganization of privilege;</w:t>
      </w:r>
      <w:r w:rsidRPr="001641E7">
        <w:rPr>
          <w:rStyle w:val="StyleUnderline"/>
        </w:rPr>
        <w:t xml:space="preserve"> rather, it reinforces the stigma of lack of privilege. Often perceived as the result of aberrant or destructive individual lifestyle “choices,” </w:t>
      </w:r>
      <w:r w:rsidRPr="001641E7">
        <w:rPr>
          <w:rStyle w:val="StyleUnderline"/>
          <w:highlight w:val="green"/>
        </w:rPr>
        <w:t>the inevitability of debility should more accurately be comprehended as wedded to biopolitical population metrics.</w:t>
      </w:r>
      <w:r w:rsidRPr="001641E7">
        <w:rPr>
          <w:rStyle w:val="StyleUnderline"/>
        </w:rPr>
        <w:t xml:space="preserve"> Kafer points out that the responsibilization narrative of disability scrutinizes how it has occurred and how it is lived, placing the failure or success of “overcoming” disability on the individual</w:t>
      </w:r>
      <w:r w:rsidRPr="001641E7">
        <w:rPr>
          <w:sz w:val="8"/>
        </w:rPr>
        <w:t xml:space="preserve">, either as the fault or as the virtuousness of the body in question.7 The responsibility for disability works inversely as well, in that </w:t>
      </w:r>
      <w:r w:rsidRPr="001641E7">
        <w:rPr>
          <w:rStyle w:val="StyleUnderline"/>
        </w:rPr>
        <w:t>certain bodies are seen as the bearers of disability—responsible for the very fact of their disability because of markers of race, class, religion, and region.</w:t>
      </w:r>
      <w:r w:rsidRPr="001641E7">
        <w:rPr>
          <w:sz w:val="8"/>
        </w:rPr>
        <w:t xml:space="preserve"> Other bodies, unmarked by other markers of defect, in other words, not already an Other, are projected as unfortunately maligned in a system that should have protected them. In other words, their disability is not an inherent property of the body.</w:t>
      </w:r>
    </w:p>
    <w:p xmlns:wp14="http://schemas.microsoft.com/office/word/2010/wordml" w:rsidRPr="001641E7" w:rsidR="001860AB" w:rsidP="001860AB" w:rsidRDefault="001860AB" w14:paraId="6EC2BC9A" wp14:textId="77777777">
      <w:pPr>
        <w:pStyle w:val="Heading4"/>
        <w:rPr>
          <w:rFonts w:cs="Arial"/>
        </w:rPr>
      </w:pPr>
      <w:r w:rsidRPr="001641E7">
        <w:rPr>
          <w:rFonts w:cs="Arial"/>
        </w:rPr>
        <w:t>Neoliberal capitalism extends the logic of disability around the world – creating terrains of rubbish people who serve as the material fodder for Western rehabilitation projects.  The disabled immigrant castigated and lauded through binaries of capacity and debility serves as an alibi for biocapitalist narratives of progress – this makes debilitation inevitable</w:t>
      </w:r>
    </w:p>
    <w:p xmlns:wp14="http://schemas.microsoft.com/office/word/2010/wordml" w:rsidRPr="001641E7" w:rsidR="001860AB" w:rsidP="001860AB" w:rsidRDefault="001860AB" w14:paraId="36F1D64E" wp14:textId="77777777">
      <w:pPr>
        <w:rPr>
          <w:sz w:val="16"/>
        </w:rPr>
      </w:pPr>
      <w:r w:rsidRPr="001641E7">
        <w:rPr>
          <w:rStyle w:val="Style13ptBold"/>
        </w:rPr>
        <w:t>Puar 17</w:t>
      </w:r>
      <w:r w:rsidRPr="001641E7">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81-4]</w:t>
      </w:r>
    </w:p>
    <w:p xmlns:wp14="http://schemas.microsoft.com/office/word/2010/wordml" w:rsidRPr="001641E7" w:rsidR="001860AB" w:rsidP="001860AB" w:rsidRDefault="001860AB" w14:paraId="0FC20D12" wp14:textId="77777777">
      <w:r w:rsidRPr="001641E7">
        <w:rPr>
          <w:rStyle w:val="StyleUnderline"/>
        </w:rPr>
        <w:t>Debilitation is</w:t>
      </w:r>
      <w:r w:rsidRPr="001641E7">
        <w:t xml:space="preserve"> therefore </w:t>
      </w:r>
      <w:r w:rsidRPr="001641E7">
        <w:rPr>
          <w:rStyle w:val="StyleUnderline"/>
        </w:rPr>
        <w:t>not just an unfortunate by-product of the exploitative workings of capitalism; it is required for and constitutive of the expansion of profit. Certain bodies are employed in production processes precisely because they are deemed available for injury—they are, in other words, objects of disposability, bodies whose debilitation is required in order to sustain capitalist narratives of progress.</w:t>
      </w:r>
      <w:r w:rsidRPr="001641E7">
        <w:t xml:space="preserve"> 70 Participation in the labor market may also entail extraction of biological information as a source of value.71 Bioinformatic economies—dna encoding and species preservation, stem cell research, digitization, biometrics, surveillance technologies, regenerative medical sciences—increase the contact zones and points of interface between subindividual bodily capacities while facilitating the constant amassing of information. They rely on and reassert extractive economies. </w:t>
      </w:r>
      <w:r w:rsidRPr="001641E7">
        <w:rPr>
          <w:rStyle w:val="StyleUnderline"/>
        </w:rPr>
        <w:t xml:space="preserve">Kaushik </w:t>
      </w:r>
      <w:r w:rsidRPr="001641E7">
        <w:rPr>
          <w:rStyle w:val="StyleUnderline"/>
        </w:rPr>
        <w:lastRenderedPageBreak/>
        <w:t>Sunder Rajan details the life trajectory of the “experimental subject,” one increasingly displaced from conventional forms of agricultural and manual labor (often from the global south) to biocapital regimes where information is extracted from bodily material.</w:t>
      </w:r>
      <w:r w:rsidRPr="001641E7">
        <w:t xml:space="preserve">72 </w:t>
      </w:r>
      <w:r w:rsidRPr="001641E7">
        <w:rPr>
          <w:rStyle w:val="StyleUnderline"/>
        </w:rPr>
        <w:t>In another example, Raewyn Connell writes, “Both the tissue economy and the redefinition of bodies have effects on disability: the former by literally manufacturing impaired bodies in the global periphery (the ‘donors’), the latter by circulating fantasies of the perfect body and inciting desire among the global rich to buy perfection. Both produce, as the dark side of the pursuit of health and desirability, a category of rubbish people (to use an Australian indigenous expression) who can be seen as contemptible and expendable.”</w:t>
      </w:r>
      <w:r w:rsidRPr="001641E7">
        <w:t xml:space="preserve">73 </w:t>
      </w:r>
      <w:r w:rsidRPr="001641E7">
        <w:rPr>
          <w:rStyle w:val="StyleUnderline"/>
        </w:rPr>
        <w:t>It is the “rubbish people”— literally described as objects of disposability—whose exclusion from the imaginaries and practices of biopolitical incorporation are necessary, whose debilitation upholds the terms of cultural rehabilitation.</w:t>
      </w:r>
    </w:p>
    <w:p xmlns:wp14="http://schemas.microsoft.com/office/word/2010/wordml" w:rsidRPr="001641E7" w:rsidR="001860AB" w:rsidP="001860AB" w:rsidRDefault="001860AB" w14:paraId="65C2466C" wp14:textId="77777777">
      <w:r w:rsidRPr="001641E7">
        <w:rPr>
          <w:rStyle w:val="StyleUnderline"/>
        </w:rPr>
        <w:t>The curation of objects of care is linked to the purchasing of prognostic power: in other words, the capacity to attempt to outpace the variables of calculated risk attached to biopolitical populations through the mobilization of biomedical, economic, and social resources.</w:t>
      </w:r>
      <w:r w:rsidRPr="001641E7">
        <w:t xml:space="preserve"> The purchase of prognostic power is tethered to what Sunder Rajan calls the patient-in- waiting. 74 This patient is inevitably hailed as a consumer-in- waiting, enabled, literally and conceptually, by the experimental subject. </w:t>
      </w:r>
      <w:r w:rsidRPr="001641E7">
        <w:rPr>
          <w:rStyle w:val="StyleUnderline"/>
        </w:rPr>
        <w:t>The neoliberal consumer subject of health—an object of care—assumes the right not to be injured</w:t>
      </w:r>
      <w:r w:rsidRPr="001641E7">
        <w:t xml:space="preserve"> in the usage of products, even as accidents that derive from product design can be predicted with statistical precision, mapping the bodies that are likely to be implicated in these dynamics. As Catherine Waldby and Robert Mitchell write, </w:t>
      </w:r>
      <w:r w:rsidRPr="001641E7">
        <w:rPr>
          <w:rStyle w:val="StyleUnderline"/>
        </w:rPr>
        <w:t>“The wealthy can purchase the fantasy of a regenerative body at the expense of the health of other, less valuable bodies.”</w:t>
      </w:r>
      <w:r w:rsidRPr="001641E7">
        <w:t>75 Snyder and Mitchell offer the figure of Oscar Pistorius as an indication of “a new era of disabled athleticism—buffed, muscular, yet technologically supplemented bodies—promising all of the transcendent capacity a hyper-medicalized culture could offer.”76 These bodies Snyder and Mitchell demarcate the “able-disabled.”</w:t>
      </w:r>
    </w:p>
    <w:p xmlns:wp14="http://schemas.microsoft.com/office/word/2010/wordml" w:rsidRPr="001641E7" w:rsidR="001860AB" w:rsidP="001860AB" w:rsidRDefault="001860AB" w14:paraId="3B91FE52" wp14:textId="77777777">
      <w:r w:rsidRPr="001641E7">
        <w:rPr>
          <w:rStyle w:val="StyleUnderline"/>
        </w:rPr>
        <w:t>Neoliberal regimes of biocapital produce the body as never healthy enough, and thus always in a debilitated state in relation to what one’s bodily capacity is imagined to be. As such, the democratization of disability as an inevitable state that will interpellate everyone, discussed earlier, is itself a repetition of this neoliberal framework, which produces profit from precisely this logic.</w:t>
      </w:r>
      <w:r w:rsidRPr="001641E7">
        <w:t xml:space="preserve"> Aging itself is seen as debilitation, as some populations live longer but also live with more chronic illness. Regenerative medicine produces the experience of “double biological time”: as the body ages, the (unrealistic) possibility of restoring its various parts to at least an “earlier” state proliferates, and a certain promised return to capacity accompanies the experience of aging through debility.</w:t>
      </w:r>
      <w:r w:rsidRPr="001641E7">
        <w:rPr>
          <w:rStyle w:val="StyleUnderline"/>
        </w:rPr>
        <w:t>77 Being “better than well” emerges as the alibi for the translation of sensation and affect into symptom and thus the rationale for all types of medical intervention, manufacturing the “continual enlargement of the domain of the therapeutic.”</w:t>
      </w:r>
      <w:r w:rsidRPr="001641E7">
        <w:t xml:space="preserve">78 One example of enhancing capacitation is the historical emergence of shyness as a social anxiety disorder, whereby psychotropic drugs become “personality optimizers.” 79 Another example is the burgeoning field of “cosmetic neurology,” a term used to “describe the practice of using drugs developed for recognized medical conditions to strengthen ordinary cognition,” such as the growing use of Ritalin and Adderall among college students and marathon poker players.80 A third example is yet the idea that we always die prematurely or should not be subjected to chance at all. Suggested in the </w:t>
      </w:r>
      <w:r w:rsidRPr="001641E7">
        <w:lastRenderedPageBreak/>
        <w:t>legal notion of “lost chance,” the loss of chance itself can be injurious such that one should be compensated for not being given every last opportunity to prevent death.</w:t>
      </w:r>
    </w:p>
    <w:p xmlns:wp14="http://schemas.microsoft.com/office/word/2010/wordml" w:rsidRPr="001641E7" w:rsidR="001860AB" w:rsidP="001860AB" w:rsidRDefault="001860AB" w14:paraId="235DB459" wp14:textId="77777777">
      <w:r w:rsidRPr="001641E7">
        <w:t xml:space="preserve">In these many examples we see the entwinement of the biopolitics of disability and the biopolitics of debilitation, as bodies that are hailed into a liberal politics of disability, and biopolitically incorporated as objects of care are folded in as part of the exploitation and disavowal of debilitated bodies. Such a division, therefore, between “economic burden” (i.e., social pariahs) and “objects of care” rests on an erasure of how capitalism has always created and sustained debilitation. Per Russell and Malhotra’s argument that </w:t>
      </w:r>
      <w:r w:rsidRPr="001641E7">
        <w:rPr>
          <w:rStyle w:val="StyleUnderline"/>
        </w:rPr>
        <w:t>disability is an aspect of the central contradiction of capitalism, bodies that hinge or are the conduits between economic burden/social pariahs and objects of care are mediated through race, class, gender, region, and causes of disability. Further, Connell argues, the divisions between social pariahs and objects of care get newly recharged and redefined—sometimes, depending on context, obversely—through neoliberalism: “Under workfare regimes that claim to end paternalistic care and dependence—in fact re-regulating the relation between welfare and the labour market—some disabled bodies are defined as work-able, others as deserving of welfare. . . . To enforce this view of disability, rising levels of surveillance are required. The globalization of neoliberal capitalism has extended this logic of disability around the world.”</w:t>
      </w:r>
      <w:r w:rsidRPr="001641E7">
        <w:t>81 As such, we might want to be wary of claims that generalize any major historical shift, claims that unwittingly also betray a telling geographic locatedness and schema, in relation to capitalist exploitation of bodies that generate profit through disabled bodies versus bodies that need to be debilitated in order to be productive. What I want to suggest now, and elaborate later, is that in the leap from exception to exceptionality, or disability exceptionalism, the temporality of the endemic has been obfuscated.</w:t>
      </w:r>
    </w:p>
    <w:p xmlns:wp14="http://schemas.microsoft.com/office/word/2010/wordml" w:rsidRPr="001641E7" w:rsidR="001860AB" w:rsidP="001860AB" w:rsidRDefault="001860AB" w14:paraId="5EADA777" wp14:textId="77777777">
      <w:pPr>
        <w:pStyle w:val="Heading4"/>
        <w:rPr>
          <w:rFonts w:cs="Arial"/>
        </w:rPr>
      </w:pPr>
      <w:r w:rsidRPr="001641E7">
        <w:rPr>
          <w:rFonts w:cs="Arial"/>
        </w:rPr>
        <w:t xml:space="preserve">Thus, we affirm toxicity.  </w:t>
      </w:r>
    </w:p>
    <w:p xmlns:wp14="http://schemas.microsoft.com/office/word/2010/wordml" w:rsidRPr="001641E7" w:rsidR="001860AB" w:rsidP="001860AB" w:rsidRDefault="001860AB" w14:paraId="5043CB0F" wp14:textId="77777777"/>
    <w:p xmlns:wp14="http://schemas.microsoft.com/office/word/2010/wordml" w:rsidRPr="001641E7" w:rsidR="001860AB" w:rsidP="001860AB" w:rsidRDefault="001860AB" w14:paraId="3B00BDE2" wp14:textId="77777777">
      <w:pPr>
        <w:pStyle w:val="Heading4"/>
        <w:rPr>
          <w:rStyle w:val="Style13ptBold"/>
          <w:rFonts w:cs="Arial"/>
        </w:rPr>
      </w:pPr>
      <w:r w:rsidRPr="001641E7">
        <w:rPr>
          <w:rFonts w:cs="Arial"/>
        </w:rPr>
        <w:t xml:space="preserve">Our affirmation of toxicity is a politics of </w:t>
      </w:r>
      <w:r w:rsidRPr="001641E7">
        <w:rPr>
          <w:rFonts w:cs="Arial"/>
          <w:u w:val="single"/>
        </w:rPr>
        <w:t>disidentification</w:t>
      </w:r>
      <w:r w:rsidRPr="001641E7">
        <w:rPr>
          <w:rFonts w:cs="Arial"/>
        </w:rPr>
        <w:t xml:space="preserve"> that disrupts the debility/capacity binarism upon which biopolitics turns, challenges the immunization practices of Empire and poses new figurations of identity.</w:t>
      </w:r>
    </w:p>
    <w:p xmlns:wp14="http://schemas.microsoft.com/office/word/2010/wordml" w:rsidRPr="001641E7" w:rsidR="001860AB" w:rsidP="001860AB" w:rsidRDefault="001860AB" w14:paraId="0D2626AA" wp14:textId="77777777">
      <w:bookmarkStart w:name="_Hlk518633510" w:id="0"/>
      <w:r w:rsidRPr="001641E7">
        <w:rPr>
          <w:rStyle w:val="Style13ptBold"/>
        </w:rPr>
        <w:t>Chen 12</w:t>
      </w:r>
      <w:r w:rsidRPr="001641E7">
        <w:t xml:space="preserve"> [Mel, Assoc. Prof. Gender and Women’s Studies and Vice Chair for Research, Dir. of the Center for the Study of Sexual Culture @ UC Berkeley, Animacies: Biopolitical Racial Mattering and Queer Affect, pp. 217-21]</w:t>
      </w:r>
    </w:p>
    <w:bookmarkEnd w:id="0"/>
    <w:p xmlns:wp14="http://schemas.microsoft.com/office/word/2010/wordml" w:rsidRPr="001641E7" w:rsidR="001860AB" w:rsidP="001860AB" w:rsidRDefault="001860AB" w14:paraId="45E7966E" wp14:textId="77777777">
      <w:pPr>
        <w:rPr>
          <w:rStyle w:val="StyleUnderline"/>
        </w:rPr>
      </w:pPr>
      <w:r w:rsidRPr="001641E7">
        <w:rPr>
          <w:sz w:val="16"/>
        </w:rPr>
        <w:t xml:space="preserve">But what is a toxic body, after all? </w:t>
      </w:r>
      <w:r w:rsidRPr="001641E7">
        <w:rPr>
          <w:rStyle w:val="StyleUnderline"/>
        </w:rPr>
        <w:t>How can we reconceptualize a harmful body when our bodies are themselves deemed harmful to others?</w:t>
      </w:r>
      <w:r w:rsidRPr="001641E7">
        <w:rPr>
          <w:sz w:val="16"/>
        </w:rPr>
        <w:t xml:space="preserve"> It is useful here to turn to queer theory’s uptake of the toxic, where it retained a certain resonance and a certain citational pull. Eve Sedgwick’s use of toxic to describe an expellable interiority (one that shameful elements are not, since they are proper terms of one’s identity) is taken up in Muñoz’s Disidentifications to refer to discursively toxic elements, the “toxic force” of illicit desire, and images and stereotypes toxic to identity, all uses that seem to repeat Sedgwick’s ultimately exterior, or alienated, quality of toxicity.56 </w:t>
      </w:r>
      <w:r w:rsidRPr="001641E7">
        <w:rPr>
          <w:rStyle w:val="StyleUnderline"/>
        </w:rPr>
        <w:t xml:space="preserve">For Muñoz, disidentification represents the willing uptake of toxic elements to pose new figurations of identity and minoritarian-majoritarian politics. </w:t>
      </w:r>
      <w:r w:rsidRPr="001641E7">
        <w:rPr>
          <w:sz w:val="16"/>
        </w:rPr>
        <w:t xml:space="preserve">Taking Muñoz’s suggestions further, and taking toxicity’s ontological shape-shifting from mercury to traumatic sociality seriously, I believe that </w:t>
      </w:r>
      <w:r w:rsidRPr="001641E7">
        <w:rPr>
          <w:rStyle w:val="StyleUnderline"/>
        </w:rPr>
        <w:t xml:space="preserve">we can, in a sense, claim toxicity as already “here,” already a truth of nearly every body, and also as a biopolitically interested distribution (the deferral of toxic work to deprivileged or already “toxic subjects”). Such a distribution, in its failure to effectively segregate, leaks outside of its bounds to “return,” and it might allow a queer theoretical move that readily embraces, rather than refuses in advance, heretofore unknown reflexes of raciality, gender, sexuality, (dis-) ability.57 In assuming </w:t>
      </w:r>
      <w:r w:rsidRPr="001641E7">
        <w:rPr>
          <w:rStyle w:val="StyleUnderline"/>
        </w:rPr>
        <w:lastRenderedPageBreak/>
        <w:t xml:space="preserve">both individual and collective vulnerability, it suggests an ulterior ethical stance.58 If we were to release toxicity from its own stalwart anti-ness, its ready definition as an unwelcome guest, it has the possibility to intervene into the binary between the segregated fields of “life” and “death,” vitality and morbidity. Toxicity straddles boundaries of “life” and “nonlife,” as well as the literal bounds of bodies (quite independently of toxicity’s immunitary representation), in ways that introduce a certain complexity to the presumption of integrity of either lifely or deathly subjects. </w:t>
      </w:r>
      <w:r w:rsidRPr="001641E7">
        <w:rPr>
          <w:sz w:val="16"/>
        </w:rPr>
        <w:t xml:space="preserve">Using the worldly ontologies described earlier, we might consider </w:t>
      </w:r>
      <w:r w:rsidRPr="001641E7">
        <w:rPr>
          <w:rStyle w:val="StyleUnderline"/>
        </w:rPr>
        <w:t>reframing the terms of intimacy itself</w:t>
      </w:r>
      <w:r w:rsidRPr="001641E7">
        <w:rPr>
          <w:sz w:val="16"/>
        </w:rPr>
        <w:t xml:space="preserve">, so that it might not be restricted to operating between only human or animate entities. Intimacy is, furthermore, temporalized, in the sense that it is cognate with intimation. </w:t>
      </w:r>
      <w:r w:rsidRPr="001641E7">
        <w:rPr>
          <w:rStyle w:val="StyleUnderline"/>
        </w:rPr>
        <w:t>Intimacy might be thought of as a temporalized notion insofar as it might provide a hint or prediction of the future.</w:t>
      </w:r>
      <w:r w:rsidRPr="001641E7">
        <w:rPr>
          <w:sz w:val="16"/>
        </w:rPr>
        <w:t xml:space="preserve"> In these final paragraphs, I </w:t>
      </w:r>
      <w:r w:rsidRPr="001641E7">
        <w:rPr>
          <w:rStyle w:val="StyleUnderline"/>
        </w:rPr>
        <w:t>connect the “aberrant” socialities implicated within discourses of toxicity to those suggested in queer (political) futures. What futurity might such a present suggest</w:t>
      </w:r>
      <w:r w:rsidRPr="001641E7">
        <w:rPr>
          <w:sz w:val="16"/>
        </w:rPr>
        <w:t xml:space="preserve">, particularly </w:t>
      </w:r>
      <w:r w:rsidRPr="001641E7">
        <w:rPr>
          <w:rStyle w:val="StyleUnderline"/>
        </w:rPr>
        <w:t>if we read these futures back into politically sexualized and racialized maps of desirability and repulsion</w:t>
      </w:r>
      <w:r w:rsidRPr="001641E7">
        <w:rPr>
          <w:sz w:val="16"/>
        </w:rPr>
        <w:t xml:space="preserve">? Here I draw inspiration from the feminist disability theorist Alison Kafer, whose book theorizes a queer-crip approach to disability, one that, in its disentangling of the discourses of morbidity and sexual exile that contain and fix dis/abled bodies, refuses the “grim imagined futures” associated with them and moves toward a resolutely optimistic futurity.59 According to J. Jack Halberstam’s In a Queer Time and Place, above and beyond the temporal closures and fissures wrought by (the U.S. advent of ) aids, the </w:t>
      </w:r>
      <w:r w:rsidRPr="001641E7">
        <w:rPr>
          <w:rStyle w:val="StyleUnderline"/>
        </w:rPr>
        <w:t>queer life</w:t>
      </w:r>
      <w:r w:rsidRPr="001641E7">
        <w:rPr>
          <w:sz w:val="16"/>
        </w:rPr>
        <w:t xml:space="preserve"> narrative </w:t>
      </w:r>
      <w:r w:rsidRPr="001641E7">
        <w:rPr>
          <w:rStyle w:val="StyleUnderline"/>
        </w:rPr>
        <w:t>necessarily has a trajectory very</w:t>
      </w:r>
      <w:r w:rsidRPr="001641E7">
        <w:rPr>
          <w:sz w:val="16"/>
        </w:rPr>
        <w:t xml:space="preserve"> </w:t>
      </w:r>
      <w:r w:rsidRPr="001641E7">
        <w:rPr>
          <w:rStyle w:val="StyleUnderline"/>
        </w:rPr>
        <w:t>different from heterosexual, heteronormative, reproductive time.</w:t>
      </w:r>
      <w:r w:rsidRPr="001641E7">
        <w:rPr>
          <w:sz w:val="16"/>
        </w:rPr>
        <w:t xml:space="preserve">60 Such a notion of </w:t>
      </w:r>
      <w:r w:rsidRPr="001641E7">
        <w:rPr>
          <w:rStyle w:val="StyleUnderline"/>
        </w:rPr>
        <w:t>queer time can be worked to emphasize its racial and gendered dimensions.</w:t>
      </w:r>
      <w:r w:rsidRPr="001641E7">
        <w:rPr>
          <w:sz w:val="16"/>
        </w:rPr>
        <w:t xml:space="preserve"> On the “racial” dimension of time, or racialized temporality, David Eng has argued that it was Freud’s attempt to negate the primitive that fundamentally motivated and underlaid his developmental narrative of sexuality, as well as his rendering of homosexuality.61 The idea that ontogeny recapitulates phylogeny replicates itself teleologically in science and in public life alike, for instance, in the notion that child is to adult as primitive is to modern. Thus, the animalization of (queer) children cannot be divorced from the vote-bearing African American figure in the nineteenth-century Harper’s Weekly cartoon considered in chapter 3. </w:t>
      </w:r>
      <w:r w:rsidRPr="001641E7">
        <w:rPr>
          <w:rStyle w:val="StyleUnderline"/>
        </w:rPr>
        <w:t>Interracial frameworks— whether human or animal or stone</w:t>
      </w:r>
      <w:r w:rsidRPr="001641E7">
        <w:rPr>
          <w:sz w:val="16"/>
        </w:rPr>
        <w:t xml:space="preserve"> (which bears the mark of “nature”)—</w:t>
      </w:r>
      <w:r w:rsidRPr="001641E7">
        <w:rPr>
          <w:rStyle w:val="StyleUnderline"/>
        </w:rPr>
        <w:t>are constantly haunted by the possibility of anachronism.</w:t>
      </w:r>
      <w:r w:rsidRPr="001641E7">
        <w:rPr>
          <w:sz w:val="16"/>
        </w:rPr>
        <w:t xml:space="preserve"> </w:t>
      </w:r>
      <w:r w:rsidRPr="001641E7">
        <w:rPr>
          <w:rStyle w:val="StyleUnderline"/>
        </w:rPr>
        <w:t xml:space="preserve">Within global capitalism’s racialized arrangements of labor, the racially marked body in the contemporary or modernist moment is a “freaky” subject of unacceptable temporal transit. </w:t>
      </w:r>
      <w:r w:rsidRPr="001641E7">
        <w:rPr>
          <w:sz w:val="16"/>
        </w:rPr>
        <w:t xml:space="preserve">It is not coincidental that in the United States the animality of childhood, in which a child represents an animalizable early evolutionary stage, is the only (marginally) acceptably queer one. Thus, both </w:t>
      </w:r>
      <w:r w:rsidRPr="001641E7">
        <w:rPr>
          <w:rStyle w:val="StyleUnderline"/>
        </w:rPr>
        <w:t>queer and racial temporalities are a kind of shimmering presence. They are less easily bound to capital or to any other regimented time;</w:t>
      </w:r>
      <w:r w:rsidRPr="001641E7">
        <w:rPr>
          <w:sz w:val="16"/>
        </w:rPr>
        <w:t xml:space="preserve"> or perhaps we could say that the time of capital is also no longer in the form it might have once been. </w:t>
      </w:r>
      <w:r w:rsidRPr="001641E7">
        <w:rPr>
          <w:rStyle w:val="StyleUnderline"/>
        </w:rPr>
        <w:t>And so queer and racially marked bodies are present</w:t>
      </w:r>
      <w:r w:rsidRPr="001641E7">
        <w:rPr>
          <w:sz w:val="16"/>
        </w:rPr>
        <w:t xml:space="preserve"> (that is, in the present time) </w:t>
      </w:r>
      <w:r w:rsidRPr="001641E7">
        <w:rPr>
          <w:rStyle w:val="StyleUnderline"/>
        </w:rPr>
        <w:t>but strangely so, embracing anachronism and “touching the past”</w:t>
      </w:r>
      <w:r w:rsidRPr="001641E7">
        <w:rPr>
          <w:sz w:val="16"/>
        </w:rPr>
        <w:t xml:space="preserve"> (to evoke the historian Carolyn Dinshaw).62 Heather Love suggests in her introduction to Feeling Backward, an exploration of literary texts that circle around queer suffering, that the contemporary juncture of affect studies and queer studies is attentive to the possibility that it is presently at a turning point, asking how to articulate or assume a queer political vision (within and beyond scholarship) that must do something with its history of shame, stigma, embarrassment, and pain. She describes this as “the emphasis on damage in queer studies.”63 Recent work has engaged a turn toward the embrace of acknowledgment of abjection as a site of work and healing in domains such as literature, the creative arts, and sexual practices, particularly in relation to queer of color proximities to racial abjection. Juana María Rodríguez theorizes the importance of politically incorrect desire, exercised in sexual fantasy, as one kind of utopic practice: she advises that “we must learn to read submission and service differently,” even if—or as—we find ourselves occupying sexual positions written through with painful histories.64 Indeed, the antipathy toward submission or service in and of itself does seem to collude too neatly with the autonomous urges of neoliberal culture, and would do well to think through the arguments for interdependence articulated within disability theory and activism. </w:t>
      </w:r>
      <w:r w:rsidRPr="001641E7">
        <w:rPr>
          <w:rStyle w:val="StyleUnderline"/>
        </w:rPr>
        <w:t>Toxicity</w:t>
      </w:r>
      <w:r w:rsidRPr="001641E7">
        <w:rPr>
          <w:sz w:val="16"/>
        </w:rPr>
        <w:t xml:space="preserve">, at least </w:t>
      </w:r>
      <w:r w:rsidRPr="001641E7">
        <w:rPr>
          <w:rStyle w:val="StyleUnderline"/>
        </w:rPr>
        <w:t>in its mode of “intoxication,” embraces the ambivalent,</w:t>
      </w:r>
      <w:r w:rsidRPr="001641E7">
        <w:rPr>
          <w:sz w:val="16"/>
        </w:rPr>
        <w:t xml:space="preserve"> in Love’s words, </w:t>
      </w:r>
      <w:r w:rsidRPr="001641E7">
        <w:rPr>
          <w:rStyle w:val="StyleUnderline"/>
        </w:rPr>
        <w:t>“abject/exalted” combination proper to queerness itself.</w:t>
      </w:r>
      <w:r w:rsidRPr="001641E7">
        <w:rPr>
          <w:sz w:val="16"/>
        </w:rPr>
        <w:t xml:space="preserve"> (She even uses the words damage and toxicity to refer, as Muñoz and Sedgwick do, to the stigmatization of queerness and the painful affects associated with the recuperation of historical texts that represent “tear-soaked accounts of same-sex desire.”)65 </w:t>
      </w:r>
      <w:r w:rsidRPr="001641E7">
        <w:rPr>
          <w:rStyle w:val="StyleUnderline"/>
        </w:rPr>
        <w:t>Negativity and death</w:t>
      </w:r>
      <w:r w:rsidRPr="001641E7">
        <w:rPr>
          <w:sz w:val="16"/>
        </w:rPr>
        <w:t xml:space="preserve">, of course, </w:t>
      </w:r>
      <w:r w:rsidRPr="001641E7">
        <w:rPr>
          <w:rStyle w:val="StyleUnderline"/>
        </w:rPr>
        <w:t>also attach to disabled bodies with terrible regularity</w:t>
      </w:r>
      <w:r w:rsidRPr="001641E7">
        <w:rPr>
          <w:sz w:val="16"/>
        </w:rPr>
        <w:t xml:space="preserve">, and they appear in different valences. But affective nuances are informative. Ato Quayson’s literary study Aesthetic Nervousness: Disability and the Crisis of Representation focuses on doubt: he traces a notion of “skeptical interlocution” through a number of literary works, suggesting that “there is always an anticipation of doubt within the perceptual and imagined horizon of the disabled character in </w:t>
      </w:r>
      <w:r w:rsidRPr="001641E7">
        <w:rPr>
          <w:sz w:val="16"/>
        </w:rPr>
        <w:lastRenderedPageBreak/>
        <w:t xml:space="preserve">literature, and that this doubt is incorporated into their representation.”66 Quayson’s study suggests a complication of sociality by a negating affect. In view of the attempts of these works to suggest a future politics, or the recommendations for politics that might be extracted from them, toxic affect is certainly not suggested as a panacea. It is a (re-) solution to the question of what to do with the ambivalence of queerness only to the extent that it does not represent a choice: it is already here, it is not a matter of queer political agency so much as a queered political state of the present. If toxicity is ambivalently constructed by a barely tenable political community, that fragility is not acknowledged. Nevertheless, </w:t>
      </w:r>
      <w:r w:rsidRPr="001641E7">
        <w:rPr>
          <w:rStyle w:val="Emphasis"/>
        </w:rPr>
        <w:t>an uptake, rather than a denial of, toxicity seems to have the power to turn a lens on the anxieties that produce it and allow for a queer knowledge production that gives some means for structural remedy while not abandoning a claim to being just a little bit “off.”</w:t>
      </w:r>
      <w:r w:rsidRPr="001641E7">
        <w:rPr>
          <w:rStyle w:val="StyleUnderline"/>
        </w:rPr>
        <w:t xml:space="preserve"> </w:t>
      </w:r>
      <w:r w:rsidRPr="001641E7">
        <w:rPr>
          <w:sz w:val="16"/>
        </w:rPr>
        <w:t xml:space="preserve">The growing acknowledgment of </w:t>
      </w:r>
      <w:r w:rsidRPr="001641E7">
        <w:rPr>
          <w:rStyle w:val="StyleUnderline"/>
        </w:rPr>
        <w:t>a shared condition of toxicity</w:t>
      </w:r>
      <w:r w:rsidRPr="001641E7">
        <w:rPr>
          <w:sz w:val="16"/>
        </w:rPr>
        <w:t xml:space="preserve"> within the United States—not only in terms of citing numbers of toxins present in people’s bodies, toxins whose hospitality toward the body is uncertain (or toward whom the body doesn’t know whether it should be hospitable), but also in terms of the resigned acknowledgment that toxic assets were part of the fabric of U.S. capitalism—</w:t>
      </w:r>
      <w:r w:rsidRPr="001641E7">
        <w:rPr>
          <w:rStyle w:val="StyleUnderline"/>
        </w:rPr>
        <w:t>is not just evidence of a fall, or a radical shifting of political and economic fortunes. It is also evidence that the interstices of the otherwise suffocating cultures of neoliberalism may be engaged, productive, and immensely meaningful. Thus, toxicity, as a queer thing or affect, both is and is more than horizon</w:t>
      </w:r>
      <w:r w:rsidRPr="001641E7">
        <w:rPr>
          <w:sz w:val="16"/>
        </w:rPr>
        <w:t xml:space="preserve">, which is unpredictable and, furthermore, synchronically traceable only to the extent that we not remain ontologically faithful. </w:t>
      </w:r>
      <w:r w:rsidRPr="001641E7">
        <w:rPr>
          <w:rStyle w:val="StyleUnderline"/>
        </w:rPr>
        <w:t>Toxicity fails over and again to privilege rationality’s favorite partner, the human subject, rather defaulting to</w:t>
      </w:r>
      <w:r w:rsidRPr="001641E7">
        <w:rPr>
          <w:sz w:val="16"/>
        </w:rPr>
        <w:t xml:space="preserve"> chairs, couches, and </w:t>
      </w:r>
      <w:r w:rsidRPr="001641E7">
        <w:rPr>
          <w:rStyle w:val="StyleUnderline"/>
        </w:rPr>
        <w:t>other sexual orientations, but we might be wrong to disavow its claim to rationality altogether.</w:t>
      </w:r>
      <w:r w:rsidRPr="001641E7">
        <w:rPr>
          <w:sz w:val="16"/>
        </w:rPr>
        <w:t xml:space="preserve"> If we let affect fall to object life, or to the interanimation that surrounds us, one example of which toxicity illuminates very precisely, then </w:t>
      </w:r>
      <w:r w:rsidRPr="001641E7">
        <w:rPr>
          <w:rStyle w:val="StyleUnderline"/>
        </w:rPr>
        <w:t>perhaps there is a chance to take up</w:t>
      </w:r>
      <w:r w:rsidRPr="001641E7">
        <w:rPr>
          <w:sz w:val="16"/>
        </w:rPr>
        <w:t xml:space="preserve"> (not revive, as it is far from “old and tired”) </w:t>
      </w:r>
      <w:r w:rsidRPr="001641E7">
        <w:rPr>
          <w:rStyle w:val="StyleUnderline"/>
        </w:rPr>
        <w:t>queer as something both like itself and yet also entirely different.</w:t>
      </w:r>
    </w:p>
    <w:p xmlns:wp14="http://schemas.microsoft.com/office/word/2010/wordml" w:rsidRPr="001641E7" w:rsidR="001860AB" w:rsidP="001860AB" w:rsidRDefault="001860AB" w14:paraId="7A44D315" wp14:textId="77777777">
      <w:pPr>
        <w:pStyle w:val="Heading4"/>
        <w:rPr>
          <w:rFonts w:cs="Arial"/>
        </w:rPr>
      </w:pPr>
      <w:r w:rsidRPr="001641E7">
        <w:rPr>
          <w:rFonts w:cs="Arial"/>
        </w:rPr>
        <w:t>We must look at both disability and debility as a scholarly rejection of US imperialism – rather than investing in triumphalist narratives of rights-based remedy, our analysis of debility undermines liberal white supremacist framings of disability that obscure the structural conditions of weaponized debility that make possible US empire, maims the global south and forces migration</w:t>
      </w:r>
    </w:p>
    <w:p xmlns:wp14="http://schemas.microsoft.com/office/word/2010/wordml" w:rsidRPr="001641E7" w:rsidR="001860AB" w:rsidP="001860AB" w:rsidRDefault="001860AB" w14:paraId="7EC7175D" wp14:textId="77777777">
      <w:pPr>
        <w:rPr>
          <w:sz w:val="16"/>
        </w:rPr>
      </w:pPr>
      <w:r w:rsidRPr="001641E7">
        <w:rPr>
          <w:rStyle w:val="Style13ptBold"/>
        </w:rPr>
        <w:t>Puar 17</w:t>
      </w:r>
      <w:r w:rsidRPr="001641E7">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67-70]</w:t>
      </w:r>
    </w:p>
    <w:p xmlns:wp14="http://schemas.microsoft.com/office/word/2010/wordml" w:rsidRPr="001641E7" w:rsidR="001860AB" w:rsidP="001860AB" w:rsidRDefault="001860AB" w14:paraId="7A2BEE16" wp14:textId="77777777">
      <w:r w:rsidRPr="001641E7">
        <w:rPr>
          <w:sz w:val="8"/>
        </w:rPr>
        <w:t xml:space="preserve">Phenomenological elaborations of the multiplicity of material embodiment of bodies with disabilities and the political stakes in the liberatory facets of bodily difference notwithstanding, I join a growing chorus of scholars and activists who urge greater attention not only to how disabled bodies are maintained in difference and hierarchy but also to how disabled bodies are solicited and manufactured. This is a crucial facet of disability that complicates the exceptionalism of certain kinds of disabilities and disabled bodies with attention to debilitation as a primary activity of capitalist global expansion. </w:t>
      </w:r>
      <w:r w:rsidRPr="001641E7">
        <w:rPr>
          <w:rStyle w:val="StyleUnderline"/>
        </w:rPr>
        <w:t>Theorizing these two together—the biopolitics of disability and the biopolitics of debilitation—demands nothing less than the crafting of a scholarly platform that seeks to address and attempts to eliminate the local and global conditions of inequality that give rise to the incidence of much—if not most—of the world’s disability. A disability justice approach</w:t>
      </w:r>
      <w:r w:rsidRPr="001641E7">
        <w:rPr>
          <w:sz w:val="8"/>
        </w:rPr>
        <w:t xml:space="preserve">, as many have argued, </w:t>
      </w:r>
      <w:r w:rsidRPr="001641E7">
        <w:rPr>
          <w:rStyle w:val="StyleUnderline"/>
        </w:rPr>
        <w:t>is unequivocally antiwar, pro-labor, antiracist, prison abolitionist, and anti-imperialist. This approach is resolutely vigilant about critiquing U.S. imperialism both within the United States—as a settler colonial state—and internationally, as the director of the war on terror, an occupier of Afghanistan and Iraq, and as the main entity legitimating and funding Israel’s settler colonial occupation of Palestine.</w:t>
      </w:r>
      <w:r w:rsidRPr="001641E7">
        <w:rPr>
          <w:sz w:val="8"/>
        </w:rPr>
        <w:t xml:space="preserve"> There cannot be a focus on growing disability culture alone, for indeed this growth happens within the context of these imperial projects, is informed by them, and cannot be separated from them.11 </w:t>
      </w:r>
      <w:r w:rsidRPr="001641E7">
        <w:rPr>
          <w:rStyle w:val="StyleUnderline"/>
        </w:rPr>
        <w:t xml:space="preserve">Any flourishing of cultures of disability and disability pride must be evaluated in the context of these fissures in order to ask who is able to participate in empowerment discourses and practices and why. </w:t>
      </w:r>
      <w:r w:rsidRPr="001641E7">
        <w:rPr>
          <w:sz w:val="8"/>
        </w:rPr>
        <w:t xml:space="preserve">Among the most urgent critiques are those from disability studies scholars working in or on the global south. </w:t>
      </w:r>
      <w:r w:rsidRPr="001641E7">
        <w:rPr>
          <w:rStyle w:val="StyleUnderline"/>
        </w:rPr>
        <w:t xml:space="preserve">Calling disability studies “a form of scholarly colonialism,” Helen Meekosha argues that </w:t>
      </w:r>
      <w:r w:rsidRPr="001641E7">
        <w:rPr>
          <w:rStyle w:val="StyleUnderline"/>
        </w:rPr>
        <w:lastRenderedPageBreak/>
        <w:t>the field needs to be “re-thought taking full account of the 400 million disabled people living in the global South.”</w:t>
      </w:r>
      <w:r w:rsidRPr="001641E7">
        <w:rPr>
          <w:sz w:val="8"/>
        </w:rPr>
        <w:t xml:space="preserve">12 This statistic is perhaps already a problem because it may reflect a brutal empirical standardization of vastly different bodily impairments and comportment that still epistemologically circulate through, and thus validate, the global north. And yet, only by ignoring the vastly uneven geopolitical distribution of disability, and our (U.S.) complicity in producing debilitation elsewhere, can leading disability studies scholar Rosemarie Garland-Thomson profess that “disability is a resource, rather than a restriction,” promoting a highly privileged conversation about Western philosophical bioethics that remains uninterrogated in terms of distinctions between disability and debilitation. While resignifiying the category of disability may aid in addressing what Bryan S. Turner (quoted by Garland-Thomson) calls “ontological contingency” by deconstructing the presumed, taken-for- granted capacities-enabled status of able-bodies, such ontological contingencies should not sublimate the sociopolitical contexts within which they occur, nor be thought of by any means as “the truth of our body’s vulnerability to the randomness of fate.”13 Garland-Thomson continues: “Each one of us ineluctably acquires one or more disabilities—naming them variably as illness, disease, injury, old age, failure, dysfunction, or dependence. This inconvenient truth nudges most of us who think of ourselves as able-bodied toward imagining disability as an uncommon visitation that mostly happens to someone else, as a fate somehow elective rather than inevitable.”14 This statement by Garland-Thomson does not take into account the politics of debilitation that render some populations as definitively unworthy of health and targeted for injury. Neither accidental nor necessarily cast as unfortunate, </w:t>
      </w:r>
      <w:r w:rsidRPr="001641E7">
        <w:rPr>
          <w:rStyle w:val="StyleUnderline"/>
        </w:rPr>
        <w:t>debilitation</w:t>
      </w:r>
      <w:r w:rsidRPr="001641E7">
        <w:rPr>
          <w:sz w:val="8"/>
        </w:rPr>
        <w:t xml:space="preserve"> is not a by-product of social injustice and inequity. More trenchantly, it </w:t>
      </w:r>
      <w:r w:rsidRPr="001641E7">
        <w:rPr>
          <w:rStyle w:val="StyleUnderline"/>
        </w:rPr>
        <w:t xml:space="preserve">is constitutive of the very mechanisms that enable certain populations to occupy the “make live” vector, to experience “ontological contingency” as an ultimate reserve of the body abstracted from sociality, and to imagine disability as something that one acquires inevitably rather than something that is unevenly endemic to the quotidian realities of poverty, permanent war, racism, imperialism, and colonialism. Debilitation is required because the debilitation of bodies is, in part, how these populations come to be populations as such in the first place. </w:t>
      </w:r>
      <w:r w:rsidRPr="001641E7">
        <w:rPr>
          <w:sz w:val="8"/>
        </w:rPr>
        <w:t xml:space="preserve">As Heather Lukes points out, the concept of disability has recently come under such critique and duress that its adequacy and relevance within broader social phenomena are questionable.15 Prominent disability studies scholar Nirmala Erevelles also convincingly argues that “the very category of ‘disability’ operates as a commodity fetish that occludes the violence of the socio-economic system.”16 </w:t>
      </w:r>
      <w:r w:rsidRPr="001641E7">
        <w:rPr>
          <w:rStyle w:val="StyleUnderline"/>
        </w:rPr>
        <w:t>The conditions of possibility that enable the simultaneous mass production of debilitation and the emergence of disability as a biopolitical state category are indebted to the biopolitical “ascendancy of whiteness.”</w:t>
      </w:r>
      <w:r w:rsidRPr="001641E7">
        <w:rPr>
          <w:sz w:val="8"/>
        </w:rPr>
        <w:t xml:space="preserve">17 Noting that the “violence of imperialism is instrumental not only in the creation of disability but also in the absence of public recognition of the impact of disability in the third world,” Erevelles seeks deeper engagement with U.S. imperialism in Euro-American disability studies.18 Implicitly included in her statement is also settler colonialism as ongoing debilitation and settler subjectivity as the production of ableist whiteness. Further, including within a diversity model the difference of disability from “other” countries, through the national frame and often through rights and identity formations, may also stratify the production of debilitation “elsewhere” that works in part to promote the protection of disability “here.” </w:t>
      </w:r>
      <w:r w:rsidRPr="001641E7">
        <w:rPr>
          <w:rStyle w:val="StyleUnderline"/>
        </w:rPr>
        <w:t>Proposing a “southern theory of disability,” Meekosha writes: “The prevention of impairments as social products on a global scale as a result of, for example, war and environmental pollution, calls for a global perspective by disability scholars that specifically incorporates the role of the global North in ‘disabling’ the global South.</w:t>
      </w:r>
      <w:r w:rsidRPr="001641E7">
        <w:rPr>
          <w:sz w:val="8"/>
        </w:rPr>
        <w:t xml:space="preserve">”19 Meekosha draws on postcolonial theory to suggest the concept of “social suffering” might be more appropriate, backending personal tragedy to prioritize the politics of endemic debilitation of disenfranchised populations.20 As a rebuttal to Garland-Thomson’s hailing the “randomness of fate,” then, </w:t>
      </w:r>
      <w:r w:rsidRPr="001641E7">
        <w:rPr>
          <w:rStyle w:val="StyleUnderline"/>
        </w:rPr>
        <w:t xml:space="preserve">Meekosha’s framing is a necessary reminder that much social suffering is neither random nor arbitrary. </w:t>
      </w:r>
      <w:r w:rsidRPr="001641E7">
        <w:rPr>
          <w:sz w:val="8"/>
        </w:rPr>
        <w:t xml:space="preserve">There is a productive tension, then, between embracing disability </w:t>
      </w:r>
      <w:r w:rsidRPr="001641E7">
        <w:rPr>
          <w:rStyle w:val="StyleUnderline"/>
        </w:rPr>
        <w:t>as a universal and inevitable condition, and combating the production of disability acquired under duress of oppressive structures of social injustice. While the former became necessary to push back against the exceptionalizing view of disability as a singular misfortune and a private tragedy, disability should not then be conceptualized as a universal problem affecting everyone. 21 Without attending to the unevenness of that universal affectation in geopolitical and biopolitical terms, this necessary rejoinder to exceptionalizing tendencies invites a problematic liberalizing democratization; universalizing in order to counter exceptionalizing leaves the binary operative. Naturalizing socially produced disability as “ontological contingency” provides fodder for rights-based platforms offering modes of accommodation and the façade of cultural rehabilitation to obscure the production of debilitation as an active practice of exploitation. These platforms further delimit the imaginary of interventions to rights-based agendas at the expense of social justice approaches, putting a cosmetic fix on a systemic issue and drawing political, social, and economic capital both toward responsibilization and also toward celebrating disability pride rather than preventing the weaponization of debilitation.</w:t>
      </w:r>
      <w:r w:rsidRPr="001641E7">
        <w:rPr>
          <w:sz w:val="8"/>
        </w:rPr>
        <w:t xml:space="preserve">22 </w:t>
      </w:r>
      <w:r w:rsidRPr="001641E7">
        <w:rPr>
          <w:rStyle w:val="StyleUnderline"/>
        </w:rPr>
        <w:t>They privilege the individual and often exceptional experiences of disability over the quotidian forms of debilitation experienced by much of the world, blaming the individuals and populations who cannot survive and lauding the success of the ones who do, rather than seeing the supplementary relation of the two. These tendencies accumulate and work collectively in the service of disability rights discourses that function as a foil for U.S. settler colonialism and imperialism and its debilitating machinery.</w:t>
      </w:r>
    </w:p>
    <w:p xmlns:wp14="http://schemas.microsoft.com/office/word/2010/wordml" w:rsidRPr="001641E7" w:rsidR="001860AB" w:rsidP="001860AB" w:rsidRDefault="001860AB" w14:paraId="0596A3B3" wp14:textId="77777777">
      <w:pPr>
        <w:pStyle w:val="Heading2"/>
      </w:pPr>
      <w:r w:rsidRPr="001641E7">
        <w:lastRenderedPageBreak/>
        <w:t>AFF Extensions</w:t>
      </w:r>
    </w:p>
    <w:p xmlns:wp14="http://schemas.microsoft.com/office/word/2010/wordml" w:rsidRPr="001641E7" w:rsidR="001860AB" w:rsidP="001860AB" w:rsidRDefault="001860AB" w14:paraId="75CE57D6" wp14:textId="77777777">
      <w:pPr>
        <w:pStyle w:val="Heading3"/>
        <w:rPr>
          <w:rFonts w:cs="Arial"/>
        </w:rPr>
      </w:pPr>
      <w:r w:rsidRPr="001641E7">
        <w:rPr>
          <w:rFonts w:cs="Arial"/>
        </w:rPr>
        <w:lastRenderedPageBreak/>
        <w:t>Toxins Key</w:t>
      </w:r>
    </w:p>
    <w:p xmlns:wp14="http://schemas.microsoft.com/office/word/2010/wordml" w:rsidRPr="001641E7" w:rsidR="001860AB" w:rsidP="001860AB" w:rsidRDefault="001860AB" w14:paraId="3BF24169" wp14:textId="77777777">
      <w:pPr>
        <w:pStyle w:val="Heading4"/>
        <w:rPr>
          <w:rFonts w:cs="Arial"/>
        </w:rPr>
      </w:pPr>
      <w:r w:rsidRPr="001641E7">
        <w:rPr>
          <w:rFonts w:cs="Arial"/>
        </w:rPr>
        <w:t>Toxins key starting point – toxicity is discursively and materially produced in society – we must challenge pathologization in the everyday</w:t>
      </w:r>
    </w:p>
    <w:p xmlns:wp14="http://schemas.microsoft.com/office/word/2010/wordml" w:rsidRPr="001641E7" w:rsidR="001860AB" w:rsidP="001860AB" w:rsidRDefault="001860AB" w14:paraId="6EFA4EC5" wp14:textId="77777777">
      <w:r w:rsidRPr="001641E7">
        <w:rPr>
          <w:rStyle w:val="Style13ptBold"/>
        </w:rPr>
        <w:t>Chen 12</w:t>
      </w:r>
      <w:r w:rsidRPr="001641E7">
        <w:t xml:space="preserve"> [Mel, Assoc. Prof. Gender and Women’s Studies and Vice Chair for Research, Dir. of the Center for the Study of Sexual Culture @ UC Berkeley, Animacies: Biopolitical Racial Mattering and Queer Affect, pp. 189-92]</w:t>
      </w:r>
    </w:p>
    <w:p xmlns:wp14="http://schemas.microsoft.com/office/word/2010/wordml" w:rsidRPr="001641E7" w:rsidR="001860AB" w:rsidP="001860AB" w:rsidRDefault="001860AB" w14:paraId="7599E52A" wp14:textId="77777777">
      <w:pPr>
        <w:rPr>
          <w:rStyle w:val="StyleUnderline"/>
        </w:rPr>
      </w:pPr>
      <w:r w:rsidRPr="001641E7">
        <w:rPr>
          <w:rStyle w:val="StyleUnderline"/>
        </w:rPr>
        <w:t>Toxins</w:t>
      </w:r>
      <w:r w:rsidRPr="001641E7">
        <w:rPr>
          <w:sz w:val="8"/>
        </w:rPr>
        <w:t xml:space="preserve"> are everywhere. The story goes they weren’t here before. They lurk in personal products, our industry- spewn air, our soil, our food, below houses, and in waste receptacles where they will not degrade for years. They reside inside our bodies. They </w:t>
      </w:r>
      <w:r w:rsidRPr="001641E7">
        <w:rPr>
          <w:rStyle w:val="StyleUnderline"/>
        </w:rPr>
        <w:t>are blamed for disabilities and death, including autism, asthma, chronic illness, cancer. In the attention to worldwide pollution, human bodies and ecosystems alike have entered its broad arc of toxic destruction.</w:t>
      </w:r>
      <w:r w:rsidRPr="001641E7">
        <w:rPr>
          <w:sz w:val="8"/>
        </w:rPr>
        <w:t xml:space="preserve"> Though Lawrence Buell in 1998 identified the early period of contemporary “toxic discourse” in the United States with the emergence of Rachel Carson’s Silent Spring in 1962, notions and discursive sites of toxicity seem to have blossomed and transmogrified somewhat beyond Buell’s astute literary mapping of the rhetorical underpinnings of toxic discourse: rude awakenings, nostalgic yearnings for pastoral purity.1 </w:t>
      </w:r>
      <w:r w:rsidRPr="001641E7">
        <w:rPr>
          <w:rStyle w:val="StyleUnderline"/>
        </w:rPr>
        <w:t>Recent years have witnessed a tremendous growth of knowledge productions relating to the toxic ecology of the human body, which is linked to an industry of toxin- testing private and nonprofit agencies that hope to manage safety dangers regarding threats to home and body.</w:t>
      </w:r>
      <w:r w:rsidRPr="001641E7">
        <w:rPr>
          <w:sz w:val="8"/>
        </w:rPr>
        <w:t xml:space="preserve"> These are accompanied by stories about the toxic load that people in various geographies at various life stages carry.2 Coverage of toxic catastrophes compulsively refers to other such events. The previous chapter on lead attended to medicalized representations of lead toxicity and their collusion with discourses about race and human development. While the discussion of lead introduced the figure of lead toxicity as a measure of public fear, this chapter focuses squarely on toxicity itself, in both its cultural structures and its affects, this time with attention to mercury and the “mercurial.” Here I move from exploring toxicity’s contemporary pervasiveness as a notion, to exploring its purported and experienced mechanisms in the human body. This shift concerns the role of metaphor in biopolitics, since the seemingly metaphorical productions of cultural expressions of toxicity are not necessarily more concrete than the literal ones, which are themselves composed of complex cultures of immunity thinking. Reflecting on the ambiguous subject- object relations of toxicity, I use animacy theory to ask how the flexible subjectness or objectness of an actant raises important questions about the contingencies of humanness and animateness. These contingencies are eminently contestable within critical queer and race and disability approaches that, for instance, disaggregate verbal patients from the bottom of the hierarchy. Since, as I argued in chapter 1, </w:t>
      </w:r>
      <w:r w:rsidRPr="001641E7">
        <w:rPr>
          <w:rStyle w:val="StyleUnderline"/>
        </w:rPr>
        <w:t>animacy hierarchies are simultaneously ontologies of affect,</w:t>
      </w:r>
      <w:r w:rsidRPr="001641E7">
        <w:rPr>
          <w:sz w:val="8"/>
        </w:rPr>
        <w:t xml:space="preserve"> then </w:t>
      </w:r>
      <w:r w:rsidRPr="001641E7">
        <w:rPr>
          <w:rStyle w:val="StyleUnderline"/>
        </w:rPr>
        <w:t>such ontologies might benefit from a reconceptualization of “the order of things,” particularly along unconventional lines of race, sexuality, and ability.</w:t>
      </w:r>
      <w:r w:rsidRPr="001641E7">
        <w:rPr>
          <w:sz w:val="8"/>
        </w:rPr>
        <w:t xml:space="preserve">3 toxicity’s Reach Toxins have moved well beyond their specific range of biological attribution, leaking out of nominal and literal bounds. </w:t>
      </w:r>
      <w:r w:rsidRPr="001641E7">
        <w:rPr>
          <w:rStyle w:val="StyleUnderline"/>
        </w:rPr>
        <w:t>A politician will decry the “toxic” political atmosphere;</w:t>
      </w:r>
      <w:r w:rsidRPr="001641E7">
        <w:rPr>
          <w:sz w:val="8"/>
        </w:rPr>
        <w:t xml:space="preserve">4 Britney Spears will sing “Don’t you know that you’re toxic / And I love what you do”;5 </w:t>
      </w:r>
      <w:r w:rsidRPr="001641E7">
        <w:rPr>
          <w:rStyle w:val="StyleUnderline"/>
        </w:rPr>
        <w:t>an advice columnist will caution us to keep a healthy distance from “toxic” acquaintances.</w:t>
      </w:r>
      <w:r w:rsidRPr="001641E7">
        <w:rPr>
          <w:sz w:val="8"/>
        </w:rPr>
        <w:t xml:space="preserve">6 One book is written for workers “suffering the ravages of a toxic personality,” describing what they do as “poison, corrupt, pollute, and contaminate. . . . We define the toxic personality as anyone who demonstrates a pattern of counterproductive work behaviors that debilitate individuals, teams, and even organizations over the long term.”7 Thus, </w:t>
      </w:r>
      <w:r w:rsidRPr="001641E7">
        <w:rPr>
          <w:rStyle w:val="StyleUnderline"/>
        </w:rPr>
        <w:t>toxic people</w:t>
      </w:r>
      <w:r w:rsidRPr="001641E7">
        <w:rPr>
          <w:sz w:val="8"/>
        </w:rPr>
        <w:t xml:space="preserve">, not just chemicals, are appearing </w:t>
      </w:r>
      <w:r w:rsidRPr="001641E7">
        <w:rPr>
          <w:rStyle w:val="StyleUnderline"/>
        </w:rPr>
        <w:t>in popular social discourse</w:t>
      </w:r>
      <w:r w:rsidRPr="001641E7">
        <w:rPr>
          <w:sz w:val="8"/>
        </w:rPr>
        <w:t xml:space="preserve">, </w:t>
      </w:r>
      <w:r w:rsidRPr="001641E7">
        <w:rPr>
          <w:rStyle w:val="StyleUnderline"/>
        </w:rPr>
        <w:t>suggest</w:t>
      </w:r>
      <w:r w:rsidRPr="001641E7">
        <w:rPr>
          <w:sz w:val="8"/>
        </w:rPr>
        <w:t xml:space="preserve">ing </w:t>
      </w:r>
      <w:r w:rsidRPr="001641E7">
        <w:rPr>
          <w:rStyle w:val="StyleUnderline"/>
        </w:rPr>
        <w:t>a shift in national sentiment that registers an increasing interest in individual bodily, emotional, and psychic security. For the rhetoric of security inevitably has ramifications</w:t>
      </w:r>
      <w:r w:rsidRPr="001641E7">
        <w:rPr>
          <w:sz w:val="8"/>
        </w:rPr>
        <w:t xml:space="preserve"> not simply related to health: as the previous chapter delineated, recent concerns about the toxicity of lead were </w:t>
      </w:r>
      <w:r w:rsidRPr="001641E7">
        <w:rPr>
          <w:rStyle w:val="StyleUnderline"/>
        </w:rPr>
        <w:t xml:space="preserve">especially charged in terms of race, sexuality, ability, and nation. </w:t>
      </w:r>
      <w:r w:rsidRPr="001641E7">
        <w:rPr>
          <w:sz w:val="8"/>
        </w:rPr>
        <w:t xml:space="preserve">Let us probe the affective dynamics of one example in detail, the paradoxical conceit of the now- popular phrase “toxic assets,” associated with policies of financial deregulation in the United States that entered a new phase in the early 1990s. Notably, the toxic assets of significance that originated at that time and that are held responsible for global economic fallout are the financial products composed of grouped mortgages tied to a hypervalued and unstable residential real estate market. We might say that this complex financial product, this “toxic asset,” is a “good” precisely because it entails capital value; yet it has unfortunately become—considering the discourse in which “toxic asset” has meaning—not only “toxic” but also perhaps “untouchable” (as an affective stance), “unengageable” (as tokens of exchange with limited commensurability), and perhaps even “disabling” (that is, it renders the corporation that buys it up also invalid). The term toxic assets thus reflects an effort to externalize—but also to indict for their threatening closeness (to home)—corrupt layers of financial organization. These examples illustrate that there seems to be a basic semantic schema for toxicity: in this schema, two bodies are proximate; the first body, living or abstract, is under threat by the second; the second has the effect of poisoning, and altering, the first, causing a degree of damage, disability, or even death. In English, this adjectival meaning of toxic—of or related to poison, which means that a body or its blood could be harmed by an external agent—has endured since the 1600s, according to the oed, and it was concretized into the noun toxin in 1890; it is debatable when the metaphorical use emerged. If we are willing to assign “literal” to toxicity’s application to the human body and “metaphoric” to all others, then these metaphorical mappings are not always very sound. </w:t>
      </w:r>
      <w:r w:rsidRPr="001641E7">
        <w:rPr>
          <w:rStyle w:val="StyleUnderline"/>
        </w:rPr>
        <w:t>Linnda Durre, author of Surviving the Toxic Workplace, identifies certain personalities as toxic; among them is one she dubs “The Delicate Flower”: “If someone is sitting there constantly saying: ‘You’re wearing perfume. I’m going to have an allergy attack,’ or: ‘You’re eating meat. That’s so disgusting,’ it’s like grinding, grinding, whining, whining every day of your life.”8 Durre would rather expunge the workplace of such complaints; she fails to consider that the design of a workplace might well place certain people, including those susceptible to allergy attacks, at a radical disadvantage. If the definition of toxin has always been the outcome of political negotiation and a threshold value on a set of selected tests, its conditionality is no more true in medical discourse than in social discourse, in which one’s definition of a toxic irritant coincides with habitual scapegoats of ableist, sexist, and racist systems.</w:t>
      </w:r>
      <w:r w:rsidRPr="001641E7">
        <w:rPr>
          <w:sz w:val="8"/>
        </w:rPr>
        <w:t xml:space="preserve"> Toxicity’s “first” (under threat) and “second” (threatening) bodies are thus in the eye of the beholder. Faced with toxicity’s broad and hungry reach, the contemporary culture of the United States is witnessing both the notional release and proliferation of the metaphor of toxicity, while also marking its biopolitical entrainment as an instrument of difference. While the first seems important for allowing a kind of associative theorizing, it is simultaneously important to retain a fine sensitivity to the vastly different sites in which toxicity involves itself in very different lived experiences (or deaths), for instance, a broker’s relation to “toxic bonds” versus a farm worker’s relation to pesticides. Furthermore, the deployment of the first can leave untouched—or even depend on—the naturalized logic of the second. Disability scholars have discussed the deployment of disability as a trope that ultimately reconsolidates ability; David Mitchell and Sharon Snyder have elucidated the idea of “narrative prosthesis,” a kind of narrative deployment of disability that entrenches a kind of ableist idealization of privileged subject positions. 9 Indeed, we might argue that the workplace psychologist Linnda Durre is doing just that in her formulation of “The Delicate Flower.” As Michael Davidson reminds us, we cannot consider the prosthesis only at the level of narrative trope, given the widespread problems around access to such essential medical devices; he writes, “sometimes a prosthesis is still a prosthesis.”10 </w:t>
      </w:r>
      <w:r w:rsidRPr="001641E7">
        <w:rPr>
          <w:rStyle w:val="StyleUnderline"/>
        </w:rPr>
        <w:t>Think about how often culture recruits languages of disability: “the corporation was crippled”; “don’t use me as a crutch.” The “toxic” people debated in self- help guides and pop songs should not be detached from an understanding of how toxins function in, and impair, actual bodies and systems.</w:t>
      </w:r>
      <w:r w:rsidRPr="001641E7">
        <w:rPr>
          <w:sz w:val="8"/>
        </w:rPr>
        <w:t xml:space="preserve"> Furthermore, such </w:t>
      </w:r>
      <w:r w:rsidRPr="001641E7">
        <w:rPr>
          <w:rStyle w:val="StyleUnderline"/>
        </w:rPr>
        <w:lastRenderedPageBreak/>
        <w:t>“impairment,”</w:t>
      </w:r>
      <w:r w:rsidRPr="001641E7">
        <w:rPr>
          <w:sz w:val="8"/>
        </w:rPr>
        <w:t xml:space="preserve"> as some scholars and activists assert, </w:t>
      </w:r>
      <w:r w:rsidRPr="001641E7">
        <w:rPr>
          <w:rStyle w:val="StyleUnderline"/>
        </w:rPr>
        <w:t>should be understood as a societal production, and not (only or even) as a problem proper to an individual that must be cured or corrected.</w:t>
      </w:r>
    </w:p>
    <w:p xmlns:wp14="http://schemas.microsoft.com/office/word/2010/wordml" w:rsidR="001860AB" w:rsidP="001860AB" w:rsidRDefault="001860AB" w14:paraId="54E29E11" wp14:textId="77777777">
      <w:pPr>
        <w:pStyle w:val="Heading3"/>
      </w:pPr>
      <w:r>
        <w:lastRenderedPageBreak/>
        <w:t>Intersectionality Key</w:t>
      </w:r>
    </w:p>
    <w:p xmlns:wp14="http://schemas.microsoft.com/office/word/2010/wordml" w:rsidRPr="00C2398C" w:rsidR="001860AB" w:rsidP="001860AB" w:rsidRDefault="001860AB" w14:paraId="674C75C4" wp14:textId="77777777">
      <w:pPr>
        <w:pStyle w:val="Heading4"/>
        <w:rPr>
          <w:rFonts w:cs="Arial"/>
        </w:rPr>
      </w:pPr>
      <w:r>
        <w:rPr>
          <w:rFonts w:cs="Arial"/>
        </w:rPr>
        <w:t>Racialization and ableism are imbricated in one another – we must analyze intersectionally to challenge the production of the racialized disabled other as a threat</w:t>
      </w:r>
    </w:p>
    <w:p xmlns:wp14="http://schemas.microsoft.com/office/word/2010/wordml" w:rsidRPr="00C2398C" w:rsidR="001860AB" w:rsidP="001860AB" w:rsidRDefault="001860AB" w14:paraId="027BFBE9" wp14:textId="77777777">
      <w:r w:rsidRPr="00D8121B">
        <w:rPr>
          <w:rStyle w:val="Style13ptBold"/>
        </w:rPr>
        <w:t>Inckle 15</w:t>
      </w:r>
      <w:r w:rsidRPr="00C2398C">
        <w:rPr>
          <w:b/>
        </w:rPr>
        <w:t xml:space="preserve"> </w:t>
      </w:r>
      <w:r w:rsidRPr="00C2398C">
        <w:t xml:space="preserve">(Kay. Professor at the London School of Economics and Political Science in the fields of sociology of health and medicine. Feminist Review:debilitating times: compulsory ablebodiedness and white privilege in theory and practice. 2015) ///ONW </w:t>
      </w:r>
    </w:p>
    <w:p xmlns:wp14="http://schemas.microsoft.com/office/word/2010/wordml" w:rsidRPr="00C2398C" w:rsidR="001860AB" w:rsidP="001860AB" w:rsidRDefault="001860AB" w14:paraId="1250C4D0" wp14:textId="77777777">
      <w:pPr>
        <w:rPr>
          <w:sz w:val="16"/>
        </w:rPr>
      </w:pPr>
      <w:r w:rsidRPr="00C2398C">
        <w:rPr>
          <w:sz w:val="16"/>
        </w:rPr>
        <w:t xml:space="preserve">In this paper I explore whether the strategies that make white privilege visible to those who it protects and empowers (e.g., white people) may be equally effective in revealing the privilege (and limitations) of compulsory able bodiedness. My purpose is not to argue that disability is like a raced identity, since to do so would raise significant political and ethical problems. Nor is it to suggest that white privilege is the same as compulsory able bodiediedness. Rather, my purpose is to explore whether the tools that reveal the functioning (and limitations) of white privilege can be adapted to expose the privileging of compulsory able bodiedness and its operation within disability discourse. Nonetheless, </w:t>
      </w:r>
      <w:r w:rsidRPr="008D3941">
        <w:rPr>
          <w:rStyle w:val="StyleUnderline"/>
        </w:rPr>
        <w:t xml:space="preserve">in dualistic culture, </w:t>
      </w:r>
      <w:r w:rsidRPr="00C2398C">
        <w:rPr>
          <w:b/>
          <w:u w:val="single"/>
        </w:rPr>
        <w:t>those with disabled and raced identities occupy the negative side of the binary. White, able bodied, heterosexual men provide the human norm against which deviation is measured</w:t>
      </w:r>
      <w:r w:rsidRPr="00C2398C">
        <w:rPr>
          <w:sz w:val="16"/>
        </w:rPr>
        <w:t xml:space="preserve"> (Dyer, 1997). </w:t>
      </w:r>
      <w:r w:rsidRPr="00C2398C">
        <w:rPr>
          <w:b/>
          <w:u w:val="single"/>
        </w:rPr>
        <w:t>White men are</w:t>
      </w:r>
      <w:r w:rsidRPr="008D3941">
        <w:rPr>
          <w:rStyle w:val="StyleUnderline"/>
        </w:rPr>
        <w:t xml:space="preserve"> </w:t>
      </w:r>
      <w:r w:rsidRPr="00C2398C">
        <w:rPr>
          <w:b/>
          <w:u w:val="single"/>
        </w:rPr>
        <w:t>thereby defined as masters of their own bodie</w:t>
      </w:r>
      <w:r w:rsidRPr="008D3941">
        <w:rPr>
          <w:rStyle w:val="StyleUnderline"/>
        </w:rPr>
        <w:t xml:space="preserve">s, not at the mercy of their physicality in the ways that women, disabled and racialised people are seen to be. </w:t>
      </w:r>
      <w:r w:rsidRPr="00C2398C">
        <w:rPr>
          <w:b/>
          <w:u w:val="single"/>
        </w:rPr>
        <w:t>Transcending the body is the location of privilege</w:t>
      </w:r>
      <w:r w:rsidRPr="008D3941">
        <w:rPr>
          <w:rStyle w:val="StyleUnderline"/>
        </w:rPr>
        <w:t xml:space="preserve">, while ‘inescapable corporeality’ </w:t>
      </w:r>
      <w:r w:rsidRPr="00C2398C">
        <w:rPr>
          <w:sz w:val="16"/>
        </w:rPr>
        <w:t>(Dyer, 1997, p. 24)—</w:t>
      </w:r>
      <w:r w:rsidRPr="008D3941">
        <w:rPr>
          <w:rStyle w:val="StyleUnderline"/>
        </w:rPr>
        <w:t xml:space="preserve">which is to be permanently defined by and as a body—is the mark of the Other and is elemental to structures of ‘race’, disability (and gender). </w:t>
      </w:r>
      <w:r w:rsidRPr="00C2398C">
        <w:rPr>
          <w:b/>
          <w:u w:val="single"/>
        </w:rPr>
        <w:t>Therefore, raced and disabled people are ascribed many of the same pathologies and deviancies. These include uncleanliness and the threats of pollution and contamination</w:t>
      </w:r>
      <w:r w:rsidRPr="008D3941">
        <w:rPr>
          <w:rStyle w:val="StyleUnderline"/>
        </w:rPr>
        <w:t xml:space="preserve"> (Berthold, 2010), physical, intellectual and moral inferiority (Mohanram, 2005), and pathological sexuality (Wilkerson, 2002) requiring control and sterilisation (Saxton, 2014). The parallels between ‘race’ and disability as inferior categories of human being are also highlighted by the diagnosis of ‘Down’s Syndrome</w:t>
      </w:r>
      <w:r w:rsidRPr="00C2398C">
        <w:rPr>
          <w:sz w:val="16"/>
        </w:rPr>
        <w:t xml:space="preserve"> ’.Down ’s Syndrome was originally labelled ‘Mongolism’ because of the alleged similarities in appearance and capacity between the ‘lower races’—that is, people from Mongolia—and people with intellectual disabilities (Barry and Yuill, 2012). Conversely, </w:t>
      </w:r>
      <w:r w:rsidRPr="00C2398C">
        <w:rPr>
          <w:b/>
          <w:u w:val="single"/>
        </w:rPr>
        <w:t xml:space="preserve">as privileged positions, both whiteness and able bodiedness lay claim to valued physical characteristics </w:t>
      </w:r>
      <w:r w:rsidRPr="008D3941">
        <w:rPr>
          <w:rStyle w:val="StyleUnderline"/>
        </w:rPr>
        <w:t xml:space="preserve">(pale skin, a ‘fully functioning’ body) </w:t>
      </w:r>
      <w:r w:rsidRPr="00C2398C">
        <w:rPr>
          <w:b/>
          <w:u w:val="single"/>
        </w:rPr>
        <w:t>and position these as rigid, biological features. However, both whiteness and ‘ability’ are contested political categories that vary across time and place, and which individuals and groups may move in and out of.</w:t>
      </w:r>
      <w:r w:rsidRPr="008D3941">
        <w:rPr>
          <w:rStyle w:val="StyleUnderline"/>
        </w:rPr>
        <w:t xml:space="preserve"> </w:t>
      </w:r>
      <w:r w:rsidRPr="00C2398C">
        <w:rPr>
          <w:sz w:val="16"/>
        </w:rPr>
        <w:t xml:space="preserve">For example, the ‘one drop rule’ through which blackness was measured as a form of racial pollution meant that a person with even a fractional amount of racialised heritage would be raced as black rather than white (Dyer, 1997; Berthold, 2010).1 Similarly, groups of people who are now considered white—for example, Irish, Jewish and Italian people—have all historically been raced as black (Dyer, 1997; Mohanram, 2005). Likewise, throughout history and up to the present day different groups of people have moved in and out of the category of disability. For example, recent additions to the category of disability include people with HIV, cancer and diagnoses of mental illness. Contemporary exits from the category include members of the Deaf community who are considered a cultural rather than a disability minority. </w:t>
      </w:r>
      <w:r w:rsidRPr="008D3941">
        <w:rPr>
          <w:rStyle w:val="StyleUnderline"/>
        </w:rPr>
        <w:t xml:space="preserve">Therefore, </w:t>
      </w:r>
      <w:r w:rsidRPr="00C2398C">
        <w:rPr>
          <w:b/>
          <w:u w:val="single"/>
        </w:rPr>
        <w:t>both whiteness and ablebodiedness are shifting categories whose borders move to demarcate privilege and derogation in accordance with social norms, beliefs and prejudices of the time.</w:t>
      </w:r>
      <w:r w:rsidRPr="008D3941">
        <w:rPr>
          <w:rStyle w:val="StyleUnderline"/>
        </w:rPr>
        <w:t xml:space="preserve"> Indeed, concepts of ‘race’ and disability as we understand them today, as biological and self-evident ‘facts’, are relatively recent inventions. The idea of biologically distinct, geographically located ‘races’ of people was developed during the eighteenth century</w:t>
      </w:r>
      <w:r w:rsidRPr="00C2398C">
        <w:rPr>
          <w:sz w:val="16"/>
        </w:rPr>
        <w:t xml:space="preserve"> (Dyer,1997;Mohanram,2005),</w:t>
      </w:r>
      <w:r w:rsidRPr="008D3941">
        <w:rPr>
          <w:rStyle w:val="StyleUnderline"/>
        </w:rPr>
        <w:t>and a little later the idea of a ‘normal’ human being also appeared in popular and scientific discourse as the marker against which disability is defined</w:t>
      </w:r>
      <w:r w:rsidRPr="00C2398C">
        <w:rPr>
          <w:sz w:val="16"/>
        </w:rPr>
        <w:t xml:space="preserve"> (Davis, 2014).2 </w:t>
      </w:r>
      <w:r w:rsidRPr="00C2398C">
        <w:rPr>
          <w:b/>
          <w:u w:val="single"/>
        </w:rPr>
        <w:t xml:space="preserve">It is no accident that these categorisations emerged during a period of capitalist and colonial expansion that required complex shifts in moral reasoning and scientific ‘evidence’ in order to legitimate the genocide and human rights violations taking place </w:t>
      </w:r>
      <w:r w:rsidRPr="00C2398C">
        <w:rPr>
          <w:b/>
          <w:u w:val="single"/>
        </w:rPr>
        <w:lastRenderedPageBreak/>
        <w:t>for the advancement of white ‘civilisation’.</w:t>
      </w:r>
      <w:r w:rsidRPr="00C2398C">
        <w:rPr>
          <w:sz w:val="16"/>
        </w:rPr>
        <w:t xml:space="preserve">3 Overall then, as indicated above, my aim is not to list and compare the abject status of those who are raced and disabled, as this raises ethical and political questions regarding the use of one identity as a measuring stick for another and risks reiterating hierarchies of oppression. Nor is it to argue that compulsory able bodiedness and white privilege are the same. Rather, </w:t>
      </w:r>
      <w:r w:rsidRPr="008D3941">
        <w:rPr>
          <w:rStyle w:val="StyleUnderline"/>
        </w:rPr>
        <w:t xml:space="preserve">I hope to demonstrate the need to shift the focus to the interrogation of privileged positions and the processes through which privilege renders itself both ‘normal’ and invisible. Thus, </w:t>
      </w:r>
      <w:r w:rsidRPr="00C2398C">
        <w:rPr>
          <w:b/>
          <w:u w:val="single"/>
        </w:rPr>
        <w:t>just as whiteness is largely invisible to white people as a privileged raced identity, so too is able bodiedness in perpetuating and reinforcing hierarchies of bodies and disadvantage</w:t>
      </w:r>
      <w:r w:rsidRPr="00C2398C">
        <w:rPr>
          <w:b/>
          <w:sz w:val="16"/>
        </w:rPr>
        <w:t>,</w:t>
      </w:r>
      <w:r w:rsidRPr="00C2398C">
        <w:rPr>
          <w:sz w:val="16"/>
        </w:rPr>
        <w:t xml:space="preserve"> and I explore this at work in Puar’s concept of debility. I begin with a critique of the social model of disability in order to highlight the problems of disability theory which attempts to abandon the body. I then go on to explore how these problems are also integral to Puar’s work.</w:t>
      </w:r>
    </w:p>
    <w:p xmlns:wp14="http://schemas.microsoft.com/office/word/2010/wordml" w:rsidR="001860AB" w:rsidP="001860AB" w:rsidRDefault="001860AB" w14:paraId="0D797E71" wp14:textId="77777777">
      <w:pPr>
        <w:pStyle w:val="Heading3"/>
      </w:pPr>
      <w:r>
        <w:lastRenderedPageBreak/>
        <w:t>Affect Good</w:t>
      </w:r>
    </w:p>
    <w:p xmlns:wp14="http://schemas.microsoft.com/office/word/2010/wordml" w:rsidRPr="00C2398C" w:rsidR="001860AB" w:rsidP="001860AB" w:rsidRDefault="001860AB" w14:paraId="2A99BBA2" wp14:textId="77777777">
      <w:pPr>
        <w:pStyle w:val="Heading4"/>
        <w:rPr>
          <w:rFonts w:cs="Arial"/>
        </w:rPr>
      </w:pPr>
      <w:r>
        <w:rPr>
          <w:rFonts w:cs="Arial"/>
        </w:rPr>
        <w:t>Affect opens an interrogation into the production of capacity and debility, challenges bipolitics</w:t>
      </w:r>
    </w:p>
    <w:p xmlns:wp14="http://schemas.microsoft.com/office/word/2010/wordml" w:rsidRPr="00C2398C" w:rsidR="001860AB" w:rsidP="001860AB" w:rsidRDefault="001860AB" w14:paraId="7550FA48" wp14:textId="77777777">
      <w:r w:rsidRPr="00C2398C">
        <w:rPr>
          <w:rStyle w:val="Style13ptBold"/>
        </w:rPr>
        <w:t>Puar 17</w:t>
      </w:r>
      <w:r w:rsidRPr="00DD43C1">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Lhudson</w:t>
      </w:r>
    </w:p>
    <w:p xmlns:wp14="http://schemas.microsoft.com/office/word/2010/wordml" w:rsidRPr="00C2398C" w:rsidR="001860AB" w:rsidP="001860AB" w:rsidRDefault="001860AB" w14:paraId="549721EF" wp14:textId="77777777">
      <w:pPr>
        <w:rPr>
          <w:sz w:val="12"/>
        </w:rPr>
      </w:pPr>
      <w:r w:rsidRPr="00C2398C">
        <w:rPr>
          <w:sz w:val="12"/>
        </w:rPr>
        <w:t xml:space="preserve">from epistemological corrective to ontological irreducibility </w:t>
      </w:r>
      <w:r w:rsidRPr="00C2398C">
        <w:rPr>
          <w:rStyle w:val="StyleUnderline"/>
        </w:rPr>
        <w:t>The Right to Maim</w:t>
      </w:r>
      <w:r w:rsidRPr="00C2398C">
        <w:rPr>
          <w:sz w:val="12"/>
        </w:rPr>
        <w:t xml:space="preserve"> inhabits the intersections of disability studies, critical race studies, and the affective turn, all fields of inquiry that </w:t>
      </w:r>
      <w:r w:rsidRPr="00C2398C">
        <w:rPr>
          <w:rStyle w:val="StyleUnderline"/>
        </w:rPr>
        <w:t>put duress on the privileging of the subject as a primary site of bodily interpellation</w:t>
      </w:r>
      <w:r w:rsidRPr="00C2398C">
        <w:rPr>
          <w:sz w:val="12"/>
        </w:rPr>
        <w:t xml:space="preserve">. </w:t>
      </w:r>
      <w:r w:rsidRPr="00C2398C">
        <w:rPr>
          <w:rStyle w:val="StyleUnderline"/>
          <w:highlight w:val="yellow"/>
        </w:rPr>
        <w:t>The affective</w:t>
      </w:r>
      <w:r w:rsidRPr="00C2398C">
        <w:rPr>
          <w:rStyle w:val="StyleUnderline"/>
        </w:rPr>
        <w:t xml:space="preserve"> </w:t>
      </w:r>
      <w:r w:rsidRPr="00C2398C">
        <w:rPr>
          <w:rStyle w:val="StyleUnderline"/>
          <w:highlight w:val="yellow"/>
        </w:rPr>
        <w:t>turn</w:t>
      </w:r>
      <w:r w:rsidRPr="00C2398C">
        <w:rPr>
          <w:rStyle w:val="StyleUnderline"/>
        </w:rPr>
        <w:t>,</w:t>
      </w:r>
      <w:r w:rsidRPr="00C2398C">
        <w:rPr>
          <w:sz w:val="12"/>
        </w:rPr>
        <w:t xml:space="preserve"> alongside the critical deployment of affect as a rubric of analysis and inquiry, more potently </w:t>
      </w:r>
      <w:r w:rsidRPr="00C2398C">
        <w:rPr>
          <w:rStyle w:val="StyleUnderline"/>
          <w:highlight w:val="yellow"/>
        </w:rPr>
        <w:t>signals the contestation over the dominant terms of critical theory itself</w:t>
      </w:r>
      <w:r w:rsidRPr="00C2398C">
        <w:rPr>
          <w:rStyle w:val="StyleUnderline"/>
        </w:rPr>
        <w:t xml:space="preserve"> and the limits of poststructuralist interpretive practices that focus solely on language, signification, and representation</w:t>
      </w:r>
      <w:r w:rsidRPr="00C2398C">
        <w:rPr>
          <w:sz w:val="12"/>
        </w:rPr>
        <w:t xml:space="preserve">. The sites of struggle and their targets include social constructionism (reinvigorated interrogation of biological matter that challenges both biological determinism and also performativity); epistemology (supplemented with ontology and ontogenesis); psychoanalysis (trauma rethought as the intensification of the body’s relation to itself); humanism (the capacities of nonhuman animals as well as the durational capacities of inorganic matter are highlighted by scholarship on object-oriented ontology, critical animal studies, and posthumanism); and agency (linked to cognition, perception, emotion, and feeling: an anthropocentric framing of movement challenged by affect, force, intensity, and theories of sensation).66 These undulating trajectories are arguably more significant than what affect is or what it means. </w:t>
      </w:r>
      <w:r w:rsidRPr="00C2398C">
        <w:rPr>
          <w:rStyle w:val="StyleUnderline"/>
        </w:rPr>
        <w:t>They open a reinvigorated interrogation of biological matter that still challenges biological determinism and the “ontological realism” of matter through displacing the role of language, signification, representation, and the linguistic essentialism of the human</w:t>
      </w:r>
      <w:r w:rsidRPr="00C2398C">
        <w:rPr>
          <w:sz w:val="12"/>
        </w:rPr>
        <w:t xml:space="preserve">.67 What exactly language is and the place of language itself are being resignified and multiplied.68 Part of this reenvisioning is forecasted by Mel Chen’s understanding that language is not opposed to matter; rather, language is matter.69 Thus the affective turn goes far beyond the consolidation and dispersal of affect as an analytic. </w:t>
      </w:r>
      <w:r w:rsidRPr="00C2398C">
        <w:rPr>
          <w:rStyle w:val="StyleUnderline"/>
          <w:highlight w:val="yellow"/>
        </w:rPr>
        <w:t>The modulation and surveillance of affect operates as a form of sociality that regulates good and bad subjects</w:t>
      </w:r>
      <w:r w:rsidRPr="00C2398C">
        <w:rPr>
          <w:sz w:val="12"/>
        </w:rPr>
        <w:t xml:space="preserve">, </w:t>
      </w:r>
      <w:r w:rsidRPr="00C2398C">
        <w:rPr>
          <w:rStyle w:val="StyleUnderline"/>
        </w:rPr>
        <w:t>possible and impossible bodily capacities</w:t>
      </w:r>
      <w:r w:rsidRPr="00C2398C">
        <w:rPr>
          <w:sz w:val="12"/>
        </w:rPr>
        <w:t xml:space="preserve">. Affect is at once an exchange or interchange between bodies and also an object of control. Why the destabilization of the subject and a turn to affect matters is because </w:t>
      </w:r>
      <w:r w:rsidRPr="00C2398C">
        <w:rPr>
          <w:rStyle w:val="StyleUnderline"/>
          <w:highlight w:val="yellow"/>
        </w:rPr>
        <w:t>affect</w:t>
      </w:r>
      <w:r w:rsidRPr="00C2398C">
        <w:rPr>
          <w:sz w:val="12"/>
        </w:rPr>
        <w:t>—as a bodily matter—</w:t>
      </w:r>
      <w:r w:rsidRPr="00C2398C">
        <w:rPr>
          <w:rStyle w:val="StyleUnderline"/>
          <w:highlight w:val="yellow"/>
        </w:rPr>
        <w:t>makes identity both possible and yet impossible</w:t>
      </w:r>
      <w:r w:rsidRPr="00C2398C">
        <w:rPr>
          <w:sz w:val="12"/>
        </w:rPr>
        <w:t xml:space="preserve">. And if affect makes identity cohere and dissolve—identity as the habituation of affect—it more forcefully marks the limits of identity itself. Affect impels not only dissolution of the subject but, more significantly, a dissolution of the organic body (the contours of which should never be assumed to be stable, disability studies reminds us) as forces of energy are transmitted, shared, and circulated. </w:t>
      </w:r>
      <w:r w:rsidRPr="00C2398C">
        <w:rPr>
          <w:rStyle w:val="StyleUnderline"/>
          <w:highlight w:val="yellow"/>
        </w:rPr>
        <w:t>The body</w:t>
      </w:r>
      <w:r w:rsidRPr="00C2398C">
        <w:rPr>
          <w:sz w:val="12"/>
        </w:rPr>
        <w:t>, as Brian Massumi argues, “</w:t>
      </w:r>
      <w:r w:rsidRPr="00C2398C">
        <w:rPr>
          <w:rStyle w:val="StyleUnderline"/>
          <w:highlight w:val="yellow"/>
        </w:rPr>
        <w:t>passes from one state of capacitation to a diminished</w:t>
      </w:r>
      <w:r w:rsidRPr="00C2398C">
        <w:rPr>
          <w:rStyle w:val="StyleUnderline"/>
        </w:rPr>
        <w:t xml:space="preserve"> or augmented </w:t>
      </w:r>
      <w:r w:rsidRPr="00C2398C">
        <w:rPr>
          <w:rStyle w:val="StyleUnderline"/>
          <w:highlight w:val="yellow"/>
        </w:rPr>
        <w:t>state of capacitation</w:t>
      </w:r>
      <w:r w:rsidRPr="00C2398C">
        <w:rPr>
          <w:rStyle w:val="StyleUnderline"/>
        </w:rPr>
        <w:t>,</w:t>
      </w:r>
      <w:r w:rsidRPr="00C2398C">
        <w:rPr>
          <w:sz w:val="12"/>
        </w:rPr>
        <w:t xml:space="preserve">” always bound up in the lived past of the body but always in passage to a changed future.70 Affect is precisely the body’s hopeful opening, a speculative opening not wedded to the dialectic of hope and hopelessness but rather a porous affirmation of what could or might be. It is thus not an opening toward or against or in relation to a teleological notion of time, prognosis time, or forces that simply resist or disrupt progressive time. Affect moves us away from terms such as “past,” “present,” and “future” to reorient us around what Manuel DeLanda calls “non-metric time”: speed, pace, duration, timing, rhythms, frequency. </w:t>
      </w:r>
      <w:r w:rsidRPr="00C2398C">
        <w:rPr>
          <w:rStyle w:val="StyleUnderline"/>
          <w:highlight w:val="yellow"/>
        </w:rPr>
        <w:t>Time becomes</w:t>
      </w:r>
      <w:r w:rsidRPr="00C2398C">
        <w:rPr>
          <w:rStyle w:val="StyleUnderline"/>
        </w:rPr>
        <w:t xml:space="preserve"> less an epistemological unit of organization and instead thought of as </w:t>
      </w:r>
      <w:r w:rsidRPr="00C2398C">
        <w:rPr>
          <w:rStyle w:val="StyleUnderline"/>
          <w:highlight w:val="yellow"/>
        </w:rPr>
        <w:t>ontologically irreducible,</w:t>
      </w:r>
      <w:r w:rsidRPr="00C2398C">
        <w:rPr>
          <w:sz w:val="12"/>
        </w:rPr>
        <w:t xml:space="preserve"> constitutive to becoming, a speculative opening—indeed, </w:t>
      </w:r>
      <w:r w:rsidRPr="00C2398C">
        <w:rPr>
          <w:rStyle w:val="StyleUnderline"/>
        </w:rPr>
        <w:t xml:space="preserve">time in affective terms is </w:t>
      </w:r>
      <w:r w:rsidRPr="00C2398C">
        <w:rPr>
          <w:rStyle w:val="StyleUnderline"/>
          <w:highlight w:val="yellow"/>
        </w:rPr>
        <w:t>becoming itself</w:t>
      </w:r>
      <w:r w:rsidRPr="00C2398C">
        <w:rPr>
          <w:sz w:val="12"/>
          <w:highlight w:val="yellow"/>
        </w:rPr>
        <w:t>.</w:t>
      </w:r>
      <w:r w:rsidRPr="00C2398C">
        <w:rPr>
          <w:sz w:val="12"/>
        </w:rPr>
        <w:t xml:space="preserve"> One supposition of affective analysis is that </w:t>
      </w:r>
      <w:r w:rsidRPr="00C2398C">
        <w:rPr>
          <w:rStyle w:val="StyleUnderline"/>
          <w:highlight w:val="yellow"/>
        </w:rPr>
        <w:t>there is no pure debility or pure capacity</w:t>
      </w:r>
      <w:r w:rsidRPr="00C2398C">
        <w:rPr>
          <w:sz w:val="12"/>
        </w:rPr>
        <w:t xml:space="preserve">. </w:t>
      </w:r>
      <w:r w:rsidRPr="00C2398C">
        <w:rPr>
          <w:rStyle w:val="StyleUnderline"/>
        </w:rPr>
        <w:t>Debility and capacity are not properties or attributes of one discrete body or a representational grid certain bodies are placed into</w:t>
      </w:r>
      <w:r w:rsidRPr="00C2398C">
        <w:rPr>
          <w:sz w:val="12"/>
        </w:rPr>
        <w:t xml:space="preserve">. Debility may well simultaneously appropriate bodily capacities closing off, perhaps to give rise to a new set of bodily capacities. Capacity is not discretely of the body. It is shaped by and bound to interface with prevailing notions of chance, risk, accident, luck, and probability, as well as with bodily limits/incapacity, disability, and debility. This deployment of the term “capacity” is an amendment to affect studies, which posits affect as the endless capacitation of the individuated body, even as it might always see that body as relational. In reading affect through and with populations along with bodies, dividuals beside individuals, and societies of control working through forms of discipline, I want to provide a necessary corrective to studies of affect that take the integrity of the human form for granted. The political mandate behind such conceptualizations of disability— not what disability is but what it does and how it is used to simultaneously capacitate and debilitate—is to put the disabled/non-disabled binary in dialogue with assemblages of disability, capacity, and debility. </w:t>
      </w:r>
      <w:r w:rsidRPr="00C2398C">
        <w:rPr>
          <w:rStyle w:val="StyleUnderline"/>
          <w:highlight w:val="yellow"/>
        </w:rPr>
        <w:t>Inviting a deconstruction of what able-bodiedness and capacity mean</w:t>
      </w:r>
      <w:r w:rsidRPr="00C2398C">
        <w:rPr>
          <w:sz w:val="12"/>
        </w:rPr>
        <w:t xml:space="preserve"> (they are not equivalent to each other), affectively and otherwise, </w:t>
      </w:r>
      <w:r w:rsidRPr="00C2398C">
        <w:rPr>
          <w:rStyle w:val="StyleUnderline"/>
          <w:highlight w:val="yellow"/>
        </w:rPr>
        <w:t>entails schematizing the biopolitics of debility</w:t>
      </w:r>
      <w:r w:rsidRPr="00C2398C">
        <w:rPr>
          <w:rStyle w:val="StyleUnderline"/>
        </w:rPr>
        <w:t xml:space="preserve">, </w:t>
      </w:r>
      <w:r w:rsidRPr="00C2398C">
        <w:rPr>
          <w:rStyle w:val="StyleUnderline"/>
          <w:highlight w:val="yellow"/>
        </w:rPr>
        <w:t>one that destabilizes the seamless production of able bodies in relation to disability</w:t>
      </w:r>
      <w:r w:rsidRPr="00C2398C">
        <w:rPr>
          <w:sz w:val="12"/>
        </w:rPr>
        <w:t xml:space="preserve"> </w:t>
      </w:r>
      <w:r w:rsidRPr="00C2398C">
        <w:rPr>
          <w:rStyle w:val="StyleUnderline"/>
          <w:highlight w:val="yellow"/>
        </w:rPr>
        <w:t>and</w:t>
      </w:r>
      <w:r w:rsidRPr="00C2398C">
        <w:rPr>
          <w:sz w:val="12"/>
        </w:rPr>
        <w:t xml:space="preserve"> also </w:t>
      </w:r>
      <w:r w:rsidRPr="00C2398C">
        <w:rPr>
          <w:rStyle w:val="StyleUnderline"/>
          <w:highlight w:val="yellow"/>
        </w:rPr>
        <w:t>suggests the capacitation of disabled bodies through circuits of (white</w:t>
      </w:r>
      <w:r w:rsidRPr="00C2398C">
        <w:rPr>
          <w:rStyle w:val="StyleUnderline"/>
        </w:rPr>
        <w:t xml:space="preserve">) racial and economic </w:t>
      </w:r>
      <w:r w:rsidRPr="00C2398C">
        <w:rPr>
          <w:rStyle w:val="StyleUnderline"/>
          <w:highlight w:val="yellow"/>
        </w:rPr>
        <w:t>privilege, citizenship status, and legal</w:t>
      </w:r>
      <w:r w:rsidRPr="00C2398C">
        <w:rPr>
          <w:rStyle w:val="StyleUnderline"/>
        </w:rPr>
        <w:t xml:space="preserve">, </w:t>
      </w:r>
      <w:r w:rsidRPr="00C2398C">
        <w:rPr>
          <w:sz w:val="12"/>
        </w:rPr>
        <w:t xml:space="preserve">medical, </w:t>
      </w:r>
      <w:r w:rsidRPr="00C2398C">
        <w:rPr>
          <w:rStyle w:val="StyleUnderline"/>
          <w:highlight w:val="yellow"/>
        </w:rPr>
        <w:t>and social accommodations</w:t>
      </w:r>
      <w:r w:rsidRPr="00C2398C">
        <w:rPr>
          <w:rStyle w:val="StyleUnderline"/>
        </w:rPr>
        <w:t>.</w:t>
      </w:r>
      <w:r w:rsidRPr="00C2398C">
        <w:rPr>
          <w:sz w:val="12"/>
        </w:rPr>
        <w:t xml:space="preserve"> </w:t>
      </w:r>
      <w:r w:rsidRPr="00C2398C">
        <w:rPr>
          <w:rStyle w:val="StyleUnderline"/>
        </w:rPr>
        <w:t>Access is theorized not only in terms of infrastructure, work, social services, and public space but also in terms of access to health itself</w:t>
      </w:r>
      <w:r w:rsidRPr="00C2398C">
        <w:rPr>
          <w:sz w:val="12"/>
        </w:rPr>
        <w:t xml:space="preserve">. While providing a much-needed intersectional critique that destabilizes the white, EuroAmerican, economically privileged subjects that are most likely to be interpellated as “a person with disabilities,” I am also building off of solidly argued critiques of identity to highlight constantly shifting assemblages of power. Recent theorizations of affect argue for a destabilization of humanist notions of the body and of the politics of voice and visibility. Mel Chen, for example, interrogates a liberal yet brutal humanism that accords liveliness and sentience—animacies—to human animals, nonhuman animals, and </w:t>
      </w:r>
      <w:r w:rsidRPr="00C2398C">
        <w:rPr>
          <w:sz w:val="12"/>
        </w:rPr>
        <w:lastRenderedPageBreak/>
        <w:t xml:space="preserve">matter through a biopolitics of race, sex, and bodily ability. These are not a priori categories but rather are constructed with and through the epistemic projects that have functionalized their coherence. I seek to intersectionally pressure the assumed subjects of disability and also to address the constant ontological assembling of power and its effects. My intervention is less wedded to the elaboration of subjects and identities—and attempting to determine what their contents or attributes are—than to the elaboration of bodies and their affective modalities as they are modulated in control societies. Far from being postrace or postintersectional, this methodological demand is about redressing the epistemological bifurcation that has occurred around intersectional theorizing that has let white feminists, especially those working on technoscience and (new) materialisms, off the hook and has, quite frankly, burdened women of color theorists and activists, most directly black feminist theorists, with the responsibility of adjudicating and defending the perceived successes or failures of intersectional scholarship. discipline and control </w:t>
      </w:r>
      <w:r w:rsidRPr="00C2398C">
        <w:rPr>
          <w:rStyle w:val="StyleUnderline"/>
        </w:rPr>
        <w:t>Capacity and debility entail theorizing not only specific disciplinary sites but also broader techniques of social control,</w:t>
      </w:r>
      <w:r w:rsidRPr="00C2398C">
        <w:rPr>
          <w:sz w:val="12"/>
        </w:rPr>
        <w:t xml:space="preserve"> </w:t>
      </w:r>
      <w:r w:rsidRPr="00C2398C">
        <w:rPr>
          <w:rStyle w:val="StyleUnderline"/>
        </w:rPr>
        <w:t>marking a shift in</w:t>
      </w:r>
      <w:r w:rsidRPr="00C2398C">
        <w:rPr>
          <w:sz w:val="12"/>
        </w:rPr>
        <w:t xml:space="preserve"> terms from the regulation of normativity (the internalization of self/other subject formation) to what Foucault calls the regularization of bodies, or what has been hailed “the age of biological control.”71 This is akin to what Giorgio Agamben perceives </w:t>
      </w:r>
      <w:r w:rsidRPr="00C2398C">
        <w:rPr>
          <w:rStyle w:val="StyleUnderline"/>
        </w:rPr>
        <w:t>as the difference between regulating to produce order</w:t>
      </w:r>
      <w:r w:rsidRPr="00C2398C">
        <w:rPr>
          <w:sz w:val="12"/>
        </w:rPr>
        <w:t xml:space="preserve"> (discipline)</w:t>
      </w:r>
      <w:r w:rsidRPr="00C2398C">
        <w:rPr>
          <w:rStyle w:val="StyleUnderline"/>
        </w:rPr>
        <w:t xml:space="preserve"> and regulating disorder</w:t>
      </w:r>
      <w:r w:rsidRPr="00C2398C">
        <w:rPr>
          <w:sz w:val="12"/>
        </w:rPr>
        <w:t xml:space="preserve"> (security).72 While Deleuze’s techno-optimism leads him to proclaim rapid and complete transitions from discipline to control, Foucault is very clear about their braided and enmeshed historical and spatial modalities.73 The oscillation between disciplinary societies and control societies, following Foucault’s “apparatuses of security,” both refracts and projects numerous tensions.74 In control societies, Patricia Clough argues, bodies will not be captured or set free by re/presentation, but rather through affect and attention.75 There is thus an affective differential, whereby the body is curated not only through disciplinary drilling but also through a composite of statistics, from normal/abnormal to variegation, fluctuation, modulation, and tweaking. </w:t>
      </w:r>
      <w:r w:rsidRPr="00C2398C">
        <w:rPr>
          <w:rStyle w:val="StyleUnderline"/>
          <w:highlight w:val="yellow"/>
        </w:rPr>
        <w:t>Discrete and discontinuous sites of punishment</w:t>
      </w:r>
      <w:r w:rsidRPr="00C2398C">
        <w:rPr>
          <w:sz w:val="12"/>
          <w:highlight w:val="yellow"/>
        </w:rPr>
        <w:t>—</w:t>
      </w:r>
      <w:r w:rsidRPr="00C2398C">
        <w:rPr>
          <w:rStyle w:val="StyleUnderline"/>
          <w:highlight w:val="yellow"/>
        </w:rPr>
        <w:t>the prison, the mental hospital, the school—are extended spatially and temporally through continuous regimes of securitization</w:t>
      </w:r>
      <w:r w:rsidRPr="00C2398C">
        <w:rPr>
          <w:rStyle w:val="StyleUnderline"/>
        </w:rPr>
        <w:t xml:space="preserve"> driven by calculated risks and averages.</w:t>
      </w:r>
      <w:r w:rsidRPr="00C2398C">
        <w:rPr>
          <w:sz w:val="12"/>
        </w:rPr>
        <w:t xml:space="preserve"> </w:t>
      </w:r>
      <w:r w:rsidRPr="00C2398C">
        <w:rPr>
          <w:rStyle w:val="StyleUnderline"/>
        </w:rPr>
        <w:t>While disciplinary power works to distinguish those who should be included from those who must be excluded</w:t>
      </w:r>
      <w:r w:rsidRPr="00C2398C">
        <w:rPr>
          <w:sz w:val="12"/>
        </w:rPr>
        <w:t xml:space="preserve"> or eliminated, </w:t>
      </w:r>
      <w:r w:rsidRPr="00C2398C">
        <w:rPr>
          <w:rStyle w:val="StyleUnderline"/>
        </w:rPr>
        <w:t>security apparatuses have the “constant tendency to expand</w:t>
      </w:r>
      <w:r w:rsidRPr="00C2398C">
        <w:rPr>
          <w:sz w:val="12"/>
        </w:rPr>
        <w:t xml:space="preserve"> . . . new elements are constantly being integrated . . . allowing the development of ever-wider circuits” through the management of circulation determining not whether to include, but how.76 Discipline is centripetal while apparatuses of security are centrifugal. Intense oscillation occurs between the following: subject/object construction and microstates of differentiation; difference between and difference within; the policing of profile and the patrolling of affect; will and capacity; agency and affect; subject and body. And finally and, I believe, most important, between Althusserian interpellation (hey, you!) and an array of diverse switchpoints of the activation of the body, where bodies are positioned through openings and closings in order to ground practices of exploitation, extraction, dispossession, and expulsion commensurate with flexible modes of work and sociality. How does disability function in control societies? Because there are gradations of capacity and debility </w:t>
      </w:r>
      <w:r w:rsidRPr="00C2398C">
        <w:rPr>
          <w:rStyle w:val="StyleUnderline"/>
          <w:highlight w:val="yellow"/>
        </w:rPr>
        <w:t>in control societies</w:t>
      </w:r>
      <w:r w:rsidRPr="00C2398C">
        <w:rPr>
          <w:sz w:val="12"/>
        </w:rPr>
        <w:t>—rather than the selfother production of being/not being—</w:t>
      </w:r>
      <w:r w:rsidRPr="00C2398C">
        <w:rPr>
          <w:rStyle w:val="StyleUnderline"/>
          <w:highlight w:val="yellow"/>
        </w:rPr>
        <w:t>the distinction between disabled and non-disabled becomes fuzzier and blurrier</w:t>
      </w:r>
      <w:r w:rsidRPr="00C2398C">
        <w:rPr>
          <w:sz w:val="12"/>
        </w:rPr>
        <w:t>. Disciplinary normalization, otherwise termed “normation” by Foucault, “goes from the norm to the final division between the normal and the abnormal” through “positing a model, an optimal model that is constructed in terms of a certain result”— the power of normalization versus normalization of power.77 In security apparatuses, instead of distinguishing the normal from the abnormal, there are “dif</w:t>
      </w:r>
      <w:r w:rsidRPr="00C2398C">
        <w:rPr>
          <w:sz w:val="12"/>
        </w:rPr>
        <w:softHyphen/>
        <w:t>ferent curves of normality . . . establishing an interplay between these dif</w:t>
      </w:r>
      <w:r w:rsidRPr="00C2398C">
        <w:rPr>
          <w:sz w:val="12"/>
        </w:rPr>
        <w:softHyphen/>
        <w:t xml:space="preserve">ferent distributions of normality . . . acting to bring the most unfavorable in line with the more favorable. . . . The norm is an interplay of differential normalities.”78 </w:t>
      </w:r>
      <w:r w:rsidRPr="00C2398C">
        <w:rPr>
          <w:rStyle w:val="StyleUnderline"/>
          <w:highlight w:val="yellow"/>
        </w:rPr>
        <w:t>Biopolitical apparatuses of control are invested in modulating a prolific range of affective bodily capacities and debilities</w:t>
      </w:r>
      <w:r w:rsidRPr="00C2398C">
        <w:rPr>
          <w:sz w:val="12"/>
        </w:rPr>
        <w:t>— “differential normalities”—</w:t>
      </w:r>
      <w:r w:rsidRPr="00C2398C">
        <w:rPr>
          <w:rStyle w:val="StyleUnderline"/>
          <w:highlight w:val="yellow"/>
        </w:rPr>
        <w:t>that invariably render rights-based interventions unable to fully apprehend the scenes of power</w:t>
      </w:r>
      <w:r w:rsidRPr="00C2398C">
        <w:rPr>
          <w:sz w:val="12"/>
        </w:rPr>
        <w:t xml:space="preserve">. </w:t>
      </w:r>
      <w:r w:rsidRPr="00C2398C">
        <w:rPr>
          <w:rStyle w:val="StyleUnderline"/>
        </w:rPr>
        <w:t xml:space="preserve">Disability identity is already part and parcel of a system of governing inclusion and exclusion, creating forms of </w:t>
      </w:r>
      <w:r w:rsidRPr="00C2398C">
        <w:rPr>
          <w:sz w:val="12"/>
        </w:rPr>
        <w:t>what Robert McRuer calls “</w:t>
      </w:r>
      <w:r w:rsidRPr="00C2398C">
        <w:rPr>
          <w:rStyle w:val="StyleUnderline"/>
        </w:rPr>
        <w:t>disability nationalism</w:t>
      </w:r>
      <w:r w:rsidRPr="00C2398C">
        <w:rPr>
          <w:sz w:val="12"/>
        </w:rPr>
        <w:t xml:space="preserve"> in crip times”: </w:t>
      </w:r>
      <w:r w:rsidRPr="00C2398C">
        <w:rPr>
          <w:rStyle w:val="StyleUnderline"/>
          <w:highlight w:val="yellow"/>
        </w:rPr>
        <w:t>liberal state and national recognition of people with disabilities that solicits the incorporation of certain disabilities into neoliberal economic circuits</w:t>
      </w:r>
      <w:r w:rsidRPr="00C2398C">
        <w:rPr>
          <w:sz w:val="12"/>
          <w:highlight w:val="yellow"/>
        </w:rPr>
        <w:t>.</w:t>
      </w:r>
      <w:r w:rsidRPr="00C2398C">
        <w:rPr>
          <w:sz w:val="12"/>
        </w:rPr>
        <w:t xml:space="preserve">79 </w:t>
      </w:r>
      <w:r w:rsidRPr="00C2398C">
        <w:rPr>
          <w:rStyle w:val="StyleUnderline"/>
          <w:highlight w:val="yellow"/>
        </w:rPr>
        <w:t>This conditional invitation latches onto and propagates celebratory claims of successful integration in order to continue to deplete resources from other, less acceptable bodies with disabilities</w:t>
      </w:r>
      <w:r w:rsidRPr="00C2398C">
        <w:rPr>
          <w:rStyle w:val="StyleUnderline"/>
        </w:rPr>
        <w:t>.</w:t>
      </w:r>
      <w:r w:rsidRPr="00C2398C">
        <w:rPr>
          <w:sz w:val="12"/>
        </w:rPr>
        <w:t xml:space="preserve"> That is to say, </w:t>
      </w:r>
      <w:r w:rsidRPr="00C2398C">
        <w:rPr>
          <w:rStyle w:val="StyleUnderline"/>
          <w:highlight w:val="yellow"/>
        </w:rPr>
        <w:t>the promoting and lauding of certain people with disabilities as markers of acceptance</w:t>
      </w:r>
      <w:r w:rsidRPr="00C2398C">
        <w:rPr>
          <w:sz w:val="12"/>
        </w:rPr>
        <w:t xml:space="preserve"> and progress </w:t>
      </w:r>
      <w:r w:rsidRPr="00C2398C">
        <w:rPr>
          <w:rStyle w:val="StyleUnderline"/>
          <w:highlight w:val="yellow"/>
        </w:rPr>
        <w:t>ultimately serves to further marginalize and exclude most people with disabilities</w:t>
      </w:r>
      <w:r w:rsidRPr="00C2398C">
        <w:rPr>
          <w:sz w:val="12"/>
        </w:rPr>
        <w:t xml:space="preserve"> and serves also to sustain and create networks of debilitation in relation to these privileged disabled bodies. This is also what David Mitchell and Sharon Snyder analyze in The Biopolitics of Disability, in which they refer to the paradoxical means by which some disabled people gain entrance into late capitalist culture as “ablenationalism.”80 This biopolitics of disability, I would further argue, is most efficient not just in the way it deploys some identities against others. 81 Rather, </w:t>
      </w:r>
      <w:r w:rsidRPr="00C2398C">
        <w:rPr>
          <w:rStyle w:val="StyleUnderline"/>
          <w:highlight w:val="yellow"/>
        </w:rPr>
        <w:t>biopolitical control operates most perniciously</w:t>
      </w:r>
      <w:r w:rsidRPr="00C2398C">
        <w:rPr>
          <w:rStyle w:val="StyleUnderline"/>
        </w:rPr>
        <w:t xml:space="preserve"> and efficiently </w:t>
      </w:r>
      <w:r w:rsidRPr="00C2398C">
        <w:rPr>
          <w:rStyle w:val="StyleUnderline"/>
          <w:highlight w:val="yellow"/>
        </w:rPr>
        <w:t>through reifying intersectional identity frames</w:t>
      </w:r>
      <w:r w:rsidRPr="00C2398C">
        <w:rPr>
          <w:sz w:val="12"/>
        </w:rPr>
        <w:t>—</w:t>
      </w:r>
      <w:r w:rsidRPr="00C2398C">
        <w:rPr>
          <w:rStyle w:val="StyleUnderline"/>
          <w:highlight w:val="yellow"/>
        </w:rPr>
        <w:t>these</w:t>
      </w:r>
      <w:r w:rsidRPr="00C2398C">
        <w:rPr>
          <w:rStyle w:val="StyleUnderline"/>
        </w:rPr>
        <w:t xml:space="preserve"> are </w:t>
      </w:r>
      <w:r w:rsidRPr="00C2398C">
        <w:rPr>
          <w:rStyle w:val="StyleUnderline"/>
          <w:highlight w:val="yellow"/>
        </w:rPr>
        <w:t>frames</w:t>
      </w:r>
      <w:r w:rsidRPr="00C2398C">
        <w:rPr>
          <w:rStyle w:val="StyleUnderline"/>
        </w:rPr>
        <w:t xml:space="preserve"> that </w:t>
      </w:r>
      <w:r w:rsidRPr="00C2398C">
        <w:rPr>
          <w:rStyle w:val="StyleUnderline"/>
          <w:highlight w:val="yellow"/>
        </w:rPr>
        <w:t>still hinge on discrete notions of inclusion and exclusion</w:t>
      </w:r>
      <w:r w:rsidRPr="00C2398C">
        <w:rPr>
          <w:sz w:val="12"/>
        </w:rPr>
        <w:t xml:space="preserve">—as the most pertinent ones for political intervention, thus </w:t>
      </w:r>
      <w:r w:rsidRPr="00C2398C">
        <w:rPr>
          <w:rStyle w:val="StyleUnderline"/>
          <w:highlight w:val="yellow"/>
        </w:rPr>
        <w:t>obfuscating forms of control that insidiously include in order to exclude, and exclude in order to include</w:t>
      </w:r>
      <w:r w:rsidRPr="00C2398C">
        <w:rPr>
          <w:sz w:val="12"/>
        </w:rPr>
        <w:t xml:space="preserve">. Mitchell and Snyder state: “Control of the coordinates of bare biological life among citizens in market capitalism has been fashioned on the basis of systems of total oversight specific to disability and others occupying peripheral embodiments. . . . Disability is foundational to the development of cultural strategies in neoliberalism to ‘seize hold of life in order to suppress it.’ These strategies of seizure are the essence of bio-politics.”82 The extraction and exploitation of body capacities and habituations pivot not only on the individual but more insidiously on the dividual. Foucault states that “discipline is a mode of individualization of multiplicities rather than something that constructs an edifice of multiple elements on the basis of individuals who are worked on as, first of all, individuals.”83 The individual is less a collection of multiplicities that form a whole than a stripping down or segregating of multiplicities, of “organizing a multiplicity, of fixing its points of implantation.” Writing on vectors of control, Deleuze says of the hospital: “The new medicine ‘without doctor or patient’ . . . singles out potential sick people and subjects at risk, which in no way attests to individuation—as they say—but substitutes . . . the code of a dividual material to be controlled.”84 The code of dividual material, says Foucault, is generated by “security mechanisms [that] have to be installed around the random element inherent in a population of living beings so as to optimize a state of life.”85 Foucault explains that while discipline and control both work to maximize bodily extraction, unlike discipline, control does not work at “the level of the body itself: It is therefore not a matter of taking the individual at the level of individuality but, on the contrary, of using overall mechanisms and acting in such a way as to achieve overall states of equilibrium or regularity . . . a matter of taking control of life and the biological processes of man-as-species and of enduring that they are not disciplined, but regularized.”86 </w:t>
      </w:r>
    </w:p>
    <w:p xmlns:wp14="http://schemas.microsoft.com/office/word/2010/wordml" w:rsidRPr="00D8121B" w:rsidR="001860AB" w:rsidP="001860AB" w:rsidRDefault="001860AB" w14:paraId="07459315" wp14:textId="77777777"/>
    <w:p xmlns:wp14="http://schemas.microsoft.com/office/word/2010/wordml" w:rsidRPr="001641E7" w:rsidR="001860AB" w:rsidP="001860AB" w:rsidRDefault="001860AB" w14:paraId="66324633" wp14:textId="77777777">
      <w:pPr>
        <w:pStyle w:val="Heading3"/>
        <w:rPr>
          <w:rFonts w:cs="Arial"/>
        </w:rPr>
      </w:pPr>
      <w:r w:rsidRPr="001641E7">
        <w:rPr>
          <w:rFonts w:cs="Arial"/>
        </w:rPr>
        <w:lastRenderedPageBreak/>
        <w:t>I: Rights/Recognition Bad</w:t>
      </w:r>
    </w:p>
    <w:p xmlns:wp14="http://schemas.microsoft.com/office/word/2010/wordml" w:rsidRPr="001641E7" w:rsidR="001860AB" w:rsidP="001860AB" w:rsidRDefault="001860AB" w14:paraId="57EBF55C" wp14:textId="77777777">
      <w:pPr>
        <w:pStyle w:val="Heading4"/>
        <w:rPr>
          <w:rFonts w:cs="Arial"/>
        </w:rPr>
      </w:pPr>
      <w:r w:rsidRPr="001641E7">
        <w:rPr>
          <w:rFonts w:cs="Arial"/>
        </w:rPr>
        <w:t>Right’s based interventions reproduce disability erasure by producing celebratory affects and hierarchizing visible disabilities over others</w:t>
      </w:r>
    </w:p>
    <w:p xmlns:wp14="http://schemas.microsoft.com/office/word/2010/wordml" w:rsidRPr="001641E7" w:rsidR="001860AB" w:rsidP="001860AB" w:rsidRDefault="001860AB" w14:paraId="2EB08ECA" wp14:textId="77777777">
      <w:pPr>
        <w:rPr>
          <w:sz w:val="16"/>
        </w:rPr>
      </w:pPr>
      <w:r w:rsidRPr="001641E7">
        <w:rPr>
          <w:rStyle w:val="Style13ptBold"/>
        </w:rPr>
        <w:t>Fritsch 2013</w:t>
      </w:r>
      <w:r w:rsidRPr="001641E7">
        <w:rPr>
          <w:sz w:val="16"/>
        </w:rPr>
        <w:t xml:space="preserve"> [Fritsch, Kelly. “The Neoliberal Circulation of Affects: Happiness, Accessibility and the Capacitation of Disability as Wheelchair.” Health, Culture and Society, vol. 5, no. 1, 2013, pp. 135–149., doi:10.5195/hcs.2013.136.  Kelly Fritsch is an Assistant Professor in the Department of Sociology and Anthropology at Carleton University, Ottawa. Her research broadly engages crip, queer, and feminist theory to explore the politics of disability, health, technology, risk, and accessibility.]//MMS</w:t>
      </w:r>
    </w:p>
    <w:p xmlns:wp14="http://schemas.microsoft.com/office/word/2010/wordml" w:rsidRPr="001641E7" w:rsidR="001860AB" w:rsidP="001860AB" w:rsidRDefault="001860AB" w14:paraId="3551AF18" wp14:textId="77777777">
      <w:pPr>
        <w:pStyle w:val="Default"/>
        <w:rPr>
          <w:rStyle w:val="StyleUnderline"/>
          <w:rFonts w:ascii="Arial" w:hAnsi="Arial" w:cs="Arial"/>
          <w:szCs w:val="22"/>
        </w:rPr>
      </w:pPr>
      <w:r w:rsidRPr="001641E7">
        <w:rPr>
          <w:rFonts w:ascii="Arial" w:hAnsi="Arial" w:cs="Arial"/>
          <w:sz w:val="14"/>
          <w:szCs w:val="22"/>
        </w:rPr>
        <w:t xml:space="preserve">Two experiences I had with accessible transit situate my concerns. In 2011, I attempted to take a bus operated by a regional public transportation company to a small town outside of Toronto. This </w:t>
      </w:r>
      <w:r w:rsidRPr="001641E7">
        <w:rPr>
          <w:rStyle w:val="StyleUnderline"/>
          <w:rFonts w:ascii="Arial" w:hAnsi="Arial" w:cs="Arial"/>
          <w:szCs w:val="22"/>
        </w:rPr>
        <w:t xml:space="preserve">transportation company offers accessible service to disabled people on both its trains and buses. </w:t>
      </w:r>
      <w:r w:rsidRPr="001641E7">
        <w:rPr>
          <w:rFonts w:ascii="Arial" w:hAnsi="Arial" w:cs="Arial"/>
          <w:sz w:val="14"/>
          <w:szCs w:val="22"/>
        </w:rPr>
        <w:t xml:space="preserve">I have used its trains many times but I had never used its bus service. There was a bus that ran semi-frequently to the town I wanted to get to. But, as I discovered upon arriving at the bus station, </w:t>
      </w:r>
      <w:r w:rsidRPr="001641E7">
        <w:rPr>
          <w:rStyle w:val="StyleUnderline"/>
          <w:rFonts w:ascii="Arial" w:hAnsi="Arial" w:cs="Arial"/>
          <w:szCs w:val="22"/>
        </w:rPr>
        <w:t xml:space="preserve">the bus </w:t>
      </w:r>
      <w:r w:rsidRPr="001641E7">
        <w:rPr>
          <w:rFonts w:ascii="Arial" w:hAnsi="Arial" w:cs="Arial"/>
          <w:i/>
          <w:iCs/>
          <w:sz w:val="22"/>
          <w:szCs w:val="22"/>
          <w:u w:val="single"/>
        </w:rPr>
        <w:t xml:space="preserve">is </w:t>
      </w:r>
      <w:r w:rsidRPr="001641E7">
        <w:rPr>
          <w:rStyle w:val="StyleUnderline"/>
          <w:rFonts w:ascii="Arial" w:hAnsi="Arial" w:cs="Arial"/>
          <w:szCs w:val="22"/>
        </w:rPr>
        <w:t xml:space="preserve">accessible but </w:t>
      </w:r>
      <w:r w:rsidRPr="001641E7">
        <w:rPr>
          <w:rFonts w:ascii="Arial" w:hAnsi="Arial" w:cs="Arial"/>
          <w:i/>
          <w:iCs/>
          <w:sz w:val="22"/>
          <w:szCs w:val="22"/>
          <w:u w:val="single"/>
        </w:rPr>
        <w:t xml:space="preserve">only </w:t>
      </w:r>
      <w:r w:rsidRPr="001641E7">
        <w:rPr>
          <w:rStyle w:val="StyleUnderline"/>
          <w:rFonts w:ascii="Arial" w:hAnsi="Arial" w:cs="Arial"/>
          <w:szCs w:val="22"/>
        </w:rPr>
        <w:t xml:space="preserve">for wheelchair users, and, I should add, probably only </w:t>
      </w:r>
      <w:r w:rsidRPr="001641E7">
        <w:rPr>
          <w:rFonts w:ascii="Arial" w:hAnsi="Arial" w:cs="Arial"/>
          <w:i/>
          <w:iCs/>
          <w:sz w:val="22"/>
          <w:szCs w:val="22"/>
          <w:u w:val="single"/>
        </w:rPr>
        <w:t xml:space="preserve">some </w:t>
      </w:r>
      <w:r w:rsidRPr="001641E7">
        <w:rPr>
          <w:rStyle w:val="StyleUnderline"/>
          <w:rFonts w:ascii="Arial" w:hAnsi="Arial" w:cs="Arial"/>
          <w:szCs w:val="22"/>
        </w:rPr>
        <w:t xml:space="preserve">wheelchair users. </w:t>
      </w:r>
      <w:r w:rsidRPr="001641E7">
        <w:rPr>
          <w:rFonts w:ascii="Arial" w:hAnsi="Arial" w:cs="Arial"/>
          <w:sz w:val="14"/>
          <w:szCs w:val="22"/>
        </w:rPr>
        <w:t xml:space="preserve">While my status as a “walkie” (Clare, 2001, p. 359) fluctuates, I am not currently a wheelchair user. </w:t>
      </w:r>
      <w:r w:rsidRPr="001641E7">
        <w:rPr>
          <w:rStyle w:val="StyleUnderline"/>
          <w:rFonts w:ascii="Arial" w:hAnsi="Arial" w:cs="Arial"/>
          <w:szCs w:val="22"/>
        </w:rPr>
        <w:t xml:space="preserve">My predicament was that I could not climb the steep steps of the bus, but the lift that the bus was equipped with could only be used if I was seated and secured in a wheelchair. As a result of the policy surrounding how the bus lift may and may not be used, I was unable to board this </w:t>
      </w:r>
      <w:r w:rsidRPr="001641E7">
        <w:rPr>
          <w:rFonts w:ascii="Arial" w:hAnsi="Arial" w:cs="Arial"/>
          <w:i/>
          <w:iCs/>
          <w:sz w:val="22"/>
          <w:szCs w:val="22"/>
          <w:u w:val="single"/>
        </w:rPr>
        <w:t xml:space="preserve">accessible </w:t>
      </w:r>
      <w:r w:rsidRPr="001641E7">
        <w:rPr>
          <w:rStyle w:val="StyleUnderline"/>
          <w:rFonts w:ascii="Arial" w:hAnsi="Arial" w:cs="Arial"/>
          <w:szCs w:val="22"/>
        </w:rPr>
        <w:t xml:space="preserve">bus. I found myself in a position of being both disabled and not disabled enough, or not disabled in the right way. When I pointed out this contradiction to the bus driver, he shrugged his shoulders and commented: “Why don’t you just get a wheelchair if you can’t climb stairs?” Feeling defeated, I went home. </w:t>
      </w:r>
      <w:r w:rsidRPr="001641E7">
        <w:rPr>
          <w:rFonts w:ascii="Arial" w:hAnsi="Arial" w:cs="Arial"/>
          <w:sz w:val="14"/>
          <w:szCs w:val="22"/>
        </w:rPr>
        <w:t xml:space="preserve">Later that same year, my partner and I took a trip out of town with our tandem bike by way of the train operated by the same regional public transportation company. </w:t>
      </w:r>
      <w:r w:rsidRPr="001641E7">
        <w:rPr>
          <w:rStyle w:val="StyleUnderline"/>
          <w:rFonts w:ascii="Arial" w:hAnsi="Arial" w:cs="Arial"/>
          <w:szCs w:val="22"/>
        </w:rPr>
        <w:t>I consider the tandem bike to be a mobility device in that it allows me to travel far distances without too much effort</w:t>
      </w:r>
      <w:r w:rsidRPr="001641E7">
        <w:rPr>
          <w:rFonts w:ascii="Arial" w:hAnsi="Arial" w:cs="Arial"/>
          <w:sz w:val="14"/>
          <w:szCs w:val="22"/>
        </w:rPr>
        <w:t xml:space="preserve"> (since, as my partner often likes to remind me, he does most of the peddling). </w:t>
      </w:r>
      <w:r w:rsidRPr="001641E7">
        <w:rPr>
          <w:rStyle w:val="StyleUnderline"/>
          <w:rFonts w:ascii="Arial" w:hAnsi="Arial" w:cs="Arial"/>
          <w:szCs w:val="22"/>
        </w:rPr>
        <w:t xml:space="preserve">The train has one accessible car that you can walk or roll right onto while the other cars are accessed by raised stairs. </w:t>
      </w:r>
      <w:r w:rsidRPr="001641E7">
        <w:rPr>
          <w:rFonts w:ascii="Arial" w:hAnsi="Arial" w:cs="Arial"/>
          <w:sz w:val="14"/>
          <w:szCs w:val="22"/>
        </w:rPr>
        <w:t>However, what we didn’t know is that</w:t>
      </w:r>
      <w:r w:rsidRPr="001641E7">
        <w:rPr>
          <w:rStyle w:val="StyleUnderline"/>
          <w:rFonts w:ascii="Arial" w:hAnsi="Arial" w:cs="Arial"/>
          <w:szCs w:val="22"/>
        </w:rPr>
        <w:t xml:space="preserve"> bikes are not allowed on this accessible car</w:t>
      </w:r>
      <w:r w:rsidRPr="001641E7">
        <w:rPr>
          <w:rFonts w:ascii="Arial" w:hAnsi="Arial" w:cs="Arial"/>
          <w:sz w:val="14"/>
          <w:szCs w:val="22"/>
        </w:rPr>
        <w:t xml:space="preserve">. We were thus left with the predicament of what to do since I needed to get on the accessible car, but </w:t>
      </w:r>
      <w:r w:rsidRPr="001641E7">
        <w:rPr>
          <w:rStyle w:val="StyleUnderline"/>
          <w:rFonts w:ascii="Arial" w:hAnsi="Arial" w:cs="Arial"/>
          <w:szCs w:val="22"/>
        </w:rPr>
        <w:t>my mobility device</w:t>
      </w:r>
      <w:r w:rsidRPr="001641E7">
        <w:rPr>
          <w:rFonts w:ascii="Arial" w:hAnsi="Arial" w:cs="Arial"/>
          <w:sz w:val="14"/>
          <w:szCs w:val="22"/>
        </w:rPr>
        <w:t>, as it were</w:t>
      </w:r>
      <w:r w:rsidRPr="001641E7">
        <w:rPr>
          <w:rStyle w:val="StyleUnderline"/>
          <w:rFonts w:ascii="Arial" w:hAnsi="Arial" w:cs="Arial"/>
          <w:szCs w:val="22"/>
        </w:rPr>
        <w:t>, was not allowed on. “Wheelchairs!” the train worker shouted at me. “This train car is for wheelchairs!” What he didn’t say was that able-bodied people frequently use the “wheelchair car” when travelling with strollers, luggage, or other cumbersome items that make it difficult to navigate the other train cars. It also didn’t seem to matter to the worker that it was a Sunday afternoon and that the accessible train car was empty. “No bikes allowed,” he said, pointing to the blue and white icon of the wheelchair mounted on the train walls. A bike is not a wheelchair, and thus a bike is not an acceptable form of mobility device, even when used by a disabled person.</w:t>
      </w:r>
      <w:r w:rsidRPr="001641E7">
        <w:rPr>
          <w:rFonts w:ascii="Arial" w:hAnsi="Arial" w:cs="Arial"/>
          <w:sz w:val="14"/>
          <w:szCs w:val="22"/>
        </w:rPr>
        <w:t xml:space="preserve"> In the end, I rode in the accessible car while my partner and bike rode in another car. These events, along with other stories, have </w:t>
      </w:r>
      <w:r w:rsidRPr="001641E7">
        <w:rPr>
          <w:rFonts w:ascii="Arial" w:hAnsi="Arial" w:cs="Arial"/>
          <w:color w:val="auto"/>
          <w:sz w:val="14"/>
          <w:szCs w:val="22"/>
        </w:rPr>
        <w:t xml:space="preserve">pushed me to consider the ways in which </w:t>
      </w:r>
      <w:r w:rsidRPr="001641E7">
        <w:rPr>
          <w:rStyle w:val="StyleUnderline"/>
          <w:rFonts w:ascii="Arial" w:hAnsi="Arial" w:cs="Arial"/>
        </w:rPr>
        <w:t>the wheelchair, as the symbol of accessibility, came to produce and capacitate certain forms disability, while at the same time, decapacitating and curtailing other forms of disability. The ISA, as one of the most ubiquitous and prototypical representations of disability in Western societies</w:t>
      </w:r>
      <w:r w:rsidRPr="001641E7">
        <w:rPr>
          <w:rStyle w:val="StyleUnderline"/>
          <w:rFonts w:ascii="Arial" w:hAnsi="Arial" w:cs="Arial"/>
          <w:szCs w:val="22"/>
        </w:rPr>
        <w:t xml:space="preserve"> appears everywhere from doors, elevators, and parking spots to placards, t-shirts, and pamphlets</w:t>
      </w:r>
      <w:r w:rsidRPr="001641E7">
        <w:rPr>
          <w:rFonts w:ascii="Arial" w:hAnsi="Arial" w:cs="Arial"/>
          <w:sz w:val="14"/>
          <w:szCs w:val="22"/>
        </w:rPr>
        <w:t xml:space="preserve">. Approved and promoted globally in 1969 at the 11th World Congress of Rehabilitation International, an international non-governmental organization, the ISA is recognized and used internationally as the official symbol to identify facilities accessible to disabled people (Groce, 2002). In 1984, the International Organization of Symbols (ISO) registered the ISA as ISO Standard 7001 for public information symbols, and thus, protected the copyright, style, shape, and proportion of the symbol. According to Rehabilitation International, through its widespread use, the ISA has enabled disabled people to locate, identify, and use accessible facilities and has also “created a more general awareness of the problems of accessibility faced by disabled persons” (Rehabilitation International, 1978). The ISA, in other words, directs individuals to accessible locations, informs people about the availability of an accessible facility or service, and raises general awareness about disability and accessibility by symbolizing disability (Fritsch, 2013). </w:t>
      </w:r>
      <w:r w:rsidRPr="001641E7">
        <w:rPr>
          <w:rStyle w:val="StyleUnderline"/>
          <w:rFonts w:ascii="Arial" w:hAnsi="Arial" w:cs="Arial"/>
          <w:szCs w:val="22"/>
        </w:rPr>
        <w:t>When opening their design competition for what was to become the ISA</w:t>
      </w:r>
      <w:r w:rsidRPr="001641E7">
        <w:rPr>
          <w:rFonts w:ascii="Arial" w:hAnsi="Arial" w:cs="Arial"/>
          <w:sz w:val="14"/>
          <w:szCs w:val="22"/>
        </w:rPr>
        <w:t xml:space="preserve">, Rehabilitation International asserted that the designed symbol must be self-descriptive, simple and aesthetic, practical, identifiable from a reasonable distance, and have no secondary meaning (Groce, 2002; Powell &amp; Ben-Moshe, 2009). Remarkably, </w:t>
      </w:r>
      <w:r w:rsidRPr="001641E7">
        <w:rPr>
          <w:rStyle w:val="StyleUnderline"/>
          <w:rFonts w:ascii="Arial" w:hAnsi="Arial" w:cs="Arial"/>
          <w:szCs w:val="22"/>
        </w:rPr>
        <w:t>all submitted entries to the international competition were graphic representations of wheelchairs or wheelchair users</w:t>
      </w:r>
      <w:r w:rsidRPr="001641E7">
        <w:rPr>
          <w:rFonts w:ascii="Arial" w:hAnsi="Arial" w:cs="Arial"/>
          <w:sz w:val="14"/>
          <w:szCs w:val="22"/>
        </w:rPr>
        <w:t xml:space="preserve"> (Groce, 2002), which as Justin Powell and Liat Ben-Moshe (2009, p. 91-92) note, indicates the power that wheelchair users had in shaping conceptions of access. Susanne Koefoed, a Danish graphic design student, won the competition with her </w:t>
      </w:r>
      <w:r w:rsidRPr="001641E7">
        <w:rPr>
          <w:rFonts w:ascii="Arial" w:hAnsi="Arial" w:cs="Arial"/>
          <w:sz w:val="14"/>
          <w:szCs w:val="22"/>
        </w:rPr>
        <w:lastRenderedPageBreak/>
        <w:t xml:space="preserve">design of a white outline of a wheelchair within a black square (Groce, 2002). After further discussion, Rehabilitation International’s committee changed the design by adding a head to the wheelchair icon and placing it on a blue background (Groce, 2002). The ISA as a ubiquitous and prototypical symbol produces both individual and institutional understandings of disability. Focusing on whether or not the ISA is an accurate representation of disability – and thus </w:t>
      </w:r>
      <w:r w:rsidRPr="001641E7">
        <w:rPr>
          <w:rStyle w:val="StyleUnderline"/>
          <w:rFonts w:ascii="Arial" w:hAnsi="Arial" w:cs="Arial"/>
          <w:szCs w:val="22"/>
        </w:rPr>
        <w:t>inquiring into the truth of this symbol – is to focus on what disability is and is not, and thus reifies disability and able-bodiedness</w:t>
      </w:r>
      <w:r w:rsidRPr="001641E7">
        <w:rPr>
          <w:rFonts w:ascii="Arial" w:hAnsi="Arial" w:cs="Arial"/>
          <w:sz w:val="14"/>
          <w:szCs w:val="22"/>
        </w:rPr>
        <w:t xml:space="preserve">. I am not interested in whether or not the wheelchair adequately represents disability. Instead, building on the work of Tanya Titchkosky (2011), I am more interested in how the </w:t>
      </w:r>
      <w:r w:rsidRPr="001641E7">
        <w:rPr>
          <w:rStyle w:val="StyleUnderline"/>
          <w:rFonts w:ascii="Arial" w:hAnsi="Arial" w:cs="Arial"/>
          <w:szCs w:val="22"/>
        </w:rPr>
        <w:t>ISA produces, capacitates and debilitates certain forms of disability within contemporary neoliberal conditions</w:t>
      </w:r>
      <w:r w:rsidRPr="001641E7">
        <w:rPr>
          <w:rFonts w:ascii="Arial" w:hAnsi="Arial" w:cs="Arial"/>
          <w:sz w:val="14"/>
          <w:szCs w:val="22"/>
        </w:rPr>
        <w:t xml:space="preserve">. That is, I am interested in both what the ISA </w:t>
      </w:r>
      <w:r w:rsidRPr="001641E7">
        <w:rPr>
          <w:rFonts w:ascii="Arial" w:hAnsi="Arial" w:cs="Arial"/>
          <w:i/>
          <w:iCs/>
          <w:sz w:val="14"/>
          <w:szCs w:val="22"/>
        </w:rPr>
        <w:t xml:space="preserve">does </w:t>
      </w:r>
      <w:r w:rsidRPr="001641E7">
        <w:rPr>
          <w:rFonts w:ascii="Arial" w:hAnsi="Arial" w:cs="Arial"/>
          <w:sz w:val="14"/>
          <w:szCs w:val="22"/>
        </w:rPr>
        <w:t xml:space="preserve">and </w:t>
      </w:r>
      <w:r w:rsidRPr="001641E7">
        <w:rPr>
          <w:rFonts w:ascii="Arial" w:hAnsi="Arial" w:cs="Arial"/>
          <w:i/>
          <w:iCs/>
          <w:sz w:val="14"/>
          <w:szCs w:val="22"/>
        </w:rPr>
        <w:t xml:space="preserve">how </w:t>
      </w:r>
      <w:r w:rsidRPr="001641E7">
        <w:rPr>
          <w:rFonts w:ascii="Arial" w:hAnsi="Arial" w:cs="Arial"/>
          <w:sz w:val="14"/>
          <w:szCs w:val="22"/>
        </w:rPr>
        <w:t>this symbol does it in relation to both capitalism and through the circulation of happy affects. To get to this point, however, I turn briefly to the history of the modern wheelchair and the rise of disability rights in North America.</w:t>
      </w:r>
    </w:p>
    <w:p xmlns:wp14="http://schemas.microsoft.com/office/word/2010/wordml" w:rsidRPr="001641E7" w:rsidR="001860AB" w:rsidP="001860AB" w:rsidRDefault="001860AB" w14:paraId="6537F28F" wp14:textId="77777777"/>
    <w:p xmlns:wp14="http://schemas.microsoft.com/office/word/2010/wordml" w:rsidRPr="001641E7" w:rsidR="001860AB" w:rsidP="001860AB" w:rsidRDefault="001860AB" w14:paraId="399E92A4" wp14:textId="77777777">
      <w:pPr>
        <w:pStyle w:val="Heading4"/>
        <w:rPr>
          <w:rFonts w:cs="Arial"/>
        </w:rPr>
      </w:pPr>
      <w:r w:rsidRPr="001641E7">
        <w:rPr>
          <w:rFonts w:cs="Arial"/>
        </w:rPr>
        <w:t>Paternalism DA – liberal tolerance of disability is a trap of ableism – our critical analysis is key to undermine the logic that paradisabled life is only valuable when it affirms ableist saviorism</w:t>
      </w:r>
    </w:p>
    <w:p xmlns:wp14="http://schemas.microsoft.com/office/word/2010/wordml" w:rsidRPr="001641E7" w:rsidR="001860AB" w:rsidP="001860AB" w:rsidRDefault="001860AB" w14:paraId="77B99E28" wp14:textId="77777777">
      <w:r w:rsidRPr="001641E7">
        <w:rPr>
          <w:rStyle w:val="Style13ptBold"/>
        </w:rPr>
        <w:t>Campbell 09</w:t>
      </w:r>
      <w:r w:rsidRPr="001641E7">
        <w:rPr>
          <w:b/>
          <w:sz w:val="24"/>
        </w:rPr>
        <w:t xml:space="preserve"> </w:t>
      </w:r>
      <w:r w:rsidRPr="001641E7">
        <w:t xml:space="preserve">(Kumari Fiona. Senior Lectures in Disability Studies at Griffith University: The School of human services and Social Work Australia and Adjunct Professor in Disability student and a Faculty of Medicine at the University of Kelaniya in Sri Lanka. Contours of Ableism: The Production of Disability and Abledness. 2009) // ONW </w:t>
      </w:r>
    </w:p>
    <w:p xmlns:wp14="http://schemas.microsoft.com/office/word/2010/wordml" w:rsidRPr="001641E7" w:rsidR="001860AB" w:rsidP="001860AB" w:rsidRDefault="001860AB" w14:paraId="49D32635" wp14:textId="77777777">
      <w:pPr>
        <w:pStyle w:val="NormalWeb"/>
        <w:spacing w:before="0" w:beforeAutospacing="0" w:after="0" w:afterAutospacing="0" w:line="288" w:lineRule="atLeast"/>
        <w:rPr>
          <w:rFonts w:ascii="Arial" w:hAnsi="Arial" w:cs="Arial"/>
          <w:color w:val="000000"/>
        </w:rPr>
      </w:pPr>
      <w:r w:rsidRPr="001641E7">
        <w:rPr>
          <w:rStyle w:val="StyleUnderline"/>
          <w:rFonts w:ascii="Arial" w:hAnsi="Arial" w:cs="Arial"/>
        </w:rPr>
        <w:t xml:space="preserve">A </w:t>
      </w:r>
      <w:r w:rsidRPr="001641E7">
        <w:rPr>
          <w:rFonts w:ascii="Arial" w:hAnsi="Arial" w:cs="Arial"/>
          <w:b/>
          <w:color w:val="000000"/>
          <w:u w:val="single"/>
        </w:rPr>
        <w:t>critical disability studies perspective invites us to explore the limits of liberal tolerance of disability</w:t>
      </w:r>
      <w:r w:rsidRPr="001641E7">
        <w:rPr>
          <w:rStyle w:val="StyleUnderline"/>
          <w:rFonts w:ascii="Arial" w:hAnsi="Arial" w:cs="Arial"/>
        </w:rPr>
        <w:t xml:space="preserve">, interest convergence and the points of departure </w:t>
      </w:r>
      <w:r w:rsidRPr="001641E7">
        <w:rPr>
          <w:rFonts w:ascii="Arial" w:hAnsi="Arial" w:cs="Arial"/>
          <w:b/>
          <w:color w:val="000000"/>
          <w:u w:val="single"/>
        </w:rPr>
        <w:t xml:space="preserve">away from the interests of ableism. </w:t>
      </w:r>
      <w:r w:rsidRPr="001641E7">
        <w:rPr>
          <w:rFonts w:ascii="Arial" w:hAnsi="Arial" w:cs="Arial"/>
          <w:color w:val="000000"/>
        </w:rPr>
        <w:t>Hahn (1986) testified that</w:t>
      </w:r>
      <w:r w:rsidRPr="001641E7">
        <w:rPr>
          <w:rStyle w:val="StyleUnderline"/>
          <w:rFonts w:ascii="Arial" w:hAnsi="Arial" w:cs="Arial"/>
        </w:rPr>
        <w:t xml:space="preserve"> </w:t>
      </w:r>
      <w:r w:rsidRPr="001641E7">
        <w:rPr>
          <w:rFonts w:ascii="Arial" w:hAnsi="Arial" w:cs="Arial"/>
          <w:b/>
          <w:color w:val="000000"/>
          <w:u w:val="single"/>
        </w:rPr>
        <w:t>there was a close link between the attitude of paternalism, the subordination of disabled people and the ‘interests’ of ableism</w:t>
      </w:r>
      <w:r w:rsidRPr="001641E7">
        <w:rPr>
          <w:rStyle w:val="StyleUnderline"/>
          <w:rFonts w:ascii="Arial" w:hAnsi="Arial" w:cs="Arial"/>
        </w:rPr>
        <w:t>: P</w:t>
      </w:r>
      <w:r w:rsidRPr="001641E7">
        <w:rPr>
          <w:rFonts w:ascii="Arial" w:hAnsi="Arial" w:cs="Arial"/>
          <w:b/>
          <w:color w:val="000000"/>
          <w:u w:val="single"/>
        </w:rPr>
        <w:t>aternalism enables the dominant elements of a society to express profound and sincere sympathy for the members of a minority group while, at the same time, keeping them in a position of social and economic subordination. It has allowed the non-disabled to act as the protectors,</w:t>
      </w:r>
      <w:r w:rsidRPr="001641E7">
        <w:rPr>
          <w:rStyle w:val="StyleUnderline"/>
          <w:rFonts w:ascii="Arial" w:hAnsi="Arial" w:cs="Arial"/>
        </w:rPr>
        <w:t xml:space="preserve"> guides, leaders, role models, </w:t>
      </w:r>
      <w:r w:rsidRPr="001641E7">
        <w:rPr>
          <w:rFonts w:ascii="Arial" w:hAnsi="Arial" w:cs="Arial"/>
          <w:b/>
          <w:color w:val="000000"/>
          <w:u w:val="single"/>
        </w:rPr>
        <w:t>and intermediates for disabled individuals who</w:t>
      </w:r>
      <w:r w:rsidRPr="001641E7">
        <w:rPr>
          <w:rStyle w:val="StyleUnderline"/>
          <w:rFonts w:ascii="Arial" w:hAnsi="Arial" w:cs="Arial"/>
        </w:rPr>
        <w:t xml:space="preserve">, like children, </w:t>
      </w:r>
      <w:r w:rsidRPr="001641E7">
        <w:rPr>
          <w:rFonts w:ascii="Arial" w:hAnsi="Arial" w:cs="Arial"/>
          <w:b/>
          <w:color w:val="000000"/>
          <w:u w:val="single"/>
        </w:rPr>
        <w:t xml:space="preserve">are often assumed to be helpless, </w:t>
      </w:r>
      <w:r w:rsidRPr="001641E7">
        <w:rPr>
          <w:rStyle w:val="StyleUnderline"/>
          <w:rFonts w:ascii="Arial" w:hAnsi="Arial" w:cs="Arial"/>
        </w:rPr>
        <w:t xml:space="preserve">dependent, asexual, </w:t>
      </w:r>
      <w:r w:rsidRPr="001641E7">
        <w:rPr>
          <w:rFonts w:ascii="Arial" w:hAnsi="Arial" w:cs="Arial"/>
          <w:b/>
          <w:color w:val="000000"/>
          <w:u w:val="single"/>
        </w:rPr>
        <w:t xml:space="preserve">economically unproductive, </w:t>
      </w:r>
      <w:r w:rsidRPr="001641E7">
        <w:rPr>
          <w:rStyle w:val="StyleUnderline"/>
          <w:rFonts w:ascii="Arial" w:hAnsi="Arial" w:cs="Arial"/>
        </w:rPr>
        <w:t>physically limited, emotional immature, and</w:t>
      </w:r>
      <w:r w:rsidRPr="001641E7">
        <w:rPr>
          <w:rFonts w:ascii="Arial" w:hAnsi="Arial" w:cs="Arial"/>
          <w:b/>
          <w:color w:val="000000"/>
          <w:u w:val="single"/>
        </w:rPr>
        <w:t xml:space="preserve"> acceptable only when they are unobtrusive.</w:t>
      </w:r>
      <w:r w:rsidRPr="001641E7">
        <w:rPr>
          <w:rFonts w:ascii="Arial" w:hAnsi="Arial" w:cs="Arial"/>
          <w:b/>
          <w:color w:val="000000"/>
        </w:rPr>
        <w:t xml:space="preserve"> </w:t>
      </w:r>
      <w:r w:rsidRPr="001641E7">
        <w:rPr>
          <w:rFonts w:ascii="Arial" w:hAnsi="Arial" w:cs="Arial"/>
          <w:color w:val="000000"/>
        </w:rPr>
        <w:t xml:space="preserve">(p. 130) </w:t>
      </w:r>
    </w:p>
    <w:p xmlns:wp14="http://schemas.microsoft.com/office/word/2010/wordml" w:rsidRPr="001641E7" w:rsidR="001860AB" w:rsidP="001860AB" w:rsidRDefault="001860AB" w14:paraId="6DFB9E20" wp14:textId="77777777"/>
    <w:p xmlns:wp14="http://schemas.microsoft.com/office/word/2010/wordml" w:rsidRPr="00C2398C" w:rsidR="001860AB" w:rsidP="001860AB" w:rsidRDefault="001860AB" w14:paraId="5A44F787" wp14:textId="77777777">
      <w:pPr>
        <w:pStyle w:val="Heading4"/>
        <w:rPr>
          <w:rFonts w:cs="Arial"/>
        </w:rPr>
      </w:pPr>
      <w:r w:rsidRPr="00C2398C">
        <w:rPr>
          <w:rFonts w:cs="Arial"/>
        </w:rPr>
        <w:t xml:space="preserve">The social model of disability constructs the disabled body as defective and irredeemably flawed. </w:t>
      </w:r>
    </w:p>
    <w:p xmlns:wp14="http://schemas.microsoft.com/office/word/2010/wordml" w:rsidRPr="00C2398C" w:rsidR="001860AB" w:rsidP="001860AB" w:rsidRDefault="001860AB" w14:paraId="58EA8C04" wp14:textId="77777777">
      <w:r w:rsidRPr="00BF31F0">
        <w:rPr>
          <w:rStyle w:val="Style13ptBold"/>
        </w:rPr>
        <w:t>Inckle 15</w:t>
      </w:r>
      <w:r w:rsidRPr="00C2398C">
        <w:rPr>
          <w:b/>
        </w:rPr>
        <w:t xml:space="preserve"> </w:t>
      </w:r>
      <w:r w:rsidRPr="00C2398C">
        <w:t xml:space="preserve">(Kay. Professor at the London School of Economics and Political Science in the fields of sociology of health and medicine. Feminist Review:debilitating times: compulsory ablebodiedness and white privilege in theory and practice. 2015) ///ONW </w:t>
      </w:r>
    </w:p>
    <w:p xmlns:wp14="http://schemas.microsoft.com/office/word/2010/wordml" w:rsidRPr="00C2398C" w:rsidR="001860AB" w:rsidP="001860AB" w:rsidRDefault="001860AB" w14:paraId="6EB6485A" wp14:textId="77777777">
      <w:pPr>
        <w:rPr>
          <w:sz w:val="16"/>
        </w:rPr>
      </w:pPr>
      <w:r w:rsidRPr="00C2398C">
        <w:rPr>
          <w:b/>
          <w:u w:val="single"/>
        </w:rPr>
        <w:t xml:space="preserve">The social model of disability attempted to challenge the essentialism and determinism of the medical model. In the medical model all of the issues experienced </w:t>
      </w:r>
      <w:r w:rsidRPr="00BF31F0">
        <w:rPr>
          <w:rStyle w:val="StyleUnderline"/>
        </w:rPr>
        <w:t>by people with disabilities</w:t>
      </w:r>
      <w:r w:rsidRPr="00C2398C">
        <w:rPr>
          <w:sz w:val="16"/>
        </w:rPr>
        <w:t xml:space="preserve"> (pewids),</w:t>
      </w:r>
      <w:r w:rsidRPr="00BF31F0">
        <w:rPr>
          <w:rStyle w:val="StyleUnderline"/>
        </w:rPr>
        <w:t xml:space="preserve">4 including our ‘failed’ bodies, any resulting limitations and subsequent disadvantage (described as impairment, disability and handicap in the original WHO model), </w:t>
      </w:r>
      <w:r w:rsidRPr="00C2398C">
        <w:rPr>
          <w:b/>
          <w:u w:val="single"/>
        </w:rPr>
        <w:t>emerge directly from our flawed individual biolog</w:t>
      </w:r>
      <w:r w:rsidRPr="00C2398C">
        <w:rPr>
          <w:sz w:val="16"/>
        </w:rPr>
        <w:t xml:space="preserve">y (in Barnes et al., 1999; Thomas, 2000). The </w:t>
      </w:r>
      <w:r w:rsidRPr="00BF31F0">
        <w:rPr>
          <w:rStyle w:val="StyleUnderline"/>
        </w:rPr>
        <w:t>social modelists attempted to break the link between the disadvantage (social, material) experienced by pewids and the ‘fact’ of an impaired body—a ‘fact’, however, that they fail to challenge.</w:t>
      </w:r>
      <w:r w:rsidRPr="00C2398C">
        <w:rPr>
          <w:sz w:val="16"/>
        </w:rPr>
        <w:t xml:space="preserve"> In the social model</w:t>
      </w:r>
      <w:r w:rsidRPr="00C2398C">
        <w:rPr>
          <w:b/>
          <w:sz w:val="16"/>
        </w:rPr>
        <w:t xml:space="preserve">, </w:t>
      </w:r>
      <w:r w:rsidRPr="00BF31F0">
        <w:rPr>
          <w:rStyle w:val="StyleUnderline"/>
        </w:rPr>
        <w:t>it is the social and material disadvantages that constitute ‘disability’, not the ‘impaired’ bodies of pewids</w:t>
      </w:r>
      <w:r w:rsidRPr="00C2398C">
        <w:rPr>
          <w:sz w:val="16"/>
        </w:rPr>
        <w:t xml:space="preserve">. In other words, </w:t>
      </w:r>
      <w:r w:rsidRPr="00C2398C">
        <w:rPr>
          <w:b/>
          <w:u w:val="single"/>
        </w:rPr>
        <w:t xml:space="preserve">social and material </w:t>
      </w:r>
      <w:r w:rsidRPr="00C2398C">
        <w:rPr>
          <w:b/>
          <w:u w:val="single"/>
        </w:rPr>
        <w:lastRenderedPageBreak/>
        <w:t>disadvantages arise as a result of social barriers, not from ‘impairments’ of the body or its capacities</w:t>
      </w:r>
      <w:r w:rsidRPr="00C2398C">
        <w:rPr>
          <w:sz w:val="16"/>
        </w:rPr>
        <w:t xml:space="preserve"> (Oliver, 1996; Barnes et al., 1999, 2002). </w:t>
      </w:r>
      <w:r w:rsidRPr="00BF31F0">
        <w:rPr>
          <w:rStyle w:val="StyleUnderline"/>
        </w:rPr>
        <w:t>By defining disability as a social issue/identity, rather than an individual failing or biological flaw, the social model opened the way for pewids to make claims for rights and against discrimination in the same ways as other civil rights movements</w:t>
      </w:r>
      <w:r w:rsidRPr="00C2398C">
        <w:rPr>
          <w:sz w:val="16"/>
        </w:rPr>
        <w:t xml:space="preserve"> (Shakespeare, 2014). Nonetheless, </w:t>
      </w:r>
      <w:r w:rsidRPr="00BF31F0">
        <w:rPr>
          <w:rStyle w:val="StyleUnderline"/>
        </w:rPr>
        <w:t>the social model retains a number of problems whereby it ultimately reinforces the very hierarchy of bodies it seeks to challenge</w:t>
      </w:r>
      <w:r w:rsidRPr="00C2398C">
        <w:rPr>
          <w:sz w:val="16"/>
        </w:rPr>
        <w:t xml:space="preserve">. I address these problems here before exploring how they operate in Puar’s work on debility. They are, first, the body/ society dualism that underpins the social model; second, the absence of the body—which resonates with long-standing feminist concerns about the diminished status of ‘the body’ in theory, representation and practice (Inckle, 2007); and third, the inability to conceive the disabled body as anything other than negative.5 </w:t>
      </w:r>
      <w:r w:rsidRPr="00C2398C">
        <w:rPr>
          <w:b/>
          <w:u w:val="single"/>
        </w:rPr>
        <w:t>The social model is structured around the separation of the body from society in both theory and practice</w:t>
      </w:r>
      <w:r w:rsidRPr="00BF31F0">
        <w:rPr>
          <w:rStyle w:val="StyleUnderline"/>
        </w:rPr>
        <w:t>, a separation that is articulated through the focus on social barriers (society) rather than embodied experience (impairment). ‘</w:t>
      </w:r>
      <w:r w:rsidRPr="00C2398C">
        <w:rPr>
          <w:b/>
          <w:u w:val="single"/>
        </w:rPr>
        <w:t>The social model of disability proposes an untenable separation between body and culture, impairment and disability’ (</w:t>
      </w:r>
      <w:r w:rsidRPr="00BF31F0">
        <w:rPr>
          <w:rStyle w:val="StyleUnderline"/>
        </w:rPr>
        <w:t xml:space="preserve">Hughes and Paterson, 1997, p. 326). This separation is impossible in terms of lived experience—we cannot participate in society without our bodies, since even virtual reality requires that we create corporeal identifications for ourselves (Miller and Summers, 2007). Likewise, our bodies and our corporeal experiences, including pain, emotions and sexuality, are integral to our identities and relationship with the world, </w:t>
      </w:r>
      <w:r w:rsidRPr="00C2398C">
        <w:rPr>
          <w:sz w:val="16"/>
        </w:rPr>
        <w:t>ourselves and others (Inckle, 2007). Moreover</w:t>
      </w:r>
      <w:r w:rsidRPr="00C2398C">
        <w:rPr>
          <w:b/>
          <w:sz w:val="16"/>
        </w:rPr>
        <w:t xml:space="preserve">, </w:t>
      </w:r>
      <w:r w:rsidRPr="00C2398C">
        <w:rPr>
          <w:b/>
          <w:u w:val="single"/>
        </w:rPr>
        <w:t>this separation and the subsequent absence of the body from the social model of disability are also problematic in political terms. It reinforces the historical binaries that shape dualistic culture in which the mind is privileged over the body,</w:t>
      </w:r>
      <w:r w:rsidRPr="00BF31F0">
        <w:rPr>
          <w:rStyle w:val="StyleUnderline"/>
        </w:rPr>
        <w:t xml:space="preserve"> reason triumphs emotion, science dominates nature and male supersedes female.</w:t>
      </w:r>
      <w:r w:rsidRPr="00C2398C">
        <w:rPr>
          <w:sz w:val="16"/>
        </w:rPr>
        <w:t xml:space="preserve"> Therefore, as described by Dyer (1997), in this structure to be of the body is to be negated in social, material and political terms. </w:t>
      </w:r>
      <w:r w:rsidRPr="00BF31F0">
        <w:rPr>
          <w:rStyle w:val="StyleUnderline"/>
        </w:rPr>
        <w:t xml:space="preserve">Thus, </w:t>
      </w:r>
      <w:r w:rsidRPr="00C2398C">
        <w:rPr>
          <w:b/>
          <w:u w:val="single"/>
        </w:rPr>
        <w:t xml:space="preserve">in avoiding the body and focusing only on society and social barriers the social model reinforces the same value system that is implicated in the power structures of colonialism and patriarchy. </w:t>
      </w:r>
      <w:r w:rsidRPr="00BF31F0">
        <w:rPr>
          <w:rStyle w:val="StyleUnderline"/>
        </w:rPr>
        <w:t>The flight from the body that is formative to the social model took place in a historical period when social theory, influenced by feminism and other critical disciplines, was re-evaluating the relationship between body,B society and social theory and arguing that the body is crucial not only to the social world in which we exist but also to our theorisations of it</w:t>
      </w:r>
      <w:r w:rsidRPr="00C2398C">
        <w:rPr>
          <w:sz w:val="16"/>
        </w:rPr>
        <w:t xml:space="preserve"> (Hughes and Paterson, 1997). The social model of disability, then, depoliticises the body and relegates it to a private realm untouched by critical theory (Hughes, 2009). Yet </w:t>
      </w:r>
      <w:r w:rsidRPr="00BF31F0">
        <w:rPr>
          <w:rStyle w:val="StyleUnderline"/>
        </w:rPr>
        <w:t>the depoliticisation of the body and its relegation to the ‘private’ realm is something that feminist theory and activism has persistently challenged and encapsulated in the slogan ‘the personal is political</w:t>
      </w:r>
      <w:r w:rsidRPr="00C2398C">
        <w:rPr>
          <w:sz w:val="16"/>
        </w:rPr>
        <w:t xml:space="preserve">’ (Landes, 1998). This slogan highlights how binary structures of public and private are in fact political structures by which patriarchy delegitimizes female experience through individualisation, privatization and medicalisation. </w:t>
      </w:r>
      <w:r w:rsidRPr="00BF31F0">
        <w:rPr>
          <w:rStyle w:val="StyleUnderline"/>
        </w:rPr>
        <w:t>This depoliticisation of the body undermines corporeal identity and experience and silences embodied subjectivity.</w:t>
      </w:r>
      <w:r w:rsidRPr="00C2398C">
        <w:rPr>
          <w:sz w:val="16"/>
        </w:rPr>
        <w:t xml:space="preserve"> This informs the third major problem of the social model of disability: its inability to conceive the disabled body as anything other than negative. As noted above, </w:t>
      </w:r>
      <w:r w:rsidRPr="00C2398C">
        <w:rPr>
          <w:b/>
          <w:u w:val="single"/>
        </w:rPr>
        <w:t>while attempting to challenge the medical model of disability, the social model nonetheless uncritically utilises the foundational medical concept of impairment</w:t>
      </w:r>
      <w:r w:rsidRPr="00C2398C">
        <w:rPr>
          <w:sz w:val="16"/>
        </w:rPr>
        <w:t xml:space="preserve"> (e.g., Oliver, 1996; Barnes et al., 1999, 2002). </w:t>
      </w:r>
      <w:r w:rsidRPr="00C2398C">
        <w:rPr>
          <w:b/>
          <w:sz w:val="16"/>
        </w:rPr>
        <w:t>T</w:t>
      </w:r>
      <w:r w:rsidRPr="00C2398C">
        <w:rPr>
          <w:b/>
          <w:u w:val="single"/>
        </w:rPr>
        <w:t>his has led to the social model either ignoring issues of embodiment altogether</w:t>
      </w:r>
      <w:r w:rsidRPr="00BF31F0">
        <w:rPr>
          <w:rStyle w:val="StyleUnderline"/>
        </w:rPr>
        <w:t xml:space="preserve"> (discussed above) </w:t>
      </w:r>
      <w:r w:rsidRPr="00C2398C">
        <w:rPr>
          <w:b/>
          <w:u w:val="single"/>
        </w:rPr>
        <w:t>or only being able to conceive of the disabled body in negative terms</w:t>
      </w:r>
      <w:r w:rsidRPr="00BF31F0">
        <w:rPr>
          <w:rStyle w:val="StyleUnderline"/>
        </w:rPr>
        <w:t>.</w:t>
      </w:r>
      <w:r w:rsidRPr="00C2398C">
        <w:rPr>
          <w:sz w:val="16"/>
        </w:rPr>
        <w:t xml:space="preserve"> </w:t>
      </w:r>
      <w:r w:rsidRPr="00BF31F0">
        <w:rPr>
          <w:rStyle w:val="StyleUnderline"/>
        </w:rPr>
        <w:t xml:space="preserve">By adopting the medical term ‘impairment’ to describe the non-normative body configurations and capacities of pewids, </w:t>
      </w:r>
      <w:r w:rsidRPr="00C2398C">
        <w:rPr>
          <w:b/>
          <w:u w:val="single"/>
        </w:rPr>
        <w:t>the social model</w:t>
      </w:r>
      <w:r w:rsidRPr="00BF31F0">
        <w:rPr>
          <w:rStyle w:val="StyleUnderline"/>
        </w:rPr>
        <w:t xml:space="preserve"> not only </w:t>
      </w:r>
      <w:r w:rsidRPr="00C2398C">
        <w:rPr>
          <w:b/>
          <w:u w:val="single"/>
        </w:rPr>
        <w:t>reinforces the normative bodily ideal</w:t>
      </w:r>
      <w:r w:rsidRPr="00BF31F0">
        <w:rPr>
          <w:rStyle w:val="StyleUnderline"/>
        </w:rPr>
        <w:t xml:space="preserve"> </w:t>
      </w:r>
      <w:r w:rsidRPr="00C2398C">
        <w:rPr>
          <w:sz w:val="16"/>
        </w:rPr>
        <w:t>(young, white, male, nondisabled</w:t>
      </w:r>
      <w:r w:rsidRPr="00C2398C">
        <w:rPr>
          <w:b/>
          <w:u w:val="single"/>
        </w:rPr>
        <w:t>),but also reiterates that deviations from this norm are flaws. As such the social model reinforces broad dualistic structures</w:t>
      </w:r>
      <w:r w:rsidRPr="00C2398C">
        <w:rPr>
          <w:sz w:val="16"/>
        </w:rPr>
        <w:t>—</w:t>
      </w:r>
      <w:r w:rsidRPr="00BF31F0">
        <w:rPr>
          <w:rStyle w:val="StyleUnderline"/>
        </w:rPr>
        <w:t xml:space="preserve">for example, the focus on society rather than ‘the body’—and replicates the most body-negative, binary constructs. Thus, </w:t>
      </w:r>
      <w:r w:rsidRPr="00C2398C">
        <w:rPr>
          <w:b/>
          <w:u w:val="single"/>
        </w:rPr>
        <w:t xml:space="preserve">if the body in general is of low value, then the disabled </w:t>
      </w:r>
      <w:r w:rsidRPr="00C2398C">
        <w:rPr>
          <w:b/>
          <w:u w:val="single"/>
        </w:rPr>
        <w:lastRenderedPageBreak/>
        <w:t>body in particular is irredeemably flawed</w:t>
      </w:r>
      <w:r w:rsidRPr="00BF31F0">
        <w:rPr>
          <w:rStyle w:val="StyleUnderline"/>
        </w:rPr>
        <w:t>.</w:t>
      </w:r>
      <w:r w:rsidRPr="00C2398C">
        <w:rPr>
          <w:sz w:val="16"/>
        </w:rPr>
        <w:t xml:space="preserve"> According to Hughes and Paterson: The social model—inspite of its critique of the medical model—actually concedes the body to medicine and understands impairment in terms of medical discourse. … </w:t>
      </w:r>
      <w:r w:rsidRPr="00BF31F0">
        <w:rPr>
          <w:rStyle w:val="StyleUnderline"/>
        </w:rPr>
        <w:t>The social model of disability recapitulates the biomedical ‘faulty machine’ model of the body</w:t>
      </w:r>
      <w:r w:rsidRPr="00C2398C">
        <w:rPr>
          <w:sz w:val="16"/>
        </w:rPr>
        <w:t xml:space="preserve">. (Hughes and Paterson, 1997, pp. 326–328) </w:t>
      </w:r>
      <w:r w:rsidRPr="00BF31F0">
        <w:rPr>
          <w:rStyle w:val="StyleUnderline"/>
        </w:rPr>
        <w:t>The fact that the social model, and the policy that emerges from it, continues to uncritically describe pewids as impaired should raise a number of concerns in regard to equality practices.</w:t>
      </w:r>
      <w:r w:rsidRPr="00C2398C">
        <w:rPr>
          <w:sz w:val="16"/>
        </w:rPr>
        <w:t xml:space="preserve"> Can pewids really expect to be treated as equal citizens when equality legislation mandates that we are, and should be referred to as, impaired persons? Would a policymaker or equality officer consider it appropriate to refer to people from racialised minorities as culturally impaired? Or LGBT people as sexually or gender impaired? In these instances it is apparent that the use of the term impairment is negative, akin to an individual’s judgement being impaired by alcohol. Yet for pewids ‘impairment’ is seen as an acceptable statement of fact. </w:t>
      </w:r>
      <w:r w:rsidRPr="00BF31F0">
        <w:rPr>
          <w:rStyle w:val="StyleUnderline"/>
        </w:rPr>
        <w:t xml:space="preserve">The definition of the disabled body as ‘impaired’ also locates it within a medicalised framework alongside bodies that are categorised as sick and unhealthy and equates disability with weakness and incapacity. </w:t>
      </w:r>
      <w:r w:rsidRPr="00C2398C">
        <w:rPr>
          <w:b/>
          <w:u w:val="single"/>
        </w:rPr>
        <w:t>This permeates able bodied consciousness where illness and disability are interchangeable</w:t>
      </w:r>
      <w:r w:rsidRPr="00C2398C">
        <w:rPr>
          <w:b/>
          <w:sz w:val="16"/>
        </w:rPr>
        <w:t>.</w:t>
      </w:r>
      <w:r w:rsidRPr="00C2398C">
        <w:rPr>
          <w:sz w:val="16"/>
        </w:rPr>
        <w:t xml:space="preserve"> However, it is possible to be disabled and in the fullness of health, as exemplified by disabled athletes. Disabled athletes are certainly not sick or unhealthy, while a significant proportion of the able bodied population is (see the data in Marmot and Siegrist, 2006). </w:t>
      </w:r>
      <w:r w:rsidRPr="00BF31F0">
        <w:rPr>
          <w:rStyle w:val="StyleUnderline"/>
        </w:rPr>
        <w:t>Furthermore, even people who are disabled through chronic illness may still exceed normative expectations in regard to sickness as incapacity.</w:t>
      </w:r>
      <w:r w:rsidRPr="00C2398C">
        <w:rPr>
          <w:sz w:val="16"/>
        </w:rPr>
        <w:t xml:space="preserve"> For example, Wendell (1996b) points out that an able bodied person who felt nauseous and dizzy and who was experiencing significant physical pain would most likely consider themselves unable to work. It is unlikely that this person would on such a day consider spending eight hours writing an important grant proposal or engaging in other significant academic labour. However, this is what pewids do on a daily basis, while simultaneously being considered as weak and debilitated. Finally, the</w:t>
      </w:r>
      <w:r w:rsidRPr="00BF31F0">
        <w:rPr>
          <w:rStyle w:val="StyleUnderline"/>
        </w:rPr>
        <w:t xml:space="preserve"> </w:t>
      </w:r>
      <w:r w:rsidRPr="00C2398C">
        <w:rPr>
          <w:b/>
          <w:u w:val="single"/>
        </w:rPr>
        <w:t>notion of impairment mitigates against any recognition that disabled bodies may be productive, powerful, creative and resilient, a</w:t>
      </w:r>
      <w:r w:rsidRPr="00BF31F0">
        <w:rPr>
          <w:rStyle w:val="StyleUnderline"/>
        </w:rPr>
        <w:t xml:space="preserve">nd may in fact embody desirable rather than undesirable characteristics. </w:t>
      </w:r>
      <w:r w:rsidRPr="00C2398C">
        <w:rPr>
          <w:sz w:val="16"/>
        </w:rPr>
        <w:t xml:space="preserve">For example, in higher education disability has been positioned as a ‘creative opportunity’ through which to challenge normative and increasingly corporatised structures of assessment and practice (Naseem and Lawthum, 2015). And elsewhere I have explored how disability, or non-normative embodiment as I prefer to conceptualise it, has also been the locus of arange of productive interventions, ranging from methodological perspectives to pain management and alternative cultural practices (Inckle, 2014; see also Wendell, 1996a). </w:t>
      </w:r>
      <w:r w:rsidRPr="00BF31F0">
        <w:rPr>
          <w:rStyle w:val="StyleUnderline"/>
        </w:rPr>
        <w:t>Overall</w:t>
      </w:r>
      <w:r w:rsidRPr="00C2398C">
        <w:rPr>
          <w:b/>
          <w:u w:val="single"/>
        </w:rPr>
        <w:t>, the social model of disability raises conceptual and political problems in terms of the body</w:t>
      </w:r>
      <w:r w:rsidRPr="00BF31F0">
        <w:rPr>
          <w:rStyle w:val="StyleUnderline"/>
        </w:rPr>
        <w:t xml:space="preserve">/ </w:t>
      </w:r>
      <w:r w:rsidRPr="00C2398C">
        <w:rPr>
          <w:b/>
          <w:u w:val="single"/>
        </w:rPr>
        <w:t>society dualism,</w:t>
      </w:r>
      <w:r w:rsidRPr="00BF31F0">
        <w:rPr>
          <w:rStyle w:val="StyleUnderline"/>
        </w:rPr>
        <w:t xml:space="preserve"> the absence of the body, and the inability to conceive of the disabled body outside a medicalised framework in which it is always negative</w:t>
      </w:r>
      <w:r w:rsidRPr="00C2398C">
        <w:rPr>
          <w:sz w:val="16"/>
        </w:rPr>
        <w:t xml:space="preserve"> (e.g., impaired). Below, I suggest that these problems also underpin Puar’s concept of ‘debility’. I then go on to explore how, just as feminist disability scholars have argued that the negation of the body in the social model of disability emerges from and reinforces (white) male privilege, the ‘debilitated’ body in Puar’s work creates a similar negation of disability and reinforces able bodied privilege.</w:t>
      </w:r>
    </w:p>
    <w:p xmlns:wp14="http://schemas.microsoft.com/office/word/2010/wordml" w:rsidR="001860AB" w:rsidP="001860AB" w:rsidRDefault="001860AB" w14:paraId="4FBFE2A5" wp14:textId="77777777">
      <w:pPr>
        <w:pStyle w:val="Heading4"/>
      </w:pPr>
      <w:r>
        <w:t>Rights based politics are complicit with a white supremacist neoliberal agenda which attempts to rehabilitate select populations figured as disabled at the expense of others</w:t>
      </w:r>
    </w:p>
    <w:p xmlns:wp14="http://schemas.microsoft.com/office/word/2010/wordml" w:rsidRPr="00C2398C" w:rsidR="001860AB" w:rsidP="001860AB" w:rsidRDefault="001860AB" w14:paraId="33FD465A" wp14:textId="77777777">
      <w:r w:rsidRPr="00347F11">
        <w:rPr>
          <w:rStyle w:val="Style13ptBold"/>
        </w:rPr>
        <w:t>Luke 15</w:t>
      </w:r>
      <w:r w:rsidRPr="00C2398C">
        <w:rPr>
          <w:b/>
        </w:rPr>
        <w:t xml:space="preserve"> </w:t>
      </w:r>
      <w:r w:rsidRPr="00C2398C">
        <w:t xml:space="preserve">(Heather N. Ph.D from the UC Berkley. Associate Professor of Critical Theory and Social Justices at the Occidental College of queer theory, queer color critique, and psychoanalysis. The Sovereignty of Subtraction: Hypo/Hyperhabilitation and the Cultural Politics of Amputation in America. 2015)//ONW  </w:t>
      </w:r>
    </w:p>
    <w:p xmlns:wp14="http://schemas.microsoft.com/office/word/2010/wordml" w:rsidRPr="00C2398C" w:rsidR="001860AB" w:rsidP="001860AB" w:rsidRDefault="001860AB" w14:paraId="461CCD1D" wp14:textId="77777777">
      <w:pPr>
        <w:rPr>
          <w:b/>
          <w:u w:val="single"/>
        </w:rPr>
      </w:pPr>
      <w:r w:rsidRPr="00C2398C">
        <w:rPr>
          <w:sz w:val="16"/>
        </w:rPr>
        <w:t xml:space="preserve">Yet </w:t>
      </w:r>
      <w:r w:rsidRPr="00C2398C">
        <w:rPr>
          <w:b/>
          <w:u w:val="single"/>
        </w:rPr>
        <w:t>if both whiteness and property</w:t>
      </w:r>
      <w:r w:rsidRPr="00C2398C">
        <w:rPr>
          <w:sz w:val="16"/>
        </w:rPr>
        <w:t xml:space="preserve">, according to Harris, </w:t>
      </w:r>
      <w:r w:rsidRPr="00C2398C">
        <w:rPr>
          <w:b/>
          <w:u w:val="single"/>
        </w:rPr>
        <w:t>act as mutual constructions of exclusion, then so does the actuarial, legal basis of disability as it has been applied</w:t>
      </w:r>
      <w:r w:rsidRPr="00C2398C">
        <w:rPr>
          <w:sz w:val="16"/>
        </w:rPr>
        <w:t xml:space="preserve">. </w:t>
      </w:r>
      <w:r w:rsidRPr="00906D41">
        <w:rPr>
          <w:rStyle w:val="StyleUnderline"/>
        </w:rPr>
        <w:t>The anti–affirmative action logic of “special rights” ironically finds its parallel in the 1990 Americans with Disabilities Act (ADA)</w:t>
      </w:r>
      <w:r w:rsidRPr="00C2398C">
        <w:rPr>
          <w:sz w:val="16"/>
        </w:rPr>
        <w:t xml:space="preserve">. This act has been applied toward effecting individual accommodations while neglecting a pan- disability model and the class- action apparatus, which arguably have a greater potential to alter the disabling aspects of workplaces and the built environment, as well as discursive sites of ablism.79 </w:t>
      </w:r>
      <w:r w:rsidRPr="00C2398C">
        <w:rPr>
          <w:b/>
          <w:u w:val="single"/>
        </w:rPr>
        <w:t xml:space="preserve">If disability can manifest only as loss of human capital in the US context of market- based liberalism, then the logic of affirmative action would legally make the loss of the property of </w:t>
      </w:r>
      <w:r w:rsidRPr="00C2398C">
        <w:rPr>
          <w:b/>
          <w:u w:val="single"/>
        </w:rPr>
        <w:lastRenderedPageBreak/>
        <w:t>whiteness a form of disability</w:t>
      </w:r>
      <w:r w:rsidRPr="00906D41">
        <w:rPr>
          <w:rStyle w:val="StyleUnderline"/>
        </w:rPr>
        <w:t xml:space="preserve"> that may then be rehabilitated by color blindness. </w:t>
      </w:r>
      <w:r w:rsidRPr="00C2398C">
        <w:rPr>
          <w:b/>
          <w:u w:val="single"/>
        </w:rPr>
        <w:t>Given that whiteness is, in fact, not historically debilitating, this rehabilitation forged through and against the ideas of “reverse discrimination” and minority “special rights” can only function as a hyperhabilitory “</w:t>
      </w:r>
      <w:r w:rsidRPr="00906D41">
        <w:rPr>
          <w:rStyle w:val="StyleUnderline"/>
        </w:rPr>
        <w:t>redistribution of resources upward</w:t>
      </w:r>
      <w:r w:rsidRPr="00C2398C">
        <w:rPr>
          <w:b/>
          <w:u w:val="single"/>
        </w:rPr>
        <w:t>,” the very core of the neoliberal agenda</w:t>
      </w:r>
      <w:r w:rsidRPr="00906D41">
        <w:rPr>
          <w:rStyle w:val="StyleUnderline"/>
        </w:rPr>
        <w:t xml:space="preserve"> </w:t>
      </w:r>
      <w:r w:rsidRPr="00C2398C">
        <w:rPr>
          <w:sz w:val="16"/>
        </w:rPr>
        <w:t xml:space="preserve">according to historian Lisa Duggan.80 It is no coincidence that the ADA was passed in the era of the New Democrats, who under the leadership of President Bill Clinton would see the explosion of the prison industrial complex and the “end of welfare as we know it.”81 </w:t>
      </w:r>
      <w:r w:rsidRPr="00906D41">
        <w:rPr>
          <w:rStyle w:val="StyleUnderline"/>
        </w:rPr>
        <w:t>As much as it is crucial to locate Democrats as complicit in a general neoliberal and neoconservative shift</w:t>
      </w:r>
      <w:r w:rsidRPr="00C2398C">
        <w:rPr>
          <w:b/>
          <w:u w:val="single"/>
        </w:rPr>
        <w:t>, understanding how white masculinity invested in disability involves analyzing the strategies of the New Right, which have produced a crucial twist on this negotiation of white male citizenship as everything and nothing through what I am calling the sovereignty of subtraction.</w:t>
      </w:r>
    </w:p>
    <w:p xmlns:wp14="http://schemas.microsoft.com/office/word/2010/wordml" w:rsidRPr="00901BD4" w:rsidR="001860AB" w:rsidP="001860AB" w:rsidRDefault="001860AB" w14:paraId="70DF9E56" wp14:textId="77777777"/>
    <w:p xmlns:wp14="http://schemas.microsoft.com/office/word/2010/wordml" w:rsidRPr="001641E7" w:rsidR="001860AB" w:rsidP="001860AB" w:rsidRDefault="001860AB" w14:paraId="44E871BC" wp14:textId="77777777">
      <w:pPr>
        <w:pStyle w:val="Default"/>
        <w:rPr>
          <w:rFonts w:ascii="Arial" w:hAnsi="Arial" w:cs="Arial"/>
          <w:sz w:val="22"/>
          <w:szCs w:val="22"/>
        </w:rPr>
      </w:pPr>
    </w:p>
    <w:p xmlns:wp14="http://schemas.microsoft.com/office/word/2010/wordml" w:rsidRPr="001641E7" w:rsidR="001860AB" w:rsidP="001860AB" w:rsidRDefault="001860AB" w14:paraId="1DC89BFD" wp14:textId="77777777">
      <w:pPr>
        <w:pStyle w:val="Heading3"/>
        <w:rPr>
          <w:rFonts w:cs="Arial"/>
        </w:rPr>
      </w:pPr>
      <w:r w:rsidRPr="001641E7">
        <w:rPr>
          <w:rFonts w:cs="Arial"/>
        </w:rPr>
        <w:lastRenderedPageBreak/>
        <w:t>I: Biocapitalism</w:t>
      </w:r>
    </w:p>
    <w:p xmlns:wp14="http://schemas.microsoft.com/office/word/2010/wordml" w:rsidRPr="001641E7" w:rsidR="001860AB" w:rsidP="001860AB" w:rsidRDefault="001860AB" w14:paraId="44ABF36A" wp14:textId="77777777">
      <w:pPr>
        <w:pStyle w:val="Heading4"/>
        <w:rPr>
          <w:rFonts w:cs="Arial"/>
        </w:rPr>
      </w:pPr>
      <w:r w:rsidRPr="001641E7">
        <w:rPr>
          <w:rFonts w:cs="Arial"/>
        </w:rPr>
        <w:t>The incorporation of the management of life into economic structures through the production of health and ability exceptionalism inaugurates a new mode of capitalism – biocapitalism shapes subjectivities and citizenship forcing some to slow death</w:t>
      </w:r>
    </w:p>
    <w:p xmlns:wp14="http://schemas.microsoft.com/office/word/2010/wordml" w:rsidRPr="001641E7" w:rsidR="001860AB" w:rsidP="001860AB" w:rsidRDefault="001860AB" w14:paraId="7F9DAFD9" wp14:textId="77777777">
      <w:r w:rsidRPr="001641E7">
        <w:rPr>
          <w:rStyle w:val="Style13ptBold"/>
        </w:rPr>
        <w:t>Fritsch 15</w:t>
      </w:r>
      <w:r w:rsidRPr="001641E7">
        <w:t xml:space="preserve"> (Kelly. Ph.D in Social and Political Thought from York University. Research fields include: Disability studies, feminist theory, queer, and accessibility. The Canadian Journal of Disability Studies: Graduations of Debility and Capacity: Biocapitalism and the Neoliberalization of Disability Relations. 2015 ) // ONW </w:t>
      </w:r>
    </w:p>
    <w:p xmlns:wp14="http://schemas.microsoft.com/office/word/2010/wordml" w:rsidRPr="001641E7" w:rsidR="001860AB" w:rsidP="001860AB" w:rsidRDefault="001860AB" w14:paraId="47A9E05B" wp14:textId="77777777">
      <w:pPr>
        <w:rPr>
          <w:b/>
          <w:sz w:val="14"/>
        </w:rPr>
      </w:pPr>
      <w:r w:rsidRPr="001641E7">
        <w:rPr>
          <w:sz w:val="14"/>
        </w:rPr>
        <w:t xml:space="preserve">In Biocapital: The Constitution of Postgenomic Life (2007), Kaushik Sunder Rajan builds on the work of Donna Haraway (1991; 1997), Sheila Jasanoff (2004), and Jenny Reardon (2001; 2005), to argue that </w:t>
      </w:r>
      <w:r w:rsidRPr="001641E7">
        <w:rPr>
          <w:b/>
          <w:u w:val="single"/>
        </w:rPr>
        <w:t>science and society are not two separate systems, but rather are mutually constitutive</w:t>
      </w:r>
      <w:r w:rsidRPr="001641E7">
        <w:rPr>
          <w:sz w:val="14"/>
        </w:rPr>
        <w:t xml:space="preserve">. In particular, Sunder Rajan marks the ways by which </w:t>
      </w:r>
      <w:r w:rsidRPr="001641E7">
        <w:rPr>
          <w:b/>
          <w:u w:val="single"/>
        </w:rPr>
        <w:t>scientific knowledge is coproduced materially and discursively alongside the political and economic practices of capitalism</w:t>
      </w:r>
      <w:r w:rsidRPr="001641E7">
        <w:rPr>
          <w:rStyle w:val="StyleUnderline"/>
        </w:rPr>
        <w:t>.</w:t>
      </w:r>
      <w:r w:rsidRPr="001641E7">
        <w:rPr>
          <w:sz w:val="14"/>
        </w:rPr>
        <w:t xml:space="preserve"> That is, rather than a relation </w:t>
      </w:r>
      <w:r w:rsidRPr="001641E7">
        <w:rPr>
          <w:rStyle w:val="StyleUnderline"/>
        </w:rPr>
        <w:t>in which either society or science is the cause or effect of the other, science and social relations, such as the social relations of capitalism, are “mutually implicated and emergent epistemologies and systems concerning life and value”</w:t>
      </w:r>
      <w:r w:rsidRPr="001641E7">
        <w:rPr>
          <w:sz w:val="14"/>
        </w:rPr>
        <w:t xml:space="preserve"> (Sunder Rajan  2012, 8). </w:t>
      </w:r>
      <w:r w:rsidRPr="001641E7">
        <w:rPr>
          <w:b/>
          <w:u w:val="single"/>
        </w:rPr>
        <w:t>This co-production has resulted in</w:t>
      </w:r>
      <w:r w:rsidRPr="001641E7">
        <w:rPr>
          <w:rStyle w:val="StyleUnderline"/>
        </w:rPr>
        <w:t xml:space="preserve"> what Sunder Rajan terms “</w:t>
      </w:r>
      <w:r w:rsidRPr="001641E7">
        <w:rPr>
          <w:b/>
          <w:u w:val="single"/>
        </w:rPr>
        <w:t>biocapitalism,” a new phase of capitalism whereby the development of biotechnology and the life sciences are made comprehensible through shifts in global capitalist production and consumption</w:t>
      </w:r>
      <w:r w:rsidRPr="001641E7">
        <w:rPr>
          <w:rStyle w:val="StyleUnderline"/>
        </w:rPr>
        <w:t xml:space="preserve">. </w:t>
      </w:r>
      <w:r w:rsidRPr="001641E7">
        <w:rPr>
          <w:sz w:val="14"/>
        </w:rPr>
        <w:t xml:space="preserve">Linking Foucault’s (2007) concept of biopolitics, “whereby life becomes the explicit center of political calculation” (79) to a Marxist critique of political economy, Sunder </w:t>
      </w:r>
      <w:r w:rsidRPr="001641E7">
        <w:rPr>
          <w:rStyle w:val="StyleUnderline"/>
        </w:rPr>
        <w:t>Rajan (2007) ethnographically analyzes the constitution of biocapitalism in the US and India by provocatively asking: “…what forms of alienation, exploitation, and divestiture are necessary for a ‘culture of biotechnology innovation’ to take root? On the other hand, how are individual and collective subjectivities and citizenships both shaped and conscripted by these technologies that concern ‘life itself’?”</w:t>
      </w:r>
      <w:r w:rsidRPr="001641E7">
        <w:rPr>
          <w:sz w:val="14"/>
        </w:rPr>
        <w:t xml:space="preserve"> (78).</w:t>
      </w:r>
      <w:r w:rsidRPr="001641E7">
        <w:rPr>
          <w:rStyle w:val="StyleUnderline"/>
        </w:rPr>
        <w:t xml:space="preserve"> </w:t>
      </w:r>
      <w:r w:rsidRPr="001641E7">
        <w:rPr>
          <w:b/>
          <w:u w:val="single"/>
        </w:rPr>
        <w:t>The notion of biocapitalism extends Foucault’s concept of biopolitics as a practice of governance that brings “life and its mechanisms into the realm of explicit calculations</w:t>
      </w:r>
      <w:r w:rsidRPr="001641E7">
        <w:rPr>
          <w:b/>
          <w:sz w:val="14"/>
        </w:rPr>
        <w:t>”</w:t>
      </w:r>
      <w:r w:rsidRPr="001641E7">
        <w:rPr>
          <w:sz w:val="14"/>
        </w:rPr>
        <w:t xml:space="preserve"> (1978, 143) </w:t>
      </w:r>
      <w:r w:rsidRPr="001641E7">
        <w:rPr>
          <w:b/>
          <w:u w:val="single"/>
        </w:rPr>
        <w:t>to organize not only “state, national, or colonial governance,” but also to increasingly structure economic enterprises that take life as its object in the pursuit of the creation of value, markets, wealth, and profit</w:t>
      </w:r>
      <w:r w:rsidRPr="001641E7">
        <w:rPr>
          <w:b/>
          <w:sz w:val="14"/>
        </w:rPr>
        <w:t xml:space="preserve"> </w:t>
      </w:r>
      <w:r w:rsidRPr="001641E7">
        <w:rPr>
          <w:sz w:val="14"/>
        </w:rPr>
        <w:t xml:space="preserve">(Helmreich 2008, 464). In this way, as Stefan Helmreich notes, </w:t>
      </w:r>
      <w:r w:rsidRPr="001641E7">
        <w:rPr>
          <w:b/>
          <w:u w:val="single"/>
        </w:rPr>
        <w:t>the biological entities that inhabit this landscape are “no longer only individuals and populations — the twin poles of Foucault’s biopower —but also cells, molecules, genomes, and genes”</w:t>
      </w:r>
      <w:r w:rsidRPr="001641E7">
        <w:rPr>
          <w:b/>
          <w:sz w:val="14"/>
        </w:rPr>
        <w:t xml:space="preserve"> (</w:t>
      </w:r>
      <w:r w:rsidRPr="001641E7">
        <w:rPr>
          <w:sz w:val="14"/>
        </w:rPr>
        <w:t xml:space="preserve">Helmreich 2008, 464). </w:t>
      </w:r>
      <w:r w:rsidRPr="001641E7">
        <w:rPr>
          <w:b/>
          <w:u w:val="single"/>
        </w:rPr>
        <w:t>The contemporary biopolitics of biocapitalism, therefore, engages not just with individuals or populations, but all aspects of life itself</w:t>
      </w:r>
      <w:r w:rsidRPr="001641E7">
        <w:rPr>
          <w:b/>
          <w:sz w:val="14"/>
        </w:rPr>
        <w:t>.</w:t>
      </w:r>
      <w:r w:rsidRPr="001641E7">
        <w:rPr>
          <w:sz w:val="14"/>
        </w:rPr>
        <w:t xml:space="preserve"> For Sunder Rajan, </w:t>
      </w:r>
      <w:r w:rsidRPr="001641E7">
        <w:rPr>
          <w:b/>
          <w:u w:val="single"/>
        </w:rPr>
        <w:t>capitalism is “a political economic system whose contours are not unitary or rigid [;]” rather, “capitalism is mutable and multiple; it is always capitalisms”</w:t>
      </w:r>
      <w:r w:rsidRPr="001641E7">
        <w:rPr>
          <w:rStyle w:val="StyleUnderline"/>
        </w:rPr>
        <w:t xml:space="preserve"> </w:t>
      </w:r>
      <w:r w:rsidRPr="001641E7">
        <w:rPr>
          <w:sz w:val="14"/>
        </w:rPr>
        <w:t>(2007, 7). This mutable and multiple character of capitalism is made apparent across Sunder Rajan’s reading of the three volumes of Capital, in which Karl Marx analyzes both industrial and mercantile capitalism. Sunder Rajan notes that for Marx, while mercantile capitalism is a continuation of industrial capital, it emerges as a distinct formation of capital in so far as it emphasizes a commercial form rather than a commodity form. That is, the function of merchant’s capital “is not just the production and exchange of commodities as a means to an end (that end being the generation of surplus value) but is commercial activity as an end in itself” (2007, 8). Thus, “</w:t>
      </w:r>
      <w:r w:rsidRPr="001641E7">
        <w:rPr>
          <w:rStyle w:val="StyleUnderline"/>
        </w:rPr>
        <w:t xml:space="preserve">the merchant is to commercial capital what the producer is to commodity capital” </w:t>
      </w:r>
      <w:r w:rsidRPr="001641E7">
        <w:rPr>
          <w:sz w:val="14"/>
        </w:rPr>
        <w:t xml:space="preserve">(2007, 9).  </w:t>
      </w:r>
      <w:r w:rsidRPr="001641E7">
        <w:rPr>
          <w:b/>
          <w:u w:val="single"/>
        </w:rPr>
        <w:t>Capitalists that are most interested in commercial activity as an end in itself are speculative capitalists such as venture capitalists and investment bankers “who are central to sustaining the dynamics of contemporary capitalism</w:t>
      </w:r>
      <w:r w:rsidRPr="001641E7">
        <w:rPr>
          <w:rStyle w:val="StyleUnderline"/>
        </w:rPr>
        <w:t>”</w:t>
      </w:r>
      <w:r w:rsidRPr="001641E7">
        <w:rPr>
          <w:sz w:val="14"/>
        </w:rPr>
        <w:t xml:space="preserve"> (2007, 9). For Sunder Rajan, drawing on Marx, </w:t>
      </w:r>
      <w:r w:rsidRPr="001641E7">
        <w:rPr>
          <w:rStyle w:val="StyleUnderline"/>
        </w:rPr>
        <w:t xml:space="preserve">merchant’s capital “does not create surplus value in and of itself but does so indirectly by constantly </w:t>
      </w:r>
      <w:r w:rsidRPr="001641E7">
        <w:rPr>
          <w:rStyle w:val="StyleUnderline"/>
        </w:rPr>
        <w:lastRenderedPageBreak/>
        <w:t xml:space="preserve">perpetuating the circulation of capital, and by providing it with its own self-perpetuating, self-sustaining logic” </w:t>
      </w:r>
      <w:r w:rsidRPr="001641E7">
        <w:rPr>
          <w:sz w:val="14"/>
        </w:rPr>
        <w:t xml:space="preserve">(2007, 9). </w:t>
      </w:r>
      <w:r w:rsidRPr="001641E7">
        <w:rPr>
          <w:b/>
          <w:u w:val="single"/>
        </w:rPr>
        <w:t>The contemporary emphasis on commercial activity “as an end in itself” has emerged</w:t>
      </w:r>
      <w:r w:rsidRPr="001641E7">
        <w:rPr>
          <w:rStyle w:val="StyleUnderline"/>
        </w:rPr>
        <w:t xml:space="preserve"> for Sunder Rajan </w:t>
      </w:r>
      <w:r w:rsidRPr="001641E7">
        <w:rPr>
          <w:b/>
          <w:u w:val="single"/>
        </w:rPr>
        <w:t>as “biocapita</w:t>
      </w:r>
      <w:r w:rsidRPr="001641E7">
        <w:rPr>
          <w:b/>
          <w:sz w:val="14"/>
        </w:rPr>
        <w:t>l</w:t>
      </w:r>
      <w:r w:rsidRPr="001641E7">
        <w:rPr>
          <w:sz w:val="14"/>
        </w:rPr>
        <w:t xml:space="preserve">.” For Sunder Rajan, </w:t>
      </w:r>
      <w:r w:rsidRPr="001641E7">
        <w:rPr>
          <w:b/>
          <w:u w:val="single"/>
        </w:rPr>
        <w:t>biocapital emerges in the economic shift from Keynesianism to the neoliberalism, emphasizing the role that the development of the life sciences and biotechnologies in the US has played in the financialization of the American neoliberalized economy</w:t>
      </w:r>
      <w:r w:rsidRPr="001641E7">
        <w:rPr>
          <w:b/>
          <w:sz w:val="14"/>
        </w:rPr>
        <w:t>.</w:t>
      </w:r>
    </w:p>
    <w:p xmlns:wp14="http://schemas.microsoft.com/office/word/2010/wordml" w:rsidRPr="001641E7" w:rsidR="001860AB" w:rsidP="001860AB" w:rsidRDefault="001860AB" w14:paraId="144A5D23" wp14:textId="77777777"/>
    <w:p xmlns:wp14="http://schemas.microsoft.com/office/word/2010/wordml" w:rsidRPr="001641E7" w:rsidR="001860AB" w:rsidP="001860AB" w:rsidRDefault="001860AB" w14:paraId="1D91AE06" wp14:textId="77777777">
      <w:pPr>
        <w:pStyle w:val="Heading4"/>
        <w:rPr>
          <w:rFonts w:cs="Arial"/>
        </w:rPr>
      </w:pPr>
      <w:r w:rsidRPr="001641E7">
        <w:rPr>
          <w:rFonts w:cs="Arial"/>
        </w:rPr>
        <w:t>Bio-neoliberalism creates classes of disability characterized by their ability to produce or bring profit to the market. Anyone who fails to meet the rigid standard and cannot be profited off is subject to slow death</w:t>
      </w:r>
    </w:p>
    <w:p xmlns:wp14="http://schemas.microsoft.com/office/word/2010/wordml" w:rsidRPr="001641E7" w:rsidR="001860AB" w:rsidP="001860AB" w:rsidRDefault="001860AB" w14:paraId="010663DA" wp14:textId="77777777">
      <w:r w:rsidRPr="001641E7">
        <w:rPr>
          <w:rStyle w:val="Style13ptBold"/>
        </w:rPr>
        <w:t>Fritsch 15</w:t>
      </w:r>
      <w:r w:rsidRPr="001641E7">
        <w:t xml:space="preserve"> (Kelly. Ph.D in Social and Political Thought from York University. Research fields include: Disability studies, feminist theory, queer, and accessibility. The Canadian Journal of Disability Studies: Graduations of Debility and Capacity: Biocapitalism and the Neoliberalization of Disability Relations. 2015 ) // ONW </w:t>
      </w:r>
    </w:p>
    <w:p xmlns:wp14="http://schemas.microsoft.com/office/word/2010/wordml" w:rsidRPr="001641E7" w:rsidR="001860AB" w:rsidP="001860AB" w:rsidRDefault="001860AB" w14:paraId="53417AB8" wp14:textId="77777777">
      <w:pPr>
        <w:spacing w:line="240" w:lineRule="auto"/>
        <w:ind w:left="-15" w:right="50"/>
        <w:rPr>
          <w:rStyle w:val="StyleUnderline"/>
        </w:rPr>
      </w:pPr>
      <w:r w:rsidRPr="001641E7">
        <w:rPr>
          <w:sz w:val="12"/>
        </w:rPr>
        <w:t xml:space="preserve">The flip side of this independent and productive disabled worker is that </w:t>
      </w:r>
      <w:r w:rsidRPr="001641E7">
        <w:rPr>
          <w:rStyle w:val="StyleUnderline"/>
        </w:rPr>
        <w:t>if one is disabled in such a way as to not easily be integrated into the workforce, or not be able to manage their own personal assistants, such a life is deemed “not worth living” and those people are often left for “slow death”</w:t>
      </w:r>
      <w:r w:rsidRPr="001641E7">
        <w:rPr>
          <w:sz w:val="12"/>
        </w:rPr>
        <w:t xml:space="preserve"> (Berlant 2007, 776). </w:t>
      </w:r>
      <w:r w:rsidRPr="001641E7">
        <w:rPr>
          <w:rStyle w:val="StyleUnderline"/>
        </w:rPr>
        <w:t xml:space="preserve">While not sentencing them to die, the removal of supports through privatization and the delegitimatization of their lives that comes with not being worth the funding or worth employing means that those disabled people deemed unproductive have less chance of maintaining good health, let alone living what would be considered meaningful lives. </w:t>
      </w:r>
      <w:r w:rsidRPr="001641E7">
        <w:rPr>
          <w:sz w:val="12"/>
        </w:rPr>
        <w:t>Karen Soldatic (2011) marks this tension in her work on neoliberal workfare restructuring in Canada, the United States, and United Kingdom, which has “resulted in the development of a multiplicity of new classes of disability, from the ‘really’ disabled and thus deserving of state welfare, through to the ‘just disabled’ who are positioned as being more amendable to part-time, casualized, flexible, precarious labour markets” (4</w:t>
      </w:r>
      <w:r w:rsidRPr="001641E7">
        <w:rPr>
          <w:rStyle w:val="StyleUnderline"/>
        </w:rPr>
        <w:t xml:space="preserve">). These “classes of disability” themselves are constantly shifting within the neoliberalized biocapitalist market </w:t>
      </w:r>
      <w:r w:rsidRPr="001641E7">
        <w:rPr>
          <w:sz w:val="12"/>
        </w:rPr>
        <w:t xml:space="preserve">as people are employed increasingly through varying forms of immaterial labour, such as work caught under the umbrella of the biocapitalist information and knowledge economies. </w:t>
      </w:r>
      <w:r w:rsidRPr="001641E7">
        <w:rPr>
          <w:rStyle w:val="StyleUnderline"/>
        </w:rPr>
        <w:t>For some disabled people, this economy represents increased opportunities to participate; whereas for others, such as some people with intellectual disabilities, these shifts hold risks and disadvantages.</w:t>
      </w:r>
      <w:r w:rsidRPr="001641E7">
        <w:rPr>
          <w:sz w:val="12"/>
        </w:rPr>
        <w:t xml:space="preserve"> In this regard, Leanne Dowse (2009) has found that in the United Kingdom, neoliberal biopolitical practices have actually intensified the dependency of adults with intellectual disabilities rather than increased their independence. This has also been the experience for other disabled people in the United Kingdom. For example, </w:t>
      </w:r>
      <w:r w:rsidRPr="001641E7">
        <w:rPr>
          <w:rStyle w:val="StyleUnderline"/>
        </w:rPr>
        <w:t>Natasha Pogson</w:t>
      </w:r>
      <w:r w:rsidRPr="001641E7">
        <w:rPr>
          <w:sz w:val="12"/>
        </w:rPr>
        <w:t xml:space="preserve">, a blind woman living in Billingham, UK, </w:t>
      </w:r>
      <w:r w:rsidRPr="001641E7">
        <w:rPr>
          <w:rStyle w:val="StyleUnderline"/>
        </w:rPr>
        <w:t xml:space="preserve">had her disability benefit provided by the state revoked after being found “fit-to-work” because she is able to “cross a road” when paired with a service dog </w:t>
      </w:r>
      <w:r w:rsidRPr="001641E7">
        <w:rPr>
          <w:sz w:val="12"/>
        </w:rPr>
        <w:t xml:space="preserve">(Guillot 2014). The Department of Work and Pensions, responding to neoliberal austerity measures introduced across the United Kingdom in 2010, did a Work Capability Assessment of Pogson, finding her ineligible for her “Incapacity Benefit” (now called Employment and Support Allowance) and concluded that she must actively seek work. While seeking work Pogson is able to collect £72 [120 USD] per week. This amount significantly pales in comparison to the £167 [$275 USD] per week she received under the former Incapacity Benefit. Further, to access this money, Pogson must travel 90 minutes to the Jobcenter every two weeks to show proof that she has been searching for work. In a media interview, Pogson’s father stated that travelling on her own for 90 minutes “is completely unrealistic” and Pogson herself recounts experiences of falling in the street and being completely unable to get her bearings, even with the help of a guide dog (Guillot 2014). </w:t>
      </w:r>
      <w:r w:rsidRPr="001641E7">
        <w:rPr>
          <w:rStyle w:val="StyleUnderline"/>
        </w:rPr>
        <w:t>The impact of the Work Capability Assessment in Britain has been devastating. Over 10,600 disabled people died in 2011 after the Work Capability Assessment concluded that their benefits should be terminated</w:t>
      </w:r>
      <w:r w:rsidRPr="001641E7">
        <w:rPr>
          <w:sz w:val="12"/>
        </w:rPr>
        <w:t xml:space="preserve"> (Green 2012, 6</w:t>
      </w:r>
      <w:r w:rsidRPr="001641E7">
        <w:rPr>
          <w:rStyle w:val="StyleUnderline"/>
        </w:rPr>
        <w:t>). Disabled people and disability organizations were not consulted nor involved in the development of the assessment model and have heavily critiqued and actively protested its implementation. Determining that she is fit to work because she is able to cross the road with the assistance of her dog, Pogson’s Work Capability Assessment produces her body as not disabled enough or not disabled in the right way so as to receive social benefits. She is no longer legitimately disabled according to social services. Because her body is deemed able to work by social services, to continue to be a legitimate subject she must find employment.</w:t>
      </w:r>
      <w:r w:rsidRPr="001641E7">
        <w:rPr>
          <w:sz w:val="12"/>
        </w:rPr>
        <w:t xml:space="preserve"> </w:t>
      </w:r>
      <w:r w:rsidRPr="001641E7">
        <w:rPr>
          <w:rStyle w:val="StyleUnderline"/>
        </w:rPr>
        <w:t xml:space="preserve">Otherwise, she may well be labeled as being part of the “lazy scrounging scum, perfectly able to work…” but instead “draining resources from an already </w:t>
      </w:r>
      <w:r w:rsidRPr="001641E7">
        <w:rPr>
          <w:rStyle w:val="StyleUnderline"/>
        </w:rPr>
        <w:lastRenderedPageBreak/>
        <w:t>overburdened taxpayer”</w:t>
      </w:r>
      <w:r w:rsidRPr="001641E7">
        <w:rPr>
          <w:sz w:val="12"/>
        </w:rPr>
        <w:t xml:space="preserve"> (Franklin and Marsh 2011, 43). </w:t>
      </w:r>
      <w:r w:rsidRPr="001641E7">
        <w:rPr>
          <w:rStyle w:val="StyleUnderline"/>
        </w:rPr>
        <w:t xml:space="preserve">Such hostile rhetoric of disabled ill/legitimacy plays a major role in the “40% rise in disability hate crime” </w:t>
      </w:r>
      <w:r w:rsidRPr="001641E7">
        <w:rPr>
          <w:sz w:val="12"/>
        </w:rPr>
        <w:t xml:space="preserve">in the United Kingdom since 2011 (Cross 2013). In another incident, Brandon Coats of Denver, Colorado, who was paralyzed in a car crash at 16 years old, was fired from his job in 2010 after screening positive for marijuana, violating the company’s “drug-free workplace rules.” Coats had been using medically prescribed marijuana to deal with pain since 2009, and never used marijuana while at work. </w:t>
      </w:r>
      <w:r w:rsidRPr="001641E7">
        <w:rPr>
          <w:rStyle w:val="StyleUnderline"/>
        </w:rPr>
        <w:t xml:space="preserve">By falling afoul of what his employer deems a company workplace standard unrelated to matters of disability, Coats’ disability makes him into a deviant worker unworthy of keeping his job. Coats has filed a lawsuit against the company, arguing that the “use of medical marijuana should fall under a state law that prohibits companies from firing workers for legal, off-duty activities that might rankle an employer” </w:t>
      </w:r>
      <w:r w:rsidRPr="001641E7">
        <w:rPr>
          <w:sz w:val="12"/>
        </w:rPr>
        <w:t xml:space="preserve">(Healy 2014). </w:t>
      </w:r>
      <w:r w:rsidRPr="001641E7">
        <w:rPr>
          <w:rStyle w:val="StyleUnderline"/>
        </w:rPr>
        <w:t>Non-normative ways of being disabled, forms of disability that do not fit into the neat packages of a highly mobile, young, wheelchair user working to be independently productive, are easily dismissed as not truly deserving of benefits or accommodations within neoliberal biocapitalist economies.</w:t>
      </w:r>
      <w:r w:rsidRPr="001641E7">
        <w:rPr>
          <w:b/>
          <w:sz w:val="12"/>
        </w:rPr>
        <w:t xml:space="preserve"> </w:t>
      </w:r>
      <w:r w:rsidRPr="001641E7">
        <w:rPr>
          <w:rStyle w:val="StyleUnderline"/>
        </w:rPr>
        <w:t>With an interest in profitability</w:t>
      </w:r>
      <w:r w:rsidRPr="001641E7">
        <w:rPr>
          <w:sz w:val="12"/>
        </w:rPr>
        <w:t xml:space="preserve">, neoliberalized policies, practices, and </w:t>
      </w:r>
      <w:r w:rsidRPr="001641E7">
        <w:rPr>
          <w:rStyle w:val="StyleUnderline"/>
        </w:rPr>
        <w:t>forms of governance are interested in capitalizing on diversity and difference</w:t>
      </w:r>
      <w:r w:rsidRPr="001641E7">
        <w:rPr>
          <w:sz w:val="12"/>
        </w:rPr>
        <w:t xml:space="preserve">. </w:t>
      </w:r>
      <w:r w:rsidRPr="001641E7">
        <w:rPr>
          <w:rStyle w:val="StyleUnderline"/>
        </w:rPr>
        <w:t>Taking debility and capacity seriously within a neoliberal biocapitalist context opens up space for analyzing the ways bodies are differentially produced, including accounting for the particular ways in which the productive disabled body cannot always be celebrated with pride</w:t>
      </w:r>
      <w:r w:rsidRPr="001641E7">
        <w:rPr>
          <w:sz w:val="12"/>
        </w:rPr>
        <w:t>. For example, Sothern (2007) draws attention to “the deplorable practices of neoliberal capitalism and its failure to provide adequate protection in sweatshops and in the informal spaces of the global economy — in which avoidable industrial ‘accidents’ regularly maim and injure” (146). Such injuries are also found in the stories of human “guinea-piggers,” or those human subjects who submit to drug-safety trials in exchange for payment (Elliott 2008; Sunder Rajan 2007). For example, in 2006 in London, a Phase I drug-safety trial for a prospective treatment for rheumatoid arthritis and multiple sclerosis sent six people to hospital with life-threatening reactions including organ failure. One subject had their fingers and toes amputated, and all the subjects were reportedly left with longterm disabilities (Elliott 2008). Disability studies scholar Nirmala Erevelles is interested in what Sothern terms the “deplorable practices of neoliberal capitalism,” mapping out the ways in which disability and race overlap within the context of international war. Erevelles (2011) argues that the violence of neocolonialism “is instrumental not only in the creation of disability” as when first world militaries drop bombs on third world villages to root-out terrorism, but also particularly oppresses poor disabled people of colour both socially and economically (118). She asks “</w:t>
      </w:r>
      <w:r w:rsidRPr="001641E7">
        <w:rPr>
          <w:rStyle w:val="StyleUnderline"/>
        </w:rPr>
        <w:t>How can acquiring a disability be celebrated as ‘the most universal of human conditions’ if it is acquired under the oppressive conditions of poverty, economic exploitation, police brutality, neocolonial violence, and lack of access to adequate health care and education?”</w:t>
      </w:r>
      <w:r w:rsidRPr="001641E7">
        <w:rPr>
          <w:sz w:val="12"/>
        </w:rPr>
        <w:t xml:space="preserve"> (119). Noting the particular ways by which</w:t>
      </w:r>
      <w:r w:rsidRPr="001641E7">
        <w:rPr>
          <w:b/>
          <w:sz w:val="12"/>
        </w:rPr>
        <w:t xml:space="preserve"> </w:t>
      </w:r>
      <w:r w:rsidRPr="001641E7">
        <w:rPr>
          <w:rStyle w:val="StyleUnderline"/>
        </w:rPr>
        <w:t>disabled and racialized people are prevented from flourishing through eugenic and immigration practices, Erevelles tracks how these practices mark disabled and racialized people alike as “feeble-minded,” “unfit bodies,” “defects,” and “unworthy citizens”</w:t>
      </w:r>
      <w:r w:rsidRPr="001641E7">
        <w:rPr>
          <w:sz w:val="12"/>
        </w:rPr>
        <w:t xml:space="preserve"> (Erevelles 2011, 129–130). </w:t>
      </w:r>
      <w:r w:rsidRPr="001641E7">
        <w:rPr>
          <w:rStyle w:val="StyleUnderline"/>
        </w:rPr>
        <w:t>Utilizing forced sterilization, rigid immigration screening procedures that include lengthy personal health histories and police checks, institutionalization and imprisonment, and even genocid</w:t>
      </w:r>
      <w:r w:rsidRPr="001641E7">
        <w:rPr>
          <w:sz w:val="12"/>
        </w:rPr>
        <w:t xml:space="preserve">e (Erevelles 2011; Mitchell and Snyder 2003), </w:t>
      </w:r>
      <w:r w:rsidRPr="001641E7">
        <w:rPr>
          <w:rStyle w:val="StyleUnderline"/>
        </w:rPr>
        <w:t>neoliberal practices conflate disability and race so that disabled, racialized, and disabled racialized bodies are produced as undesirable citizens and thusly disposable</w:t>
      </w:r>
      <w:r w:rsidRPr="001641E7">
        <w:rPr>
          <w:sz w:val="12"/>
        </w:rPr>
        <w:t xml:space="preserve"> (Chandler 2013). </w:t>
      </w:r>
      <w:r w:rsidRPr="001641E7">
        <w:rPr>
          <w:rStyle w:val="StyleUnderline"/>
        </w:rPr>
        <w:t xml:space="preserve">These authors point to the complexity and contradictions of the disability rights movement claim that disability is an oppressed - yet normal and desirable - identity. Rather, taking up disability through the framework of debility/capacity allows disability activists and scholars to engage with how one comes to disability and how disabled people are both capacitated and debilitated within neoliberal biocapitalism. </w:t>
      </w:r>
      <w:r w:rsidRPr="001641E7">
        <w:rPr>
          <w:sz w:val="12"/>
        </w:rPr>
        <w:t>Such histories of ableist and racist practices continue today through forms of governance such as pre-natal screening for abnormal fetuses, selective abortion, the lack of a national inquiry into the 824 missing or murdered Aboriginal women in Canada (CBC 2014a), the school-toprison-pipeline (Hing 2014), and through structural forms of violence that enable the killings of disabled African Americans such as Eric Garner by the NYPD, and Ezell Ford by LAPD (Sins Invalid 2014)</w:t>
      </w:r>
      <w:r w:rsidRPr="001641E7">
        <w:rPr>
          <w:rStyle w:val="StyleUnderline"/>
        </w:rPr>
        <w:t>.</w:t>
      </w:r>
      <w:r w:rsidRPr="001641E7">
        <w:rPr>
          <w:sz w:val="12"/>
        </w:rPr>
        <w:t xml:space="preserve"> </w:t>
      </w:r>
      <w:r w:rsidRPr="001641E7">
        <w:rPr>
          <w:rStyle w:val="StyleUnderline"/>
        </w:rPr>
        <w:t>It is clear from these examples and from ongoing disability justice work that attending to the very different capacitation or debilitation of bodies marked as variously disposable or worthy of enhancement is important for contesting the ways by which neoliberal biocapitalism acts with and on individual bodies, populations, and in addition to differentially engaging cells, molecules, genomes, and genes</w:t>
      </w:r>
      <w:r w:rsidRPr="001641E7">
        <w:rPr>
          <w:sz w:val="12"/>
        </w:rPr>
        <w:t xml:space="preserve"> (Helmreich 2008). Rather than focusing on barriers such as discriminatory work place policies, an economy that produces few meaningful and accessible employment opportunities, the lack of financial and other supports, and the racist justice and immigration frameworks, </w:t>
      </w:r>
      <w:r w:rsidRPr="001641E7">
        <w:rPr>
          <w:rStyle w:val="StyleUnderline"/>
        </w:rPr>
        <w:t xml:space="preserve">disabled people are penalized for using medically prescribed drugs, called “benefit scrounging scum” for accessing social provisions rather than becoming productive workers, face high levels of violence, and are placed in long-term care facilities, or imprisoned, or denied citizenship, with no or few chances to flourish. It is clear that questions of being legitimate and worthy disabled persons are wrapped up in neoliberal notions of inclusion in which someone can be included if they can be captured by </w:t>
      </w:r>
      <w:r w:rsidRPr="001641E7">
        <w:rPr>
          <w:rStyle w:val="StyleUnderline"/>
        </w:rPr>
        <w:lastRenderedPageBreak/>
        <w:t>market</w:t>
      </w:r>
      <w:r w:rsidRPr="001641E7">
        <w:rPr>
          <w:b/>
          <w:sz w:val="12"/>
        </w:rPr>
        <w:t xml:space="preserve"> </w:t>
      </w:r>
      <w:r w:rsidRPr="001641E7">
        <w:rPr>
          <w:rStyle w:val="StyleUnderline"/>
        </w:rPr>
        <w:t>rationality. Bodies that are profitable - those that can be enhanced, marketed to, or incorporated into the labour force - are bodies that neoliberalism deems worthy. Those bodies that do not fit within this particular form of inclusion or cannot be capacitated in such a way as to participate in the labour force are debilitated or rendered for “death as a way of life”</w:t>
      </w:r>
      <w:r w:rsidRPr="001641E7">
        <w:rPr>
          <w:sz w:val="12"/>
        </w:rPr>
        <w:t xml:space="preserve"> (Berlant 2007, 776). </w:t>
      </w:r>
      <w:r w:rsidRPr="001641E7">
        <w:rPr>
          <w:rStyle w:val="StyleUnderline"/>
        </w:rPr>
        <w:t xml:space="preserve">With such high stakes, many disabled people work to capacitate themselves through prosthetics, medical interventions, and assistive devices so as to become productive, independent workers and so as not to fall into a pit of “slow death.” </w:t>
      </w:r>
    </w:p>
    <w:p xmlns:wp14="http://schemas.microsoft.com/office/word/2010/wordml" w:rsidRPr="001641E7" w:rsidR="001860AB" w:rsidP="001860AB" w:rsidRDefault="001860AB" w14:paraId="66FAB0AF" wp14:textId="77777777">
      <w:pPr>
        <w:pStyle w:val="Heading3"/>
        <w:rPr>
          <w:rFonts w:cs="Arial"/>
        </w:rPr>
      </w:pPr>
      <w:r w:rsidRPr="001641E7">
        <w:rPr>
          <w:rFonts w:cs="Arial"/>
        </w:rPr>
        <w:lastRenderedPageBreak/>
        <w:t>I: Immigration Policy</w:t>
      </w:r>
    </w:p>
    <w:p xmlns:wp14="http://schemas.microsoft.com/office/word/2010/wordml" w:rsidRPr="001641E7" w:rsidR="001860AB" w:rsidP="001860AB" w:rsidRDefault="001860AB" w14:paraId="5FEA4599" wp14:textId="77777777">
      <w:pPr>
        <w:pStyle w:val="Heading4"/>
        <w:rPr>
          <w:rFonts w:cs="Arial"/>
        </w:rPr>
      </w:pPr>
      <w:r w:rsidRPr="001641E7">
        <w:rPr>
          <w:rFonts w:cs="Arial"/>
        </w:rPr>
        <w:t>Immigrants and Refugee seekers were not only screened during their admission process but also had to pass tests conducted by salesmen and ship crews who were forced to exclude any immigrant who may be turned away for fear of economic retribution.</w:t>
      </w:r>
    </w:p>
    <w:p xmlns:wp14="http://schemas.microsoft.com/office/word/2010/wordml" w:rsidRPr="001641E7" w:rsidR="001860AB" w:rsidP="001860AB" w:rsidRDefault="001860AB" w14:paraId="6CAAA56F" wp14:textId="77777777">
      <w:r w:rsidRPr="001641E7">
        <w:rPr>
          <w:rStyle w:val="Style13ptBold"/>
        </w:rPr>
        <w:t>Baynton 16</w:t>
      </w:r>
      <w:r w:rsidRPr="001641E7">
        <w:rPr>
          <w:b/>
          <w:sz w:val="24"/>
        </w:rPr>
        <w:t xml:space="preserve"> </w:t>
      </w:r>
      <w:r w:rsidRPr="001641E7">
        <w:t xml:space="preserve">(Douglas C. Ph.D. Professor of American Cultural History, Hisotry of Disability, and American Sign Language at the Iowa College of Liberal Science. Former Smithsonian Institutional Postdoctoral Fellow. The University of Chicago Press: Defective in the Land: Disability and American Immigration in the Age of Eugenics. 2016 ) // ONW </w:t>
      </w:r>
    </w:p>
    <w:p xmlns:wp14="http://schemas.microsoft.com/office/word/2010/wordml" w:rsidRPr="001641E7" w:rsidR="001860AB" w:rsidP="001860AB" w:rsidRDefault="001860AB" w14:paraId="1F3569B4" wp14:textId="77777777">
      <w:pPr>
        <w:spacing w:line="240" w:lineRule="auto"/>
        <w:jc w:val="both"/>
        <w:rPr>
          <w:sz w:val="16"/>
        </w:rPr>
      </w:pPr>
      <w:r w:rsidRPr="001641E7">
        <w:rPr>
          <w:sz w:val="16"/>
        </w:rPr>
        <w:t xml:space="preserve">In March 1905, Domenico Rocco Vozzo, a 35-year-old Italian immigrant, was puzzled to find himself barred from entering the country at the port of Boston. Vozzo was a "bird of passage," a migrant worker who in tended to earn some money and then return to Italy. This was his second trip to the United States, and he had encountered no difficulty his first time three years earlier. The medical inspector certified him for "debility," and he was excluded as likely to become a public charge. Vozzo retained an attorney who explained in his appeal that Vozzo was strong, robust, and healthy. In fact, he "looks perfectly healthy below the head," but has a "curiously shaped head, and his skin looks rather white, almost bleached, and his ears are quite thin." He had never been ill, had always worked, and during his recent two-year sojourn in the United States had fully supported himself while saving money. He brought with him twenty dollars in cash and had friends who filed affidavits on his behalf. The Commissioner at the Boston station, however, recommended against admission and sent to the Secretary this evidence: "I enclose his picture which I think will con vince you that he is not a desirable acquisition." Vozzo was deported.20 </w:t>
      </w:r>
      <w:r w:rsidRPr="001641E7">
        <w:rPr>
          <w:rStyle w:val="StyleUnderline"/>
        </w:rPr>
        <w:t>The principle that persons of abnormal appearance were not "desirable acquisitions" was not universally held nor consistently applied.</w:t>
      </w:r>
      <w:r w:rsidRPr="001641E7">
        <w:rPr>
          <w:sz w:val="16"/>
        </w:rPr>
        <w:t xml:space="preserve"> For example, when Abraham Hoffman, a twenty-five-year-old tailor with a prosperous brother working in the same trade in New York, was ruled likely to become a public charge by the immigration board because of his curved spine, his attorney labeled this assumption "ridiculous and ab surd." "The axiom," he continued, </w:t>
      </w:r>
      <w:r w:rsidRPr="001641E7">
        <w:rPr>
          <w:rStyle w:val="StyleUnderline"/>
        </w:rPr>
        <w:t>"that one who is unfortunate enough to suffer from a certain infirmity, is likely for that reason alone, to become a public charge, is entirely new to us." W</w:t>
      </w:r>
      <w:r w:rsidRPr="001641E7">
        <w:rPr>
          <w:sz w:val="16"/>
        </w:rPr>
        <w:t xml:space="preserve">arming to the subject, </w:t>
      </w:r>
      <w:r w:rsidRPr="001641E7">
        <w:rPr>
          <w:rStyle w:val="StyleUnderline"/>
        </w:rPr>
        <w:t>the attorney asked, "Are we living in this enlightened Twentieth Century where everyone is supposed to be given a fair opportunity, or are we going back to the times of the Salem witch-craft, when, because a woman was old and afflicted with a high back (spinal curvature), she was considered and treated as a witch?</w:t>
      </w:r>
      <w:r w:rsidRPr="001641E7">
        <w:rPr>
          <w:sz w:val="16"/>
        </w:rPr>
        <w:t xml:space="preserve"> ... The immigrants affliction can in no wise affect his earning capacity as a tailor." The Commissioner at Ellis was torn. The evidence on the basis of appearance was conflicting. On the one hand, visually "the spinal curvature for which he is certified is quite obvious." On the other, "I may state in appellant's behalf, that he is a man of considerable intelligence, is very well dressed, and came as a second cabin passenger." With appearance working both against and in favor of the immigrant, the Commissioner made the unusual decision to forward the case files to Washington without recommendation. In his summary for the Secretary, the Commissioner General re-emphasized the immigrant's appearance: "The Commissioner states that the alien is intelligent looking and is well dressed; he came in second cabin." In this case, the positive aspects of his appearance and his class status trumped the negative appearance of his disability. The precise number of those turned back for physical and mental defects each year is difficult to pin down. </w:t>
      </w:r>
      <w:r w:rsidRPr="001641E7">
        <w:rPr>
          <w:rStyle w:val="StyleUnderline"/>
        </w:rPr>
        <w:t>Until 1908, exclusions based on physical defects were mixed with nondefectives in the category of "likely to become a public charge." After 1908, rejected immigrants were counted in the category of "mental or physical defective" if they were deemed defective but not likely to become public charges, and counted in the "public charge" category if they were determined to be both defective and potential paupers</w:t>
      </w:r>
      <w:r w:rsidRPr="001641E7">
        <w:rPr>
          <w:sz w:val="16"/>
        </w:rPr>
        <w:t xml:space="preserve">.22 In any case, taken together, </w:t>
      </w:r>
      <w:r w:rsidRPr="001641E7">
        <w:rPr>
          <w:rStyle w:val="StyleUnderline"/>
        </w:rPr>
        <w:t>exclusions in both categories grew considerably,</w:t>
      </w:r>
      <w:r w:rsidRPr="001641E7">
        <w:rPr>
          <w:sz w:val="16"/>
        </w:rPr>
        <w:t xml:space="preserve"> if erratically</w:t>
      </w:r>
      <w:r w:rsidRPr="001641E7">
        <w:rPr>
          <w:rStyle w:val="StyleUnderline"/>
        </w:rPr>
        <w:t xml:space="preserve">, over the years. </w:t>
      </w:r>
      <w:r w:rsidRPr="001641E7">
        <w:rPr>
          <w:sz w:val="16"/>
        </w:rPr>
        <w:t xml:space="preserve">In 1895, 1,720 were excluded, or .6 percent of all immigrants. By 1905, the number excluded had increased to just over 8,000, or .7 percent of all immigrants. And in 1910, 16,000 or 1.6 percent were excluded. Due to wartime disruptions, the numbers during and just after World War One fluctuated widely, making useful comparisons difficult.23 These numbers are all likely to be just the tip of the iceberg, however. Those who arrived at American shores to be inspected had already been through several screens. First, many would be deterred by the general in accessibility of transportation. Second, since American immigration laws were widely advertised and easily available to people interested in immigrating, a significant number must have decided not to risk the journey and the expense knowing they might be turned back. Third, </w:t>
      </w:r>
      <w:r w:rsidRPr="001641E7">
        <w:rPr>
          <w:rStyle w:val="StyleUnderline"/>
        </w:rPr>
        <w:t>American law required ship captains to examine all passengers and certify that none appeared to be mentally defective. The manifest was to describe "the immigrant's condition of health mentally and physically, and whether deformed or crippled, and if so, from what cause.</w:t>
      </w:r>
      <w:r w:rsidRPr="001641E7">
        <w:rPr>
          <w:sz w:val="16"/>
        </w:rPr>
        <w:t xml:space="preserve">"24 </w:t>
      </w:r>
      <w:r w:rsidRPr="001641E7">
        <w:rPr>
          <w:b/>
          <w:sz w:val="16"/>
        </w:rPr>
        <w:t xml:space="preserve">Fourth, </w:t>
      </w:r>
      <w:r w:rsidRPr="001641E7">
        <w:rPr>
          <w:rStyle w:val="StyleUnderline"/>
        </w:rPr>
        <w:t xml:space="preserve">ships were required to return rejected immigrants at no charge and pay a fine for each, and if the immigrant was admitted but later discovered to have an excludable disability that initially passed unnoticed, they could be deported up to three </w:t>
      </w:r>
      <w:r w:rsidRPr="001641E7">
        <w:rPr>
          <w:rStyle w:val="StyleUnderline"/>
        </w:rPr>
        <w:lastRenderedPageBreak/>
        <w:t>years later at the expense of the company. Shipping companies therefore had strong incentives to refuse passage to anyone they thought unlikely to get by the inspectors, and ship captains became, in effect, an unofficial arm of the immigration service.</w:t>
      </w:r>
      <w:r w:rsidRPr="001641E7">
        <w:rPr>
          <w:sz w:val="16"/>
        </w:rPr>
        <w:t xml:space="preserve">25 Finally, </w:t>
      </w:r>
      <w:r w:rsidRPr="001641E7">
        <w:rPr>
          <w:rStyle w:val="StyleUnderline"/>
        </w:rPr>
        <w:t xml:space="preserve">ticket agents, who were stationed throughout inland Europe, also became inspectors, because they were fined by the shipping companies if they sold tickets to anyone who was rejected when they tried to board the ship. The superintendent of immigration in 1894 noted approvingly that steamship lines instructed their agents to refuse tickets to "the blind, deaf and dumb, and crippled per sons." </w:t>
      </w:r>
      <w:r w:rsidRPr="001641E7">
        <w:rPr>
          <w:sz w:val="16"/>
        </w:rPr>
        <w:t xml:space="preserve">There is good reason, then, to suppose that those turned away at the borders were a small minority of those who would have emigrated to America but were deterred because of disability. A federal commission in 1911 estimated that about ten times as many were refused transportation for medical reasons as were barred at U.S. ports. 26 In 1924, a new quota system was instituted, based on national origin, that severely limited immigration from southern and eastern Europe. In the debate leading up to this legislation, disability figured prominently. </w:t>
      </w:r>
      <w:r w:rsidRPr="001641E7">
        <w:rPr>
          <w:rStyle w:val="StyleUnderline"/>
        </w:rPr>
        <w:t>Quota advocates warned that particular nationalities were disproportionately prone to be mentally defective. Rhetoric about "the slow-witted Slav," the poor physique of Jews, the "neurotic condition of our Jewish immigrants," and the "degenerate and psychopathic types, which are so conspicuous and numerous among the immigrants," was pervasive</w:t>
      </w:r>
      <w:r w:rsidRPr="001641E7">
        <w:rPr>
          <w:sz w:val="16"/>
        </w:rPr>
        <w:t xml:space="preserve">.27 </w:t>
      </w:r>
      <w:r w:rsidRPr="001641E7">
        <w:rPr>
          <w:rStyle w:val="StyleUnderline"/>
        </w:rPr>
        <w:t>Restrictionists emphasized the inferior appearance of recent immigrants. One avowed that "the physiognomy of certain groups unmistakably proclaims inferiority of type." When he observed immigrants, he saw that "in every face there was something wrong. There were so many sugar-loaf heads, moon-faces, slit mouths, lantern-jaws, and goose-bill noses that one might imagine a malicious jinn had amused himself by casting human beings in a set of skew-molds discarded by the Creator." Most were physically inadequate in some way: "South Europeans run to low stature. A gang of Italian navvies filing along the street present, by their dwarfishness, a curious contrast to other people. The Portuguese, the Greeks, and the Syrians are, from our point of view, undersized. The Hebrew immigrants are very poor in physique ... the polar opposite of our pioneer breed."</w:t>
      </w:r>
      <w:r w:rsidRPr="001641E7">
        <w:rPr>
          <w:sz w:val="16"/>
        </w:rPr>
        <w:t xml:space="preserve">28 </w:t>
      </w:r>
    </w:p>
    <w:p xmlns:wp14="http://schemas.microsoft.com/office/word/2010/wordml" w:rsidR="001860AB" w:rsidP="001860AB" w:rsidRDefault="001860AB" w14:paraId="236BE05A" wp14:textId="77777777">
      <w:pPr>
        <w:pStyle w:val="Heading3"/>
      </w:pPr>
      <w:r>
        <w:lastRenderedPageBreak/>
        <w:t>I: Epistemic Colonization</w:t>
      </w:r>
    </w:p>
    <w:p xmlns:wp14="http://schemas.microsoft.com/office/word/2010/wordml" w:rsidRPr="00C2398C" w:rsidR="001860AB" w:rsidP="001860AB" w:rsidRDefault="001860AB" w14:paraId="4BB277C9" wp14:textId="77777777">
      <w:pPr>
        <w:pStyle w:val="Heading4"/>
        <w:rPr>
          <w:rFonts w:cs="Arial"/>
        </w:rPr>
      </w:pPr>
      <w:r>
        <w:rPr>
          <w:rFonts w:cs="Arial"/>
        </w:rPr>
        <w:t>Overlooking disability is a form of epistemic coloniality</w:t>
      </w:r>
    </w:p>
    <w:p xmlns:wp14="http://schemas.microsoft.com/office/word/2010/wordml" w:rsidRPr="00A570B7" w:rsidR="001860AB" w:rsidP="001860AB" w:rsidRDefault="001860AB" w14:paraId="74651959" wp14:textId="77777777">
      <w:r w:rsidRPr="000E5450">
        <w:rPr>
          <w:rStyle w:val="Style13ptBold"/>
          <w:u w:val="none"/>
        </w:rPr>
        <w:t>Kola ́rˇova &amp; Wiedlack 16</w:t>
      </w:r>
      <w:r w:rsidRPr="00A570B7">
        <w:t>(Katerˇina</w:t>
      </w:r>
      <w:r>
        <w:t>,</w:t>
      </w:r>
      <w:r w:rsidRPr="00A570B7">
        <w:t xml:space="preserve"> Katharina M.</w:t>
      </w:r>
      <w:r>
        <w:t>, Ph.D in Anglo-American Literary Studies and professor at Charles University in Prague. Research Fellow at the Department for English and American Studies at the University of Vienna.</w:t>
      </w:r>
      <w:r w:rsidRPr="00A570B7">
        <w:t xml:space="preserve"> Guest Editors’ Introduction: Crip Notes on the Idea of Development</w:t>
      </w:r>
      <w:r>
        <w:t xml:space="preserve"> 2016</w:t>
      </w:r>
      <w:r w:rsidRPr="00A570B7">
        <w:t xml:space="preserve">) // ONW </w:t>
      </w:r>
    </w:p>
    <w:p xmlns:wp14="http://schemas.microsoft.com/office/word/2010/wordml" w:rsidRPr="00C2398C" w:rsidR="001860AB" w:rsidP="001860AB" w:rsidRDefault="001860AB" w14:paraId="4C0C65BB" wp14:textId="77777777">
      <w:pPr>
        <w:pStyle w:val="textbox"/>
        <w:spacing w:before="0" w:beforeAutospacing="0" w:after="0" w:afterAutospacing="0" w:line="194" w:lineRule="atLeast"/>
        <w:rPr>
          <w:rFonts w:ascii="Arial" w:hAnsi="Arial" w:cs="Arial"/>
          <w:sz w:val="19"/>
          <w:szCs w:val="19"/>
        </w:rPr>
      </w:pPr>
      <w:r w:rsidRPr="00C2398C">
        <w:rPr>
          <w:rStyle w:val="StyleUnderline"/>
          <w:rFonts w:ascii="Arial" w:hAnsi="Arial" w:cs="Arial"/>
        </w:rPr>
        <w:t xml:space="preserve">Cripping Development refocuses the debate on neo-coloniality and global exploitation by taking disability as a critical vantage point from which to question the effects of development policies and practices. </w:t>
      </w:r>
      <w:r w:rsidRPr="00C2398C">
        <w:rPr>
          <w:rFonts w:ascii="Arial" w:hAnsi="Arial" w:cs="Arial"/>
          <w:sz w:val="16"/>
        </w:rPr>
        <w:t xml:space="preserve">The authors published herein examine the effects of these policies and practices on the lives of disabled people and communities. They present disability as ‘interarticulated’ (Chen 2015) with other categories that hierarchically organise notions of human worth. These interarticulations are key to understanding modern development and coloniality past and present. </w:t>
      </w:r>
      <w:r w:rsidRPr="00C2398C">
        <w:rPr>
          <w:rStyle w:val="StyleUnderline"/>
          <w:rFonts w:ascii="Arial" w:hAnsi="Arial" w:cs="Arial"/>
        </w:rPr>
        <w:t>Disability needs to be recognised as a central power differential</w:t>
      </w:r>
      <w:r w:rsidRPr="00C2398C">
        <w:rPr>
          <w:rFonts w:ascii="Arial" w:hAnsi="Arial" w:cs="Arial"/>
          <w:sz w:val="16"/>
        </w:rPr>
        <w:t xml:space="preserve">, especially in the Global South and post-Soviet and post-socialist East and Central Europe. It also needs to be understood as one of the ideological tools of what Mignolo terms ‘global coloniality’, which is the reproduction of the power imbalance between the Global North and the Global South and between the global West/East. </w:t>
      </w:r>
      <w:r w:rsidRPr="00C2398C">
        <w:rPr>
          <w:rStyle w:val="StyleUnderline"/>
          <w:rFonts w:ascii="Arial" w:hAnsi="Arial" w:cs="Arial"/>
        </w:rPr>
        <w:t>The articles in this issue place the multifaceted and intersectional experiences of disability centre stage</w:t>
      </w:r>
      <w:r w:rsidRPr="00C2398C">
        <w:rPr>
          <w:rFonts w:ascii="Arial" w:hAnsi="Arial" w:cs="Arial"/>
          <w:sz w:val="16"/>
        </w:rPr>
        <w:t xml:space="preserve">. Just as importantly, </w:t>
      </w:r>
      <w:r w:rsidRPr="00C2398C">
        <w:rPr>
          <w:rStyle w:val="StyleUnderline"/>
          <w:rFonts w:ascii="Arial" w:hAnsi="Arial" w:cs="Arial"/>
        </w:rPr>
        <w:t xml:space="preserve">they demonstrate how </w:t>
      </w:r>
      <w:r w:rsidRPr="00C2398C">
        <w:rPr>
          <w:rFonts w:ascii="Arial" w:hAnsi="Arial" w:cs="Arial"/>
          <w:b/>
          <w:highlight w:val="yellow"/>
          <w:u w:val="single"/>
        </w:rPr>
        <w:t xml:space="preserve">overlooking disability in </w:t>
      </w:r>
      <w:r w:rsidRPr="00C2398C">
        <w:rPr>
          <w:rFonts w:ascii="Arial" w:hAnsi="Arial" w:cs="Arial"/>
          <w:b/>
          <w:u w:val="single"/>
        </w:rPr>
        <w:t>the</w:t>
      </w:r>
      <w:r w:rsidRPr="00C2398C">
        <w:rPr>
          <w:rFonts w:ascii="Arial" w:hAnsi="Arial" w:cs="Arial"/>
          <w:b/>
          <w:highlight w:val="yellow"/>
          <w:u w:val="single"/>
        </w:rPr>
        <w:t xml:space="preserve"> intersectional equation reinforces persistent epistemic coloniality</w:t>
      </w:r>
      <w:r w:rsidRPr="00C2398C">
        <w:rPr>
          <w:rFonts w:ascii="Arial" w:hAnsi="Arial" w:cs="Arial"/>
          <w:sz w:val="16"/>
          <w:highlight w:val="yellow"/>
        </w:rPr>
        <w:t>.</w:t>
      </w:r>
      <w:r w:rsidRPr="00C2398C">
        <w:rPr>
          <w:rFonts w:ascii="Arial" w:hAnsi="Arial" w:cs="Arial"/>
          <w:b/>
          <w:highlight w:val="yellow"/>
          <w:u w:val="single"/>
        </w:rPr>
        <w:t xml:space="preserve"> By ignoring the signiﬁcance of disability </w:t>
      </w:r>
      <w:r w:rsidRPr="00C2398C">
        <w:rPr>
          <w:rFonts w:ascii="Arial" w:hAnsi="Arial" w:cs="Arial"/>
          <w:b/>
          <w:u w:val="single"/>
        </w:rPr>
        <w:t>we</w:t>
      </w:r>
      <w:r w:rsidRPr="00C2398C">
        <w:rPr>
          <w:rFonts w:ascii="Arial" w:hAnsi="Arial" w:cs="Arial"/>
          <w:b/>
          <w:highlight w:val="yellow"/>
          <w:u w:val="single"/>
        </w:rPr>
        <w:t xml:space="preserve"> undermine the critique of much current post- and de-colonial work</w:t>
      </w:r>
      <w:r w:rsidRPr="00C2398C">
        <w:rPr>
          <w:rFonts w:ascii="Arial" w:hAnsi="Arial" w:cs="Arial"/>
          <w:sz w:val="16"/>
        </w:rPr>
        <w:t>. Cripping Development is the outcome and extension of discussions initiated at ‘De-colonising Disability Theory: Cripping Development’, a conference held in Prague in 2013.1 These discussions confronted the historical present by interrogating the legacies of colonialism. Choosing Prague for the conference location, a place where development’s (false6 and cruel) promises are still evidenced, was meant to inspire discussions about differences and afﬁnities between the post-colonial and post-social contexts..</w:t>
      </w:r>
    </w:p>
    <w:p xmlns:wp14="http://schemas.microsoft.com/office/word/2010/wordml" w:rsidR="001860AB" w:rsidP="001860AB" w:rsidRDefault="001860AB" w14:paraId="738610EB" wp14:textId="77777777"/>
    <w:p xmlns:wp14="http://schemas.microsoft.com/office/word/2010/wordml" w:rsidR="001860AB" w:rsidP="001860AB" w:rsidRDefault="001860AB" w14:paraId="2F83C551" wp14:textId="77777777">
      <w:pPr>
        <w:pStyle w:val="Heading3"/>
      </w:pPr>
      <w:r>
        <w:lastRenderedPageBreak/>
        <w:t>I: Domestic Migrants</w:t>
      </w:r>
    </w:p>
    <w:p xmlns:wp14="http://schemas.microsoft.com/office/word/2010/wordml" w:rsidRPr="00C2398C" w:rsidR="001860AB" w:rsidP="001860AB" w:rsidRDefault="001860AB" w14:paraId="7AF90694" wp14:textId="77777777">
      <w:pPr>
        <w:pStyle w:val="Heading4"/>
        <w:rPr>
          <w:rFonts w:cs="Arial"/>
        </w:rPr>
      </w:pPr>
      <w:r w:rsidRPr="00C2398C">
        <w:rPr>
          <w:rFonts w:cs="Arial"/>
        </w:rPr>
        <w:t xml:space="preserve">Labor of immigrant women allows for corporations to profit off the backs of these workers as well as the preservation of the traditional conservative favored household. </w:t>
      </w:r>
    </w:p>
    <w:p xmlns:wp14="http://schemas.microsoft.com/office/word/2010/wordml" w:rsidRPr="00C2398C" w:rsidR="001860AB" w:rsidP="001860AB" w:rsidRDefault="001860AB" w14:paraId="2FDBCABF" wp14:textId="77777777">
      <w:r w:rsidRPr="00906D41">
        <w:rPr>
          <w:rStyle w:val="Style13ptBold"/>
        </w:rPr>
        <w:t>Chang 03</w:t>
      </w:r>
      <w:r w:rsidRPr="00C2398C">
        <w:rPr>
          <w:b/>
        </w:rPr>
        <w:t xml:space="preserve"> </w:t>
      </w:r>
      <w:r w:rsidRPr="00C2398C">
        <w:t xml:space="preserve">(Grace. Professor of social science research methods and ethics, women resisting and surviving violence in all forms, grassroots, transnational and feminism social justice movements and Founder of WORD (Women of Color Revolutionary Dialogues). Disposable Domestics: Immigrant women workers in the global economy. 2003)///ONW </w:t>
      </w:r>
    </w:p>
    <w:p xmlns:wp14="http://schemas.microsoft.com/office/word/2010/wordml" w:rsidRPr="00C2398C" w:rsidR="001860AB" w:rsidP="001860AB" w:rsidRDefault="001860AB" w14:paraId="49E1073A" wp14:textId="77777777">
      <w:pPr>
        <w:rPr>
          <w:sz w:val="16"/>
        </w:rPr>
      </w:pPr>
      <w:r w:rsidRPr="00C2398C">
        <w:rPr>
          <w:sz w:val="16"/>
        </w:rPr>
        <w:t>Today’s opponent of immigration argue that the growing number of immigrants on US soil – many more of whom are persons of color than at the turn of the 20</w:t>
      </w:r>
      <w:r w:rsidRPr="00C2398C">
        <w:rPr>
          <w:sz w:val="16"/>
          <w:vertAlign w:val="superscript"/>
        </w:rPr>
        <w:t>th</w:t>
      </w:r>
      <w:r w:rsidRPr="00C2398C">
        <w:rPr>
          <w:sz w:val="16"/>
        </w:rPr>
        <w:t xml:space="preserve"> century- threatens to turn American into a multicultural society. </w:t>
      </w:r>
      <w:r w:rsidRPr="00906D41">
        <w:rPr>
          <w:rStyle w:val="StyleUnderline"/>
        </w:rPr>
        <w:t xml:space="preserve">Given the demand for cheap female labor, the government is not about to ban immigration. However, </w:t>
      </w:r>
      <w:r w:rsidRPr="00C2398C">
        <w:rPr>
          <w:b/>
          <w:u w:val="single"/>
        </w:rPr>
        <w:t>fears about the cost and cultural impact of immigration help to explain both the government’s resistance to family formation and settlement by immigrant workers, as well as the popularity of Americanization</w:t>
      </w:r>
      <w:r w:rsidRPr="00906D41">
        <w:rPr>
          <w:rStyle w:val="StyleUnderline"/>
        </w:rPr>
        <w:t xml:space="preserve">, English-only, parenting, and other resocialization programs mounted by the government over the years. </w:t>
      </w:r>
      <w:r w:rsidRPr="00C2398C">
        <w:rPr>
          <w:sz w:val="16"/>
        </w:rPr>
        <w:t>Whatever benefits these programs yielded, they also encouraged immigrant families to give up their traditional culture in favor of white middle-class norms</w:t>
      </w:r>
      <w:r w:rsidRPr="00906D41">
        <w:rPr>
          <w:rStyle w:val="StyleUnderline"/>
        </w:rPr>
        <w:t xml:space="preserve">. </w:t>
      </w:r>
      <w:r w:rsidRPr="00C2398C">
        <w:rPr>
          <w:b/>
          <w:u w:val="single"/>
        </w:rPr>
        <w:t>The burden of the conversion still falls on immigrant women who are expected to socialize their children to the “American Way.”</w:t>
      </w:r>
      <w:r w:rsidRPr="00906D41">
        <w:rPr>
          <w:rStyle w:val="StyleUnderline"/>
        </w:rPr>
        <w:t xml:space="preserve"> </w:t>
      </w:r>
      <w:r w:rsidRPr="00C2398C">
        <w:rPr>
          <w:sz w:val="16"/>
        </w:rPr>
        <w:t xml:space="preserve">Nor does Chang dodge the troublesome tension between women from different classes… While feminists and student of immigration and women’s studies often evade the issue, Change makes it clear that the policies that harm poor and working-class women often benefit their white middle- and upper-class counterparts as well as business firms and the state. For example, many white middle- and upper-class individuals either demonized poor immigrants and women of color as “bad mothers” and “welfare queens” are sat by silently as others used these negative stereotypes  to build support for “reforming” welfare. At the same time, these affluent families frequently hired poor immigrants and poor women of color to care for their children and parents at home or in an institutional setting. Likewise for employers who hired former welfare recipients to work in their resaurants, hospitals, shops, and offices. </w:t>
      </w:r>
      <w:r w:rsidRPr="00906D41">
        <w:rPr>
          <w:rStyle w:val="StyleUnderline"/>
        </w:rPr>
        <w:t>Chang believes that the middle-class household’s need for the services of poor women and poor women’s need for the job many stem, at leas in part, from restrictive domestic policies: social program cutbacks and the overall lack of family support available to all working women in the United States. However, the outcomes vary widely by class.</w:t>
      </w:r>
      <w:r w:rsidRPr="00C2398C">
        <w:rPr>
          <w:sz w:val="16"/>
        </w:rPr>
        <w:t xml:space="preserve"> The career advancement of many middle- and upper- class women depends heavily on the availability of immigrant women to clean their homes and to care for their dependents</w:t>
      </w:r>
      <w:r w:rsidRPr="00906D41">
        <w:rPr>
          <w:rStyle w:val="StyleUnderline"/>
        </w:rPr>
        <w:t xml:space="preserve">. </w:t>
      </w:r>
      <w:r w:rsidRPr="00C2398C">
        <w:rPr>
          <w:b/>
          <w:u w:val="single"/>
        </w:rPr>
        <w:t>The labor of poor women also allows middle’ and upper-class views to add significantly to the household income. The increased income, combined with gender conflicts over housework, helps to preserve these families as traditional two-parent households favored by the social conservatives.</w:t>
      </w:r>
      <w:r w:rsidRPr="00C2398C">
        <w:rPr>
          <w:sz w:val="16"/>
        </w:rPr>
        <w:t xml:space="preserve"> Meanwhile, lacking access to welfare state benefits, the requisites of economic survival effectively force poor women to work long hours ( often for low pay) in the homes of the affluent. The income helps. But the job heightens the stress for poor women who work, who worry about the supervision of their own children – due largely to the lack of affordable quality child care</w:t>
      </w:r>
      <w:r w:rsidRPr="00906D41">
        <w:rPr>
          <w:rStyle w:val="StyleUnderline"/>
        </w:rPr>
        <w:t xml:space="preserve">. The economic coercion built into US public policy leaves poor immigrant women, many of whom are single mothers, with little or no time to tend to their own homes, to care for their own children of parents, or to pursue the education or training that might lift them out of poverty. </w:t>
      </w:r>
      <w:r w:rsidRPr="00C2398C">
        <w:rPr>
          <w:b/>
          <w:u w:val="single"/>
        </w:rPr>
        <w:t>Both welfare and immigration policies also contain the racially coded messages that imply that it is okay, or even beneficial, for government programs to force immigrant women to forgot full-time mothering in favor of employment</w:t>
      </w:r>
      <w:r w:rsidRPr="00C2398C">
        <w:rPr>
          <w:sz w:val="16"/>
        </w:rPr>
        <w:t xml:space="preserve">. Indeed, many social conservatives regard single mothers, by definition, as ineffective and irresponsible adults whose parents may even bring harm to their children. These advocates of “family values” support tax and spending policies the encourage white and middle-class women to stay home, while forcing poor women to work outside the home. Indeed, they regard the alter as better suited for low-paid labor than for mothering. Some social conservatives now call for removing poor children, especially children on welfare, from their mothers’ care, placing them in foster care and groups homes, if not orphanges. </w:t>
      </w:r>
      <w:r w:rsidRPr="00906D41">
        <w:rPr>
          <w:rStyle w:val="StyleUnderline"/>
        </w:rPr>
        <w:t>Chang makes it very clear throughout this book that</w:t>
      </w:r>
      <w:r w:rsidRPr="00C2398C">
        <w:rPr>
          <w:b/>
          <w:u w:val="single"/>
        </w:rPr>
        <w:t xml:space="preserve"> both immigration and welfare policies have placed Congress and the White House squarely on the side of corporations seeking to increase their </w:t>
      </w:r>
      <w:r w:rsidRPr="00C2398C">
        <w:rPr>
          <w:b/>
          <w:u w:val="single"/>
        </w:rPr>
        <w:lastRenderedPageBreak/>
        <w:t>profits on the backs of poor women and children</w:t>
      </w:r>
      <w:r w:rsidRPr="00906D41">
        <w:rPr>
          <w:rStyle w:val="StyleUnderline"/>
        </w:rPr>
        <w:t>.</w:t>
      </w:r>
      <w:r w:rsidRPr="00C2398C">
        <w:rPr>
          <w:sz w:val="16"/>
        </w:rPr>
        <w:t xml:space="preserve"> Despite this strong critique, Change does not end on a pessimistic note. First, she believes that governmental policy should recognize and reward women for the service they provide through both their productive and reproductive labor. Access to such resources would not only ease the economic hardships faced by poor immigrant women, but would also provide them with a degree, however limited, of autonomy and control over their lives. Chang also reports that poor women are not taking the pain and punishment lying down. While many immigrants internalize the popular but growing negative stereotypes of themselves as “invaders and parasites,” a growing number of women are working of personal and social change. Despite its low pay, employment has led immigrant women to become more comfortable participating in wider society women in the United States and throughout the world, large numbers of immigrant women have become more involved in their own community affairs, joined mainstream unions, participated in living-wage campaigns, created community-based organization, and otherwise found individual and collective ways to fightback. Like the women who preceded them, they understand that neither social conditions not social policy can change for the better unless pressed from below. </w:t>
      </w:r>
    </w:p>
    <w:p xmlns:wp14="http://schemas.microsoft.com/office/word/2010/wordml" w:rsidRPr="00C2398C" w:rsidR="001860AB" w:rsidP="001860AB" w:rsidRDefault="001860AB" w14:paraId="79272664" wp14:textId="77777777">
      <w:pPr>
        <w:pStyle w:val="Heading4"/>
        <w:rPr>
          <w:rFonts w:cs="Arial"/>
        </w:rPr>
      </w:pPr>
      <w:r w:rsidRPr="00C2398C">
        <w:rPr>
          <w:rFonts w:cs="Arial"/>
        </w:rPr>
        <w:t xml:space="preserve">Various reform programs imitate the sterilization of women in effort to minimize immigrant families. </w:t>
      </w:r>
    </w:p>
    <w:p xmlns:wp14="http://schemas.microsoft.com/office/word/2010/wordml" w:rsidRPr="00C2398C" w:rsidR="001860AB" w:rsidP="001860AB" w:rsidRDefault="001860AB" w14:paraId="729AC295" wp14:textId="77777777">
      <w:r w:rsidRPr="003230CC">
        <w:rPr>
          <w:rStyle w:val="Style13ptBold"/>
        </w:rPr>
        <w:t>Chang 03</w:t>
      </w:r>
      <w:r w:rsidRPr="00C2398C">
        <w:rPr>
          <w:b/>
        </w:rPr>
        <w:t xml:space="preserve"> </w:t>
      </w:r>
      <w:r w:rsidRPr="00C2398C">
        <w:t xml:space="preserve">(Grace. Professor of social science research methods and ethics, women resisting and surviving violence in all forms, grassroots, transnational and feminism social justice movements and Founder of WORD (Women of Color Revolutionary Dialogues). Disposable Domestics: Immigrant women workers in the global economy. 2003)///ONW </w:t>
      </w:r>
    </w:p>
    <w:p xmlns:wp14="http://schemas.microsoft.com/office/word/2010/wordml" w:rsidRPr="00C2398C" w:rsidR="001860AB" w:rsidP="001860AB" w:rsidRDefault="001860AB" w14:paraId="24FC6C6F" wp14:textId="77777777">
      <w:pPr>
        <w:tabs>
          <w:tab w:val="left" w:pos="7785"/>
        </w:tabs>
        <w:rPr>
          <w:b/>
          <w:u w:val="single"/>
        </w:rPr>
      </w:pPr>
      <w:r w:rsidRPr="00C2398C">
        <w:rPr>
          <w:sz w:val="14"/>
        </w:rPr>
        <w:t xml:space="preserve">Throughout US history, </w:t>
      </w:r>
      <w:r w:rsidRPr="00906D41">
        <w:rPr>
          <w:rStyle w:val="StyleUnderline"/>
        </w:rPr>
        <w:t>immigration and welfare law have been formulated to address these “problems,” and the “solutions” have followed certain predictable models</w:t>
      </w:r>
      <w:r w:rsidRPr="00C2398C">
        <w:rPr>
          <w:sz w:val="14"/>
        </w:rPr>
        <w:t xml:space="preserve">. First, the </w:t>
      </w:r>
      <w:r w:rsidRPr="00906D41">
        <w:rPr>
          <w:rStyle w:val="StyleUnderline"/>
        </w:rPr>
        <w:t>migration and settlement of women have been directly prohibited in order to prevent the reproduction and formation of immigrant families</w:t>
      </w:r>
      <w:r w:rsidRPr="00C2398C">
        <w:rPr>
          <w:sz w:val="14"/>
        </w:rPr>
        <w:t xml:space="preserve">. In addition, </w:t>
      </w:r>
      <w:r w:rsidRPr="00906D41">
        <w:rPr>
          <w:rStyle w:val="StyleUnderline"/>
        </w:rPr>
        <w:t>women of color and immigration women have historically been subjected to enforced sterilization and contraceptive testing to effectively limit their reproduction.</w:t>
      </w:r>
      <w:r w:rsidRPr="00C2398C">
        <w:rPr>
          <w:sz w:val="14"/>
        </w:rPr>
        <w:t xml:space="preserve"> Second, temporary or “guest” worker laws have provided for the important of male migrant contract laborers but prohibited their remaining in the country with miscegenation laws restricting the intermarriage of nonwhites with white citizens. Third, </w:t>
      </w:r>
      <w:r w:rsidRPr="00906D41">
        <w:rPr>
          <w:rStyle w:val="StyleUnderline"/>
        </w:rPr>
        <w:t>“</w:t>
      </w:r>
      <w:r w:rsidRPr="00C2398C">
        <w:rPr>
          <w:b/>
          <w:u w:val="single"/>
        </w:rPr>
        <w:t>reform” programs, often under the guise of “Americanization,” have been created to rid immigrants of their backwards ways and inculcate proper “American” values and habits</w:t>
      </w:r>
      <w:r w:rsidRPr="00906D41">
        <w:rPr>
          <w:rStyle w:val="StyleUnderline"/>
        </w:rPr>
        <w:t>.</w:t>
      </w:r>
      <w:r w:rsidRPr="00C2398C">
        <w:rPr>
          <w:sz w:val="14"/>
        </w:rPr>
        <w:t xml:space="preserve"> Often these have encompassed training or work-relief programs to prepare immigrant women and children for their ultimate roles in US industrial society as menial, low-wage workers. Finally, </w:t>
      </w:r>
      <w:r w:rsidRPr="00C2398C">
        <w:rPr>
          <w:b/>
          <w:u w:val="single"/>
        </w:rPr>
        <w:t>immigrants have been refused the rights and benfits accorded to citizen workers and thus coerced into low-wage work</w:t>
      </w:r>
      <w:r w:rsidRPr="00C2398C">
        <w:rPr>
          <w:b/>
          <w:sz w:val="14"/>
        </w:rPr>
        <w:t>.</w:t>
      </w:r>
      <w:r w:rsidRPr="00C2398C">
        <w:rPr>
          <w:sz w:val="14"/>
        </w:rPr>
        <w:t xml:space="preserve"> Moreover, those viewed as unable to work or potentially welfare dependent have been excluded outright. All of these policies are aimed at the same objective: to capture the labor of immigrant men and women separate from their human needs or whose of their dependents. In essence, </w:t>
      </w:r>
      <w:r w:rsidRPr="00906D41">
        <w:rPr>
          <w:rStyle w:val="StyleUnderline"/>
        </w:rPr>
        <w:t xml:space="preserve">the goal of these laws and “reforms” is to extract the benefits of immigrants’ labor while minimizing or eliminating any obligations or costs, whether social of fiscal, to the “host” US society and state. </w:t>
      </w:r>
      <w:r w:rsidRPr="00C2398C">
        <w:rPr>
          <w:sz w:val="14"/>
        </w:rPr>
        <w:t xml:space="preserve">While </w:t>
      </w:r>
      <w:r w:rsidRPr="00906D41">
        <w:rPr>
          <w:rStyle w:val="StyleUnderline"/>
        </w:rPr>
        <w:t xml:space="preserve">it is easier to extract cheap labor from independent men </w:t>
      </w:r>
      <w:r w:rsidRPr="00C2398C">
        <w:rPr>
          <w:sz w:val="14"/>
        </w:rPr>
        <w:t>through temporary worker programs be recruiting single men, ensuring that they remain single, and ultimately outing them once they have served their purpose</w:t>
      </w:r>
      <w:r w:rsidRPr="00906D41">
        <w:rPr>
          <w:rStyle w:val="StyleUnderline"/>
        </w:rPr>
        <w:t>, it is more difficult to accomplish this extraction from women who bear and care for children. Instead, the state utilizing other methods such as the “Americanization</w:t>
      </w:r>
      <w:r w:rsidRPr="00C2398C">
        <w:rPr>
          <w:sz w:val="14"/>
        </w:rPr>
        <w:t xml:space="preserve">” programs, imposing cultural “rehabilitation” at the same time that work is required of the participants. Some form of each of the methods described above has been uses and is currently in use to deal with the dilemma of capturing immigrant women’s labor while limiting their social and biological reproduction. In some cases, these methods operate in much the same way that they always have; in other cases, it is less explicit. It can be argued, for example, that </w:t>
      </w:r>
      <w:r w:rsidRPr="00C2398C">
        <w:rPr>
          <w:b/>
          <w:u w:val="single"/>
        </w:rPr>
        <w:t xml:space="preserve">even though we no longer see the direct exclusion of women, and sterilization programs aimed at immigrant women and women </w:t>
      </w:r>
      <w:r w:rsidRPr="003F01F5">
        <w:rPr>
          <w:rStyle w:val="StyleUnderline"/>
        </w:rPr>
        <w:t>of color are more covert now, restriction of these women’s reproduction is accomplished through measures like Proposition 187 and the immigration law 1997. The</w:t>
      </w:r>
      <w:r w:rsidRPr="00C2398C">
        <w:rPr>
          <w:b/>
          <w:u w:val="single"/>
        </w:rPr>
        <w:t xml:space="preserve"> unspoken</w:t>
      </w:r>
      <w:r w:rsidRPr="00C2398C">
        <w:rPr>
          <w:sz w:val="14"/>
        </w:rPr>
        <w:t xml:space="preserve"> (or sometimes explicit) </w:t>
      </w:r>
      <w:r w:rsidRPr="00C2398C">
        <w:rPr>
          <w:b/>
          <w:u w:val="single"/>
        </w:rPr>
        <w:t xml:space="preserve">rationale of these measures is that denying basic needs will make it so difficult for immmigrants to raise a family that they will leave or be discouraged from having children. </w:t>
      </w:r>
    </w:p>
    <w:p xmlns:wp14="http://schemas.microsoft.com/office/word/2010/wordml" w:rsidRPr="00C2398C" w:rsidR="001860AB" w:rsidP="001860AB" w:rsidRDefault="001860AB" w14:paraId="57F4E5F4" wp14:textId="77777777">
      <w:pPr>
        <w:pStyle w:val="Heading4"/>
        <w:rPr>
          <w:rFonts w:cs="Arial"/>
        </w:rPr>
      </w:pPr>
      <w:r w:rsidRPr="00C2398C">
        <w:rPr>
          <w:rFonts w:cs="Arial"/>
        </w:rPr>
        <w:lastRenderedPageBreak/>
        <w:t>The state mediates conflicting demands of capitalism through the determination that white women are deserving of subsidies since they are to nurture the future workforce while others particularly immigrants should be sold out to cheap labor.</w:t>
      </w:r>
    </w:p>
    <w:p xmlns:wp14="http://schemas.microsoft.com/office/word/2010/wordml" w:rsidRPr="00C2398C" w:rsidR="001860AB" w:rsidP="001860AB" w:rsidRDefault="001860AB" w14:paraId="487E7423" wp14:textId="77777777">
      <w:r w:rsidRPr="003230CC">
        <w:rPr>
          <w:rStyle w:val="Style13ptBold"/>
        </w:rPr>
        <w:t>Chang 03</w:t>
      </w:r>
      <w:r w:rsidRPr="00C2398C">
        <w:rPr>
          <w:b/>
        </w:rPr>
        <w:t xml:space="preserve"> </w:t>
      </w:r>
      <w:r w:rsidRPr="00C2398C">
        <w:t xml:space="preserve">(Grace. Professor of social science research methods and ethics, women resisting and surviving violence in all forms, grassroots, transnational and feminism social justice movements and Founder of WORD (Women of Color Revolutionary Dialogues). Disposable Domestics: Immigrant women workers in the global economy. 2003)///ONW </w:t>
      </w:r>
    </w:p>
    <w:p xmlns:wp14="http://schemas.microsoft.com/office/word/2010/wordml" w:rsidRPr="00C2398C" w:rsidR="001860AB" w:rsidP="001860AB" w:rsidRDefault="001860AB" w14:paraId="09D38303" wp14:textId="77777777">
      <w:pPr>
        <w:tabs>
          <w:tab w:val="left" w:pos="7785"/>
        </w:tabs>
        <w:rPr>
          <w:sz w:val="16"/>
        </w:rPr>
      </w:pPr>
      <w:r w:rsidRPr="00C2398C">
        <w:rPr>
          <w:sz w:val="16"/>
        </w:rPr>
        <w:t xml:space="preserve">In </w:t>
      </w:r>
      <w:r w:rsidRPr="00C2398C">
        <w:rPr>
          <w:i/>
          <w:sz w:val="16"/>
        </w:rPr>
        <w:t xml:space="preserve">Regulating the Poor: the Functions of Public Welfare, </w:t>
      </w:r>
      <w:r w:rsidRPr="00C2398C">
        <w:rPr>
          <w:sz w:val="16"/>
        </w:rPr>
        <w:t xml:space="preserve">Frances Fox Piven and Richard Cloward argue that </w:t>
      </w:r>
      <w:r w:rsidRPr="00906D41">
        <w:rPr>
          <w:rStyle w:val="StyleUnderline"/>
        </w:rPr>
        <w:t>poverty policy and practice have historically been coupled with labor practice to accommodate local employers’ demands for low-wage labor.</w:t>
      </w:r>
      <w:r w:rsidRPr="00C2398C">
        <w:rPr>
          <w:sz w:val="16"/>
        </w:rPr>
        <w:t xml:space="preserve"> That is, poverty policy has been designed and implemented to serve two basic functions. In times of economic contraction, welfare can be expanded to quell or prevent civil unrest by unemployment masses. Or, in times of relative economic and political stability, </w:t>
      </w:r>
      <w:r w:rsidRPr="00906D41">
        <w:rPr>
          <w:rStyle w:val="StyleUnderline"/>
        </w:rPr>
        <w:t>welfare can be contracted to expel people form the rolls, theirs ensuring their availability to preform low-wage labor according to local needs.</w:t>
      </w:r>
      <w:r w:rsidRPr="00C2398C">
        <w:rPr>
          <w:sz w:val="16"/>
        </w:rPr>
        <w:t xml:space="preserve"> Piven and Cloward aptly describe this second function as “enforcing” low-wage work for impoverished people considered to be “able bodied,” regardless of age or sex. Socialist feminism Mimi Abramovitz refines Piven and Cloward’s thesis with regard to women in her book </w:t>
      </w:r>
      <w:r w:rsidRPr="00C2398C">
        <w:rPr>
          <w:i/>
          <w:sz w:val="16"/>
        </w:rPr>
        <w:t xml:space="preserve">Regulating the Lives of Women. </w:t>
      </w:r>
      <w:r w:rsidRPr="00C2398C">
        <w:rPr>
          <w:sz w:val="16"/>
        </w:rPr>
        <w:t xml:space="preserve">Abranovitz proposes that </w:t>
      </w:r>
      <w:r w:rsidRPr="00C2398C">
        <w:rPr>
          <w:b/>
          <w:u w:val="single"/>
        </w:rPr>
        <w:t>the welfare state mediate the conflicting demands of capitalism for women</w:t>
      </w:r>
      <w:r w:rsidRPr="00906D41">
        <w:rPr>
          <w:rStyle w:val="StyleUnderline"/>
        </w:rPr>
        <w:t xml:space="preserve"> to provide two functions: </w:t>
      </w:r>
      <w:r w:rsidRPr="00C2398C">
        <w:rPr>
          <w:b/>
          <w:u w:val="single"/>
        </w:rPr>
        <w:t>to remain in the home to reproduce and maintain the labor force, and to undertake traditionally “female” low-wage work in the paid labor force.</w:t>
      </w:r>
      <w:r w:rsidRPr="00C2398C">
        <w:rPr>
          <w:sz w:val="16"/>
        </w:rPr>
        <w:t xml:space="preserve"> Abramovitz argues that </w:t>
      </w:r>
      <w:r w:rsidRPr="00C2398C">
        <w:rPr>
          <w:b/>
          <w:u w:val="single"/>
        </w:rPr>
        <w:t xml:space="preserve">the state resolves this conflict by encouraging and subsidizing some women to remain home and nurture the current and future workforce while forcing others into into low-wage work. This division is achieved through patriarchal poverty policies or practices predicated on racist assumptions that </w:t>
      </w:r>
      <w:r w:rsidRPr="00906D41">
        <w:rPr>
          <w:rStyle w:val="StyleUnderline"/>
        </w:rPr>
        <w:t>some women</w:t>
      </w:r>
      <w:r w:rsidRPr="00C2398C">
        <w:rPr>
          <w:sz w:val="16"/>
        </w:rPr>
        <w:t xml:space="preserve"> </w:t>
      </w:r>
      <w:r w:rsidRPr="00906D41">
        <w:rPr>
          <w:rStyle w:val="StyleUnderline"/>
        </w:rPr>
        <w:t xml:space="preserve">(that is, white women) are fit to be mothers and homemakers and thus “deserve” subsidies allowing them to remain in the home. </w:t>
      </w:r>
    </w:p>
    <w:p xmlns:wp14="http://schemas.microsoft.com/office/word/2010/wordml" w:rsidR="001860AB" w:rsidP="001860AB" w:rsidRDefault="001860AB" w14:paraId="557E4555" wp14:textId="77777777">
      <w:pPr>
        <w:pStyle w:val="Heading3"/>
      </w:pPr>
      <w:r>
        <w:lastRenderedPageBreak/>
        <w:t>I: Maiming</w:t>
      </w:r>
    </w:p>
    <w:p xmlns:wp14="http://schemas.microsoft.com/office/word/2010/wordml" w:rsidR="001860AB" w:rsidP="001860AB" w:rsidRDefault="001860AB" w14:paraId="66590B0B" wp14:textId="77777777">
      <w:pPr>
        <w:pStyle w:val="Heading4"/>
      </w:pPr>
      <w:r>
        <w:t xml:space="preserve">The state asserts biopolitical control through the right to maim – the imperative to make live or make die modulates into a chronic form of not letting die.  Debility implicates all other vectors of sovereign and biopolitical violence – we must theorize from debility first.  </w:t>
      </w:r>
    </w:p>
    <w:p xmlns:wp14="http://schemas.microsoft.com/office/word/2010/wordml" w:rsidRPr="00BE3598" w:rsidR="001860AB" w:rsidP="001860AB" w:rsidRDefault="001860AB" w14:paraId="4C43ADF2" wp14:textId="77777777">
      <w:pPr>
        <w:rPr>
          <w:sz w:val="16"/>
        </w:rPr>
      </w:pPr>
      <w:r w:rsidRPr="005D76D0">
        <w:rPr>
          <w:rStyle w:val="Style13ptBold"/>
        </w:rPr>
        <w:t>Puar 18</w:t>
      </w:r>
      <w:r w:rsidRPr="00BE3598">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136-9]</w:t>
      </w:r>
    </w:p>
    <w:p xmlns:wp14="http://schemas.microsoft.com/office/word/2010/wordml" w:rsidR="001860AB" w:rsidP="001860AB" w:rsidRDefault="001860AB" w14:paraId="17A8143C" wp14:textId="77777777">
      <w:pPr>
        <w:rPr>
          <w:rStyle w:val="StyleUnderline"/>
        </w:rPr>
      </w:pPr>
      <w:r w:rsidRPr="008829F7">
        <w:rPr>
          <w:sz w:val="8"/>
        </w:rPr>
        <w:t xml:space="preserve">the biopolitics of settler colonialism These </w:t>
      </w:r>
      <w:r w:rsidRPr="0070357B">
        <w:rPr>
          <w:rStyle w:val="StyleUnderline"/>
        </w:rPr>
        <w:t>practices of bodily as well as infrastructural debilitation, loosely effaced in concerns about “disproportionate force,” indicate the extension or perhaps the perversion of the “right to kill” claimed by states in warfare into what I am calling the “right to maim.” “The right to maim” supplements if not replaces “the right to kill.” Maiming as intentional practice expands biopolitics beyond simply the question of “right of death and power over life.” Maiming becomes a primary vector through which biopolitical control is deployed in colonized space</w:t>
      </w:r>
      <w:r w:rsidRPr="008829F7">
        <w:rPr>
          <w:sz w:val="8"/>
        </w:rPr>
        <w:t xml:space="preserve"> and hence not easily demarcated “necro” as it is mapped in Mbembe’s reworking of biopolitics. Mbembe discusses injury as a crucial element of enslavement: “The slave is kept alive but in a state of injury . . . slave life, in many ways, is a form of death-in- life.” 57 Sticking with the binary of life and death with his formulation of “death-in- life,” he does not pursue injury and debilitation as altering living and dying as primary poles within which populations oscillate. The four quadrants remain; death is reiterated as the ultimate loss (of life). While other scholars of biopolitics have noted the centrality of disability to the deployment of biopolitical population management, these efforts generally remain wedded to the poles of living and dying within which life is toggled. That is to say, </w:t>
      </w:r>
      <w:r w:rsidRPr="0070357B">
        <w:rPr>
          <w:rStyle w:val="StyleUnderline"/>
        </w:rPr>
        <w:t>while the distinctions between living and dying are often recognized through the “cuts” of race and the “folds” of overlapping population construction and management, maiming, debilitation, and stunting are relatively undertheorized components of these cuts and folds; centering these processes may potentially alter presumed relations to living and dying altogether. Maiming is a practice that escapes definition within both legal and biopolitical or necropolitical frameworks because it does not proceed through making live, making die, letting live, or letting die. My reframing adds a critical axis to the four quadrants, insisting that debilitation—indeed, deliberate maiming—is not merely another version of slow death or of death-in- life or of a modulation on the spectrum of life to death. Rather, it is a status unto itself, a status that triangulates the hierarchies of living and dying that are standardly deployed in theorizations of biopolitics.</w:t>
      </w:r>
      <w:r>
        <w:rPr>
          <w:rStyle w:val="StyleUnderline"/>
        </w:rPr>
        <w:t xml:space="preserve"> </w:t>
      </w:r>
      <w:r w:rsidRPr="008829F7">
        <w:rPr>
          <w:sz w:val="8"/>
        </w:rPr>
        <w:t xml:space="preserve">Alongside examining how and why Foucault elided a theory of colonial occupation in his formulation of biopolitics, we might also ask, </w:t>
      </w:r>
      <w:r w:rsidRPr="0070357B">
        <w:rPr>
          <w:rStyle w:val="StyleUnderline"/>
        </w:rPr>
        <w:t>what is biopolitics in the twenty-first century, especially as informed by the ongoing structure of settler colonialism?</w:t>
      </w:r>
      <w:r w:rsidRPr="008829F7">
        <w:rPr>
          <w:sz w:val="8"/>
        </w:rPr>
        <w:t xml:space="preserve"> Recent interventions by Alexander Weheliye and Mel Chen raise critical issues about the formulation of race in the theorization of biopolitics.58 According to Weheliye, race only became important to Foucault when it entered the realms of European state management, not through the operations of colonialism. For this, Weheliye argues that the frame of biopolitics is foundationally flawed, for even as Foucault claims that the cut of race drives biopolitical distinctions, the severing of colonial occupation from a (belated) state racism relegates race to a derivative status. Weheliye’s rather loose archival excavations of Foucault’s work notwithstanding, what his and others’ analyses lay bare is the dearth of theorization of the biopolitics of colonial regimes, especially that of settler colonialism, of colonialism as a structure and not an event.59 Further, Scott Morgensen rightly notes that settler colonialism remains undifferentiated within theorizations of the biopolitics of colonialism, continuing the propagation of colonialism as a bygone event or within a naturalized frame of periodization.60 Foucault’s frame of biopolitics is intrinsically dedicated to variations of bodily health and vulnerability. In Security, Territory, Population, he details the different regimes of power associated with distinct illnesses. Leprosy is banished through the sovereign power to exclude; the plague is isolated through disciplinary power of quarantining; and smallpox becomes managed and regularized as epidemic through what Foucault calls “apparatuses of security.”61 </w:t>
      </w:r>
      <w:r w:rsidRPr="0070357B">
        <w:rPr>
          <w:rStyle w:val="StyleUnderline"/>
        </w:rPr>
        <w:t>In “Society Must Be Defended,” Foucault writes: “Biopolitics will derive its knowledge from, and define its power’s field of intervention in terms of, the birth rate, the mortality rate, various biological disabilities, and the effects of the environment.”62 Here, disability is understood as a biologically produced rather than a socially induced condition. In some sense Foucault is inadvertently yet presciently mapping the liberal elision between disability as an exceptional accident or circumstance and disability as intrinsic to the function of colonial war machines.</w:t>
      </w:r>
      <w:r w:rsidRPr="008829F7">
        <w:rPr>
          <w:sz w:val="8"/>
        </w:rPr>
        <w:t xml:space="preserve"> “Various biological disabilities” (and later, “anomalies”) fulfills the function of misfortune but does not in this case address the imbrication of racialization and bodily capacity: “Biopolitics’ other field of intervention will be a set of phenomena some of which are universal, and some of which are accidental but which can never be completely eradicated, even if they are accidental. They have similar effects in that they incapacitate individuals, put them out of the circuit or neutralize them. This is the problem . . . of old age, of individuals who, because of their age, fall out of the field of capacity, of activity . . . includ[ing] accidents, infirmities, and various anomalies.”63 In this, one finds germinating a theory of debility and capacity. </w:t>
      </w:r>
      <w:r w:rsidRPr="0070357B">
        <w:rPr>
          <w:rStyle w:val="StyleUnderline"/>
        </w:rPr>
        <w:t>Foucault also points to the durational debilitations of chronicity. Illness shifts from epidemic to endemic; the endemic modulates “the form, nature, extension, duration, and intensity of the illnesses prevalent in a population . . . as permanent factors which . . . sapped the populations’ strength, shortened the work week, wasted energy, and cost money, both because they led to a fall in production and because treating them was expensive.”</w:t>
      </w:r>
      <w:r w:rsidRPr="008829F7">
        <w:rPr>
          <w:sz w:val="8"/>
        </w:rPr>
        <w:t xml:space="preserve">64 </w:t>
      </w:r>
      <w:r w:rsidRPr="0070357B">
        <w:rPr>
          <w:rStyle w:val="StyleUnderline"/>
        </w:rPr>
        <w:t xml:space="preserve">Within the context </w:t>
      </w:r>
      <w:r w:rsidRPr="0070357B">
        <w:rPr>
          <w:rStyle w:val="StyleUnderline"/>
        </w:rPr>
        <w:lastRenderedPageBreak/>
        <w:t>of emergent forms of social welfare that Foucault speaks of, illness needs to be reduced, contained, isolated, and in some cases, abolished, because it compromises the thriving of the “make life” vector. In contemporary biopolitics, however, economic life can grow without the flourishing of much of human life, which means precisely that illness is no longer a hindrance to, but rather is implicated in, “make live.”</w:t>
      </w:r>
      <w:r w:rsidRPr="008829F7">
        <w:rPr>
          <w:sz w:val="8"/>
        </w:rPr>
        <w:t xml:space="preserve"> Foucault writes, “The [old] right of sovereignty was the right to take life or let live. And then this new right is established: the right to make live and to let die.”65 Foucault notes that sovereignty’s old right was not replaced but rather was complemented by this new right, “which . . . penetrate[s] it, permeate[s] it.”66 </w:t>
      </w:r>
      <w:r w:rsidRPr="0070357B">
        <w:rPr>
          <w:rStyle w:val="StyleUnderline"/>
        </w:rPr>
        <w:t>Given the interpenetrations of sovereign and biopolitical power, mapping what forms the sovereign right to take life or let live are machinating is critical. The sovereign right to maim implicates all of the other vectors at once—make die and make live (because in some cases debilitation can be harnessed into “compliant” disability rehabilitation), as well as let live and let die, a version of slow death, a gradual decay of bodies that are both overworked and underresourced.</w:t>
      </w:r>
      <w:r w:rsidRPr="008829F7">
        <w:rPr>
          <w:sz w:val="8"/>
        </w:rPr>
        <w:t xml:space="preserve">67 </w:t>
      </w:r>
      <w:r w:rsidRPr="005D76D0">
        <w:rPr>
          <w:rStyle w:val="StyleUnderline"/>
        </w:rPr>
        <w:t>Maiming functions as slow but simultaneously intensive death-making, as targeting to maim is an accelerated assault on both bodily and infrastructural fronts. Different temporalities of living and dying labor here, a different modulation of time and a reworking of the temporalities of biopolitics. The stretching of the horizon of life (what can bare life bear?) and the finality of death into perverted versions of life seem and feel like neither life nor death, not even attenuated death. In this complication of the temporalities and processes, the speed of biopolitics turns not through distinctions between fast and slow, quick and languorous, but rather through the intensification and amplification of “life itself” and, in fact, “resistance itself” as a target of neglect, damage, and speculative rehabilitation.68</w:t>
      </w:r>
      <w:r>
        <w:rPr>
          <w:rStyle w:val="StyleUnderline"/>
        </w:rPr>
        <w:t xml:space="preserve"> </w:t>
      </w:r>
      <w:r w:rsidRPr="005D76D0">
        <w:rPr>
          <w:rStyle w:val="StyleUnderline"/>
        </w:rPr>
        <w:t>If slow death is conceptualized as primarily through the vector of “let die” or “make die,” maiming functions as “will not let die” and, its supposed humanitarian complement, “will not make die.” Maiming masquerades as “let live” when in fact it acts as “will not let die.” For example, the idf policy of shooting to maim, not to kill, is often misperceived as a preservation of life. In this version of attenuated life, neither living nor dying is the aim. Instead, “will not let die” and “will not make die” replace altogether the coordinate “make live” or “let die.” It is not only the right to kill but also the right to maim that is being exercised as the domain of sovereignty. What kind of sovereignty is being articulated when the right to kill is enacted as the right to maim, to target both bodies and infrastructure for debilitation? This element of biopolitics entails targeting for death but not killing.</w:t>
      </w:r>
    </w:p>
    <w:p xmlns:wp14="http://schemas.microsoft.com/office/word/2010/wordml" w:rsidR="001860AB" w:rsidP="001860AB" w:rsidRDefault="001860AB" w14:paraId="17B348DA" wp14:textId="77777777">
      <w:pPr>
        <w:pStyle w:val="Heading3"/>
      </w:pPr>
      <w:r>
        <w:lastRenderedPageBreak/>
        <w:t>I: Antiblackness</w:t>
      </w:r>
    </w:p>
    <w:p xmlns:wp14="http://schemas.microsoft.com/office/word/2010/wordml" w:rsidR="001860AB" w:rsidP="001860AB" w:rsidRDefault="001860AB" w14:paraId="6BAAF868" wp14:textId="77777777">
      <w:pPr>
        <w:pStyle w:val="Heading4"/>
      </w:pPr>
      <w:r>
        <w:t>The biopolitical incorporation of disability into nation as “objects of care” functions as an alibi for the deeper entrenchment of antiblackness and racialized violence, as some disabled populations are recognized as a form of ability exceptionalism while other populations figured through racializing assemblages of debility are subject to containment, isolation, and death.</w:t>
      </w:r>
    </w:p>
    <w:p xmlns:wp14="http://schemas.microsoft.com/office/word/2010/wordml" w:rsidRPr="008B706C" w:rsidR="001860AB" w:rsidP="001860AB" w:rsidRDefault="001860AB" w14:paraId="2A146EAA" wp14:textId="77777777">
      <w:pPr>
        <w:rPr>
          <w:sz w:val="16"/>
        </w:rPr>
      </w:pPr>
      <w:r w:rsidRPr="005D76D0">
        <w:rPr>
          <w:rStyle w:val="Style13ptBold"/>
        </w:rPr>
        <w:t>Puar 18</w:t>
      </w:r>
      <w:r w:rsidRPr="00BE3598">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w:t>
      </w:r>
      <w:r>
        <w:rPr>
          <w:sz w:val="16"/>
        </w:rPr>
        <w:t>80-1</w:t>
      </w:r>
      <w:r w:rsidRPr="00BE3598">
        <w:rPr>
          <w:sz w:val="16"/>
        </w:rPr>
        <w:t>]</w:t>
      </w:r>
    </w:p>
    <w:p xmlns:wp14="http://schemas.microsoft.com/office/word/2010/wordml" w:rsidR="001860AB" w:rsidP="001860AB" w:rsidRDefault="001860AB" w14:paraId="61FB16F6" wp14:textId="77777777">
      <w:r>
        <w:t xml:space="preserve">“Objects of care” thus function as alibis for deeper entrenchment of inequality. The transformations in the valuation and incorporation of disabled bodies are indebted to uneven development (pace David Harvey), the craggy geopolitical terrain of biopolitical control that has hardly abandoned disciplinary structures of containment. In other words, </w:t>
      </w:r>
      <w:r w:rsidRPr="00521303">
        <w:rPr>
          <w:rStyle w:val="StyleUnderline"/>
        </w:rPr>
        <w:t>disciplinary apparatuses of containment and incorporative forms of biopolitical control are more accurately produced through and in relation to each other, rather than as a wholesale transition, thus requiring careful attention to the economic material conditions of uneven development.</w:t>
      </w:r>
      <w:r>
        <w:t xml:space="preserve"> Service economies, for example, are impelled into the production of these objects of care; new social pariahs and forms of “economic burden” emerge from these service economies. These economies include (but are hardly limited to) care workers, diagnostic testing industries, surrogates, organ donors, and clinical trial workers/subjects. How do workers in service economies produce toward objects of care when they are often left without the resources to care for themselves and fall into the categorization of objects of disposability? 56 How do such objects of care resonate with patterns of accumulation of wealth from the global north to the global south, reproducing the standardization of what disability is in human rights regimes, the distribution of disabilities and abilities in biomedical circuits, and the debilitating mechanisms of war machines?57 These burden-to- care relations do not only grip the international division of labor or an increasingly fuzzy global north/south divide. </w:t>
      </w:r>
      <w:r w:rsidRPr="009C2F9F">
        <w:rPr>
          <w:rStyle w:val="StyleUnderline"/>
        </w:rPr>
        <w:t>In the United States, the most salient example of the failure to achieve such a totalizing transition is the “onset of deinstitutionalization and the nearly simultaneous rise of ‘law and order’ politics.”58 An estimated 70 percent of incarcerated populations in the United States have a developmental or physical disability.59 The growth of the prison-industrial complex depends on the school-to- prison pipeline that fuels it.60 The disciplinary containment and isolation of prison and the supposed economic burden of prisoners are sustained by the profitability of the regulation of bodies modulated as “objects of care”—potential criminals—from school to prison. The historical downsizing of welfare provisions and disability provisions coincides with the rise of the prison-industrial complex and the expansion of populations deemed criminal.</w:t>
      </w:r>
      <w:r>
        <w:t>61</w:t>
      </w:r>
    </w:p>
    <w:p xmlns:wp14="http://schemas.microsoft.com/office/word/2010/wordml" w:rsidR="001860AB" w:rsidP="001860AB" w:rsidRDefault="001860AB" w14:paraId="4FCF8364" wp14:textId="77777777">
      <w:r w:rsidRPr="009C2F9F">
        <w:rPr>
          <w:rStyle w:val="StyleUnderline"/>
        </w:rPr>
        <w:t>The prison-industrial complex is thus a proliferating site of the institutionalization of disability, albeit not just any body with disabilities.</w:t>
      </w:r>
      <w:r>
        <w:t xml:space="preserve">62 </w:t>
      </w:r>
      <w:r w:rsidRPr="009C2F9F">
        <w:rPr>
          <w:rStyle w:val="StyleUnderline"/>
        </w:rPr>
        <w:t>Critical prison studies amply evidences that the institutionalization of disability intensifies at points where incarceration and race (as criminality), specifically blackness, meet.63 Black bodies have carried the mark of the institutionalization of disability from slavery to Jim Crow to the prison-industrial complex, with incarceration, as Michelle Alexander argues, forming a “racial caste system.”</w:t>
      </w:r>
      <w:r>
        <w:t xml:space="preserve">64 </w:t>
      </w:r>
      <w:r w:rsidRPr="009C2F9F">
        <w:rPr>
          <w:rStyle w:val="StyleUnderline"/>
        </w:rPr>
        <w:t xml:space="preserve">Nirmala Erevelles writes of the enclosure of blackness in the </w:t>
      </w:r>
      <w:r w:rsidRPr="009C2F9F">
        <w:rPr>
          <w:rStyle w:val="StyleUnderline"/>
        </w:rPr>
        <w:lastRenderedPageBreak/>
        <w:t>circuitry of signification and production of disability.</w:t>
      </w:r>
      <w:r>
        <w:t xml:space="preserve">65 </w:t>
      </w:r>
      <w:r w:rsidRPr="009C2F9F">
        <w:rPr>
          <w:rStyle w:val="StyleUnderline"/>
        </w:rPr>
        <w:t>Extending the discussion of flesh in Hortense Spillers’s seminal essay “Mama’s Baby, Papa’s Maybe,” she argues that the inferiority of black flesh is literally inscribed by the master’s whip, thus suturing the constructed association of blackness with defect to the physical attribution of disability: “It is precisely the historical moment when one class of human beings was transformed into cargo that black bodies become disabled and disabled bodies become black.”</w:t>
      </w:r>
      <w:r>
        <w:t xml:space="preserve">66 </w:t>
      </w:r>
      <w:r w:rsidRPr="009C2F9F">
        <w:rPr>
          <w:rStyle w:val="StyleUnderline"/>
        </w:rPr>
        <w:t>Racialization here is a form of impairment unto itself (black flesh as disabled flesh), as well as an invitation and solicitation to visibilize debilitation as a marking of this symbolic relationship (disabled flesh as black flesh). Erevelles’s analysis not only emphasizes the necessity of an intersectional frame. (An intersectional approach need not mobilize the term “disability” itself, rather exposes the term for the racial elisions it relies upon.) She demonstrates the constitutive facets of racialization to the functioning of the identity positioning of disability itself, rendering the intersections between disability and race to be already a reduction of the multiplicity inherent to the social construction of the black body as inferior.67 Disability is for Erevelles the “ideological lynchpin utilized to (re)constitute social difference” along identity axes.68 Disability thus coheres a long-standing avenue for policing, surveilling, and securitizing deviant bodies from slavery through the prison-industrial complex. These differing yet contiguous forms of enclosure are processes of debilitation in the most literal and stark terms.</w:t>
      </w:r>
      <w:r>
        <w:t>69</w:t>
      </w:r>
    </w:p>
    <w:p xmlns:wp14="http://schemas.microsoft.com/office/word/2010/wordml" w:rsidR="001860AB" w:rsidP="001860AB" w:rsidRDefault="001860AB" w14:paraId="3B75183B" wp14:textId="77777777">
      <w:pPr>
        <w:pStyle w:val="Heading3"/>
      </w:pPr>
      <w:r>
        <w:lastRenderedPageBreak/>
        <w:t>I: Ablenationalism</w:t>
      </w:r>
    </w:p>
    <w:p xmlns:wp14="http://schemas.microsoft.com/office/word/2010/wordml" w:rsidRPr="002571EC" w:rsidR="001860AB" w:rsidP="001860AB" w:rsidRDefault="001860AB" w14:paraId="6DDB3EC6" wp14:textId="77777777">
      <w:pPr>
        <w:pStyle w:val="Heading4"/>
      </w:pPr>
      <w:r>
        <w:t>Ablenationalism, or the narrative of overcoming disability that enables rights based recuperative projects of disability, is all kinds of bad – it makes the state and cap inevitable, figuring a debilitating ableist world into the future, it produces the capitalist crisis of debility, it’s settler colonialist and anti-black</w:t>
      </w:r>
    </w:p>
    <w:p xmlns:wp14="http://schemas.microsoft.com/office/word/2010/wordml" w:rsidRPr="008B3E9C" w:rsidR="001860AB" w:rsidP="001860AB" w:rsidRDefault="001860AB" w14:paraId="35707559" wp14:textId="77777777">
      <w:pPr>
        <w:rPr>
          <w:sz w:val="16"/>
        </w:rPr>
      </w:pPr>
      <w:r w:rsidRPr="005D76D0">
        <w:rPr>
          <w:rStyle w:val="Style13ptBold"/>
        </w:rPr>
        <w:t>Puar 18</w:t>
      </w:r>
      <w:r w:rsidRPr="00BE3598">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w:t>
      </w:r>
      <w:r>
        <w:t>84-88]</w:t>
      </w:r>
    </w:p>
    <w:p xmlns:wp14="http://schemas.microsoft.com/office/word/2010/wordml" w:rsidR="001860AB" w:rsidP="001860AB" w:rsidRDefault="001860AB" w14:paraId="3CD2FB8A" wp14:textId="77777777">
      <w:r>
        <w:t>narrative prosthesis</w:t>
      </w:r>
    </w:p>
    <w:p xmlns:wp14="http://schemas.microsoft.com/office/word/2010/wordml" w:rsidR="001860AB" w:rsidP="001860AB" w:rsidRDefault="001860AB" w14:paraId="12A88C24" wp14:textId="77777777">
      <w:r>
        <w:t>In one of their earliest contributions to the then-nascent field of Euro-American disability studies, Snyder and Mitchell convincingly argue that the trope of disability has long functioned as a “narrative prosthesis,” a habituated emplotment for overcoming tragedy and lack in order to reconsolidate the able body. As their rich scholarship demonstrates, in novel after film after short story, the body that no longer functions properly, whether physically, emotionally, or sexually, drives narrativization through a cause-and- effect relation to rehabilitation and resolution, highlighting the normativity of able bodies and leading to the climax of the story. As they write, “The able body cannot solidify its own abilities in the absence of its binary Other.”82 In this brilliant analysis they complicate the representational politics of disability by making a formalist argument about the ableist underpinnings of a certain narrative structure itself. Thus, what it means to represent disability is already superseded by the logic of narrative that pivots on the exceptional accident and triumphant rehabilitation from it. The prosthesis of disability allows a story to chug along. Their conceptualization also mirrors the tensions between ablenationalism—whereby the debilitated body is quarantined, banished, or rehabilitated—and the reformulation of the narrative prosthesis in relation to those bodies able to purchase prognostic power. Reflective of the ambivalent deployment of narrative prostheses are the forms of temporal rehabilitation and debilitation implied in the following two statements: “It Gets Better” and “Everyone will be disabled if they live long enough” (or “You’re only able-bodied until you’re disabled”). While “It Gets Better” refers specifically to a now global campaign addressing gay suicide, it mirrors “inspiration porn”: narratives of overcoming disability or championing exceptional disability that are rife with fantasies of what McRuer and Mollow call “rehabilitated futurism.”83</w:t>
      </w:r>
    </w:p>
    <w:p xmlns:wp14="http://schemas.microsoft.com/office/word/2010/wordml" w:rsidR="001860AB" w:rsidP="001860AB" w:rsidRDefault="001860AB" w14:paraId="2468ABBC" wp14:textId="77777777">
      <w:r>
        <w:t xml:space="preserve">Compare these narratives of overcoming disability that signal able-nationalism or crip nationalism with other articulations of temporality and social death that work through the unevenness of how populations live and get to live time, risk, prognosis, and probability. Michael Ralph argues that artistic creativity is roused by “surplus time” for hip-hop artists—time “freed up” by virtue of a prognosis that says you don’t have much time to live, a euphoric release of freedom occasioned by exceeding the dismal prognosis that you will die at an early age.84 Andrea Smith and Scott Morgensen insistently alert us to the (queer) settler colonial mentality implicit in any invocation of futurity; indigenous populations in settler colonial states represent the vanishing point of national time, a futural gesture that is driven by a presumptive origin manufactured through the genocide of native peoples. Inclusion in (national) invocations of collective futurity is thus consent to genocide.85 Afro-pessimists have argued that blackness remains ontologically incongruent with emphases on futurity.86 Disability studies scholars such </w:t>
      </w:r>
      <w:r>
        <w:lastRenderedPageBreak/>
        <w:t>as Alison Kafer have critically interrogated the debilitating fantasy of immortality but at the same time queried both Lee Edelman’s and Jack Halberstam’s rejections of the future and of longevity.87 Ruth Wilson Gilmore frames the temporal through a carceral racism that produces premature death.88 Gilmore defines racism as “the state-sanctioned and/or extralegal production and exploitation of group-differentiated vulnerability to premature death.”89 Gilmore’s definition implies that “health for all cannot be achieved if structural racism persists. Eliminating racism, therefore, is part and parcel to achieving the objectives of public health.”90 Premature death counters the notion that everyone will be disabled if they live long enough, foregrounding enduring associations of disability with racial difference. Much if not most racial difference continues to be perceived as defect, despite all efforts to challenge such associations and redress the structural injustices that suture them.</w:t>
      </w:r>
    </w:p>
    <w:p xmlns:wp14="http://schemas.microsoft.com/office/word/2010/wordml" w:rsidR="001860AB" w:rsidP="001860AB" w:rsidRDefault="001860AB" w14:paraId="63F105F1" wp14:textId="77777777">
      <w:r>
        <w:t>In these formulations of temporal life span, the capacity to inhabit futurity is already a privilege of ableism. This capacity is not simply affective or phenomenological but also structural, biopolitical, and ensnared in economies of risk, calculation, and survival. The future is already here, but it is unevenly distributed, in bits and pieces in time and space, as extremes and also as banalities. The disability to come is thus due not to aging or the exceptional accident but to the racialized body as available for injury, what Deleuze and Guattari denote as the “pre-disabled.” Furthermore, durational death is not something that is overcome or resolved; rather, it is constitutively and foundationally installed. The body that is seen as consigned to death is the body that is already debilitated in biopolitical terms. These framings are situated within an endemic rather than epidemic or exceptional relation to debilitation. What these multivalent narratives about the endemic, even constitutive, nature of debilitation might suggest is that the narrative prosthesis actually functions as a prosthetic to the operations of capitalism. To extend Mitchell and Snyder’s formulation, then, this model of narrative that climaxes with the resolution of the disabled body as banished or functionally restored works to proffer imminent rehabilitation for disability in one sense while masking the maintenance of debilitation as an endemic state on the other. The crisis, then, of disability is no longer marked by temporal transitoriness concluded through the climax of the narrative but rather extends and expands into the normalization of, to use the economic language of everyday crisis, “the swindle” or “the scandal.”</w:t>
      </w:r>
    </w:p>
    <w:p xmlns:wp14="http://schemas.microsoft.com/office/word/2010/wordml" w:rsidR="001860AB" w:rsidP="001860AB" w:rsidRDefault="001860AB" w14:paraId="64AEBEBB" wp14:textId="77777777">
      <w:r>
        <w:t>These refigured narratives of both bodies and capital suggest that the narrative structures that solicit or posit resolution to disability—whether through rehabilitation or through elimination—are actually foils for a neoliberal economic structure that does not need to overcome disability and debility (or swindles and scandals). As Naomi Klein details in The Shock Doctrine, capitalism thrives on the shocks to the system and profits from sustaining crisis as a normative state, both bodily and economically. 91 The narrative prosthesis, then, may give us the cultural artifacts for the fantasy of resolution while economic structures manifest the proliferation of debilitation, using aspirational tropes for cover. The narrative prosthesis, then, not only fuels ableist and crip nationalist fantasies of the triumphant resolve of the human body but simultaneously sutures debilitation as an integral feature of what Klein calls “disaster capitalism.”92 What disaster capitalism does, and Klein unearths this, is assert disaster as the temporality of crisis to avert attention from the normalization of crisis, such that crisis is everywhere and yet unnoticed, or only noticed through the event of disaster. The difference between disaster capitalism and capitalism could thus be said to be nonexistent.</w:t>
      </w:r>
    </w:p>
    <w:p xmlns:wp14="http://schemas.microsoft.com/office/word/2010/wordml" w:rsidR="001860AB" w:rsidP="001860AB" w:rsidRDefault="001860AB" w14:paraId="7A683460" wp14:textId="77777777">
      <w:r>
        <w:t xml:space="preserve">Robert McRuer’s recent work demonstrates that austerity measures throughout North America, Europe, and Brazil are mounting sustained attacks on disabled populations, as the rollback of </w:t>
      </w:r>
      <w:r>
        <w:lastRenderedPageBreak/>
        <w:t>welfare provisions, social services, and health care infrastructures implicitly if not explicitly targets these communities. Disability, he argues, is a central yet undertheorized aspect of global austerity measures. 93 But, more perniciously, capitalism is also invested in producing and sustaining disability and debility. That disability creates more disability and relies on, if not engenders, a deeper entrenchment of debility in disenfranchised sectors of society, of the globe, is indeed one of the most insidious facets of a capitalism that normalizes “shock” rather than overcoming it, in order to sustain disaster capitalism. That is quite simply to say that disability, and creating and maintaining these patterns of disabilities to debilities, is good—meaning, profitable—for neoliberal capitalism. Beyond interrogating for whom identity politics benefit and for whom are they detrimental, this mapping gestures to how identity-and rights-based frames sustain the relation of perpetual, normalized crisis in relation to debility. Disaster capitalism becomes the norm that promotes the maintenance of the “disaster” of disability as debility—endemic, durational, and profitable.</w:t>
      </w:r>
    </w:p>
    <w:p xmlns:wp14="http://schemas.microsoft.com/office/word/2010/wordml" w:rsidRPr="00807F41" w:rsidR="001860AB" w:rsidP="001860AB" w:rsidRDefault="001860AB" w14:paraId="637805D2" wp14:textId="77777777"/>
    <w:p xmlns:wp14="http://schemas.microsoft.com/office/word/2010/wordml" w:rsidRPr="001641E7" w:rsidR="001860AB" w:rsidP="001860AB" w:rsidRDefault="001860AB" w14:paraId="4447B4F3" wp14:textId="77777777">
      <w:pPr>
        <w:pStyle w:val="Heading3"/>
        <w:rPr>
          <w:rFonts w:cs="Arial"/>
        </w:rPr>
      </w:pPr>
      <w:r w:rsidRPr="001641E7">
        <w:rPr>
          <w:rFonts w:cs="Arial"/>
        </w:rPr>
        <w:lastRenderedPageBreak/>
        <w:t xml:space="preserve">S: </w:t>
      </w:r>
      <w:r>
        <w:rPr>
          <w:rFonts w:cs="Arial"/>
        </w:rPr>
        <w:t>Toxicity</w:t>
      </w:r>
    </w:p>
    <w:p xmlns:wp14="http://schemas.microsoft.com/office/word/2010/wordml" w:rsidRPr="001641E7" w:rsidR="001860AB" w:rsidP="001860AB" w:rsidRDefault="001860AB" w14:paraId="2759953E" wp14:textId="77777777">
      <w:pPr>
        <w:pStyle w:val="Heading4"/>
        <w:rPr>
          <w:rFonts w:cs="Arial"/>
        </w:rPr>
      </w:pPr>
      <w:r w:rsidRPr="001641E7">
        <w:rPr>
          <w:rFonts w:cs="Arial"/>
        </w:rPr>
        <w:t>Toxic worlding is a form of trespass, breaking down notions of corporeal integrity imposed by “normal” world ordering, inviting different cosmologies and intimacies</w:t>
      </w:r>
    </w:p>
    <w:p xmlns:wp14="http://schemas.microsoft.com/office/word/2010/wordml" w:rsidRPr="001641E7" w:rsidR="001860AB" w:rsidP="001860AB" w:rsidRDefault="001860AB" w14:paraId="67024183" wp14:textId="77777777">
      <w:r w:rsidRPr="001641E7">
        <w:rPr>
          <w:rStyle w:val="Style13ptBold"/>
        </w:rPr>
        <w:t>Chen 12</w:t>
      </w:r>
      <w:r w:rsidRPr="001641E7">
        <w:t xml:space="preserve"> [Mel, Assoc. Prof. Gender and Women’s Studies and Vice Chair for Research, Dir. of the Center for the Study of Sexual Culture @ UC Berkeley, Animacies: Biopolitical Racial Mattering and Queer Affect, pp. 203-11]</w:t>
      </w:r>
    </w:p>
    <w:p xmlns:wp14="http://schemas.microsoft.com/office/word/2010/wordml" w:rsidRPr="001641E7" w:rsidR="001860AB" w:rsidP="001860AB" w:rsidRDefault="001860AB" w14:paraId="3A8E5491" wp14:textId="77777777">
      <w:pPr>
        <w:rPr>
          <w:sz w:val="8"/>
        </w:rPr>
      </w:pPr>
      <w:r w:rsidRPr="001641E7">
        <w:rPr>
          <w:sz w:val="8"/>
        </w:rPr>
        <w:t xml:space="preserve">Animate objects, Inanimate subjects By its very definition, the toxin, as much as it may have been categorized as inanimate, is more than mere matter, for it has a potency that can directly implicate the vulnerability of a living body. Prototypically, a toxin requires an object against which its threat operates. This threatened object is an object whose defenses will be put to the test, in detection, in “fighting off,” and finally in submission and absorption. But some confusion occurs when we note that the object of toxicity, its target, is an animate one—and hence potentially also a kind of subject— and that the toxin, the subject of toxicity, is inanimate. Thinking back to the linguistics of animacy hierarchies detailed in chapter 1, we note that in this case, various categories of assessment, particularly of worthiness to serve as agents or patients of verbs, tell opposing stories. </w:t>
      </w:r>
      <w:r w:rsidRPr="001641E7">
        <w:rPr>
          <w:rStyle w:val="StyleUnderline"/>
        </w:rPr>
        <w:t xml:space="preserve">In a schema of toxicity, likely subjects are equally likely objects, despite their location in very different parts of the animacy hierarchy. In a scene of human intoxication, for toxins and their human hosts, the animacy criteria of lifeliness, subjectivity, and humanness (where the human wins) come up short against mobility and sentience (where the toxin wins). And this is before even considering what occurs in that moment and the ensuing “life” of intoxication; toxicity becomes us, we become the toxin. The mercurial, erethic, emotionally labile human moves toward quicksilver, becomes it. There is, indeed, something “unworlding” that might be said to take place in the cultural production of toxic notions. A “normal” world’s order is lost when, for instance, things that can harm you permanently are not even visible to the naked eye. Temporal orders become Moebius strips of identity: How could it do this to me? And yet in that instant, the “me” that speaks is not the “me” before I was affected by it. </w:t>
      </w:r>
      <w:r w:rsidRPr="001641E7">
        <w:rPr>
          <w:sz w:val="8"/>
        </w:rPr>
        <w:t xml:space="preserve">Recent attention to inanimate objects, from Jennifer Terry’s work on the love of inanimate objects such as the Eiffel Tower and the Berlin Wall to news coverage of men having serious emotional relationships with their dakimakura pillows, represents certain kinds of reversals of expectation regarding a kind of vitality that objects are afforded within human worlds.30 Thinking beyond the rubric of fetishism, it is useful to build upon this work to ask questions of the subjects facing these objects and to consider how to mark their subjectivity as such or why we do so. Consider, for instance, the example of my couch, with which my relationality is made possible only to the degree that I am not in possession of human sociality. </w:t>
      </w:r>
      <w:r w:rsidRPr="001641E7">
        <w:rPr>
          <w:rStyle w:val="StyleUnderline"/>
        </w:rPr>
        <w:t>We might indeed let go of an attachment to the idea that social states or capacities are possessed by one animate entity and think rather in terms of transobjectivity.</w:t>
      </w:r>
      <w:r w:rsidRPr="001641E7">
        <w:rPr>
          <w:sz w:val="8"/>
        </w:rPr>
        <w:t xml:space="preserve">31 </w:t>
      </w:r>
      <w:r w:rsidRPr="001641E7">
        <w:rPr>
          <w:rStyle w:val="StyleUnderline"/>
        </w:rPr>
        <w:t>Transobjectivity releases objectivity from at least some of its epistemological strictures and allows us to think in terms of multiple objects interspersed and in exchange.</w:t>
      </w:r>
      <w:r w:rsidRPr="001641E7">
        <w:rPr>
          <w:sz w:val="8"/>
        </w:rPr>
        <w:t xml:space="preserve"> Stacy Alaimo’s term </w:t>
      </w:r>
      <w:r w:rsidRPr="001641E7">
        <w:rPr>
          <w:rStyle w:val="StyleUnderline"/>
        </w:rPr>
        <w:t>transcorporeality suggests we think beyond the terms of the bodily unit and affirm the agencies of the matter that we live among.</w:t>
      </w:r>
      <w:r w:rsidRPr="001641E7">
        <w:rPr>
          <w:sz w:val="8"/>
        </w:rPr>
        <w:t xml:space="preserve">32 The sentience of the couch, in our meeting and communing, then becomes my own sentience as well. Nikolas Rose, in The Politics of Life Itself, has observed the impact of recent dramatic changes in the field of biology, particularly in the lifemaking capacities of genetics and the role of pharmaceuticals in vital self- management.33 To Rose, these shifts constitute an epistemological and technical event, and he pronounced that contemporary biopolitics must now be considered molecular in character. This focus on molecularity is important when thinking about neurotoxicities, which I consider less a part of the spread of pharmaceutical self- management than a sign of the mediations we must now make about toxins between environmental “givens” (that toxins surround us) and self (that toxins are us). In particular, what are the “affectations” or socialities attributed to toxicity, and what is the “affect” attaining between a toxin and its host? I consider two different senses of molecularity, one of which takes the notion of a particle at face value, the other of which leaves behind a strict biological or physical schema and considers a particle’s affective involvement on radically different scales. I also want to make more explicit a relationship between xenophobia and xenobiotics; xenobiotics are substances understood to be not proper to the human body, that is, inherently alien to the body, whether or not they are recognized as such by it. Both lead and mercury are chemically classified as metals. They are often further described as “heavy metals,” a category whose chemical definition remains contested since “heavy” variously refers to atomic weight and molecular density. Heavy metal toxins have sites of entry, pathways of action, and multiple genres of biochemical- level and organ- specific reaction in the body. Lead and mercury are both classified as neurotoxic, which means that they can damage neurons in the brain. Sensory impairment correlated to mercury’s neuronal damage, for instance, can include loss of proprioception, nystagmus (involuntary eye movement), and heightened sensitivity to touch or sounds. But their effectivity is potentially comprehensive: “Like most other toxic metals, lead and mercury exist as cations, and as such, can react with most ligands present in living cells. These include such common ligands as sh, phosphate, amino, and carboxyl. Thus they have the potential to inhibit enzymes, disrupt cell membranes, damage structural proteins, and affect the genetic code in nucleic acids. The very ubiquity of potential targets presents a great challenge to investigations on mechanisms of action.”34 The ubiquity of potential targets further informs us that </w:t>
      </w:r>
      <w:r w:rsidRPr="001641E7">
        <w:rPr>
          <w:rStyle w:val="StyleUnderline"/>
        </w:rPr>
        <w:t>the transformation by a toxin and its companions can be so comprehensive that it renders their host somewhat unrecognizable.</w:t>
      </w:r>
      <w:r w:rsidRPr="001641E7">
        <w:rPr>
          <w:sz w:val="8"/>
        </w:rPr>
        <w:t xml:space="preserve"> Furthermore, to state perhaps the obvious, research on contemporary toxicities—or indeed, to broaden our field of inquiry, on </w:t>
      </w:r>
      <w:r w:rsidRPr="001641E7">
        <w:rPr>
          <w:rStyle w:val="StyleUnderline"/>
        </w:rPr>
        <w:t>historical intoxication</w:t>
      </w:r>
      <w:r w:rsidRPr="001641E7">
        <w:rPr>
          <w:sz w:val="8"/>
        </w:rPr>
        <w:t>—</w:t>
      </w:r>
      <w:r w:rsidRPr="001641E7">
        <w:rPr>
          <w:rStyle w:val="StyleUnderline"/>
        </w:rPr>
        <w:t>confirms</w:t>
      </w:r>
      <w:r w:rsidRPr="001641E7">
        <w:rPr>
          <w:sz w:val="8"/>
        </w:rPr>
        <w:t xml:space="preserve"> for us our experiences: </w:t>
      </w:r>
      <w:r w:rsidRPr="001641E7">
        <w:rPr>
          <w:rStyle w:val="StyleUnderline"/>
        </w:rPr>
        <w:t>that under certain conditions</w:t>
      </w:r>
      <w:r w:rsidRPr="001641E7">
        <w:rPr>
          <w:sz w:val="8"/>
        </w:rPr>
        <w:t xml:space="preserve">, some of them enduring or seemingly permanent, </w:t>
      </w:r>
      <w:r w:rsidRPr="001641E7">
        <w:rPr>
          <w:rStyle w:val="StyleUnderline"/>
        </w:rPr>
        <w:t>social beings can also become radically altered in their sociality</w:t>
      </w:r>
      <w:r w:rsidRPr="001641E7">
        <w:rPr>
          <w:sz w:val="8"/>
        </w:rPr>
        <w:t xml:space="preserve">, whether due to brain- specific damage or not. They are overcome, overwhelmed, overtaken by other substances. Although the body’s interior could be described as becoming “damaged” by toxins, if we were willing to perform the radical act of releasing the definition of “organism” from its biological pinnings, we might from a more holistic perspective approach toxicity with a lens of mutualism. The biologist Anton de Bary, who developed a theory of symbiosis in 1879, defined three types: commensalism, mutualism, and parasitism. </w:t>
      </w:r>
      <w:r w:rsidRPr="001641E7">
        <w:rPr>
          <w:rStyle w:val="StyleUnderline"/>
        </w:rPr>
        <w:t>Thinking of toxins as symbiotes—rather than</w:t>
      </w:r>
      <w:r w:rsidRPr="001641E7">
        <w:rPr>
          <w:sz w:val="8"/>
        </w:rPr>
        <w:t xml:space="preserve">, for instance, as </w:t>
      </w:r>
      <w:r w:rsidRPr="001641E7">
        <w:rPr>
          <w:rStyle w:val="StyleUnderline"/>
        </w:rPr>
        <w:t>parasites which seem only to feed off a generally integral being without fundamentally altering it</w:t>
      </w:r>
      <w:r w:rsidRPr="001641E7">
        <w:rPr>
          <w:sz w:val="8"/>
        </w:rPr>
        <w:t xml:space="preserve"> (which would perhaps be our first guess)—not only captures some toxic affectivity but </w:t>
      </w:r>
      <w:r w:rsidRPr="001641E7">
        <w:rPr>
          <w:rStyle w:val="StyleUnderline"/>
        </w:rPr>
        <w:t>enables me to shift modes of approach.</w:t>
      </w:r>
      <w:r w:rsidRPr="001641E7">
        <w:rPr>
          <w:sz w:val="8"/>
        </w:rPr>
        <w:t xml:space="preserve"> Ultimately, amounts—that is, </w:t>
      </w:r>
      <w:r w:rsidRPr="001641E7">
        <w:rPr>
          <w:rStyle w:val="StyleUnderline"/>
        </w:rPr>
        <w:t>scales—are inconsequential here; it is affectivity that matters</w:t>
      </w:r>
      <w:r w:rsidRPr="001641E7">
        <w:rPr>
          <w:sz w:val="8"/>
        </w:rPr>
        <w:t xml:space="preserve">, and the distinction between parasite and symbiosis is irrelevant. It is worth noting here that my thinking bears some resemblance to Deleuzian interspersal and symbiosis. Deleuze and Guattari write substantively about “molecularity” in relation to becoming- animal, referring to “particles” as belonging or not belonging to a molecule in relation to their proximity to one another; but such molecules are defined not by material qualities but rather more so as entities whose materiality is purposefully suspended.35 Thus, they compare “verbal particles” to “food alimentary” particles that in a schizophrenic’s actions enter into proximity with one another. </w:t>
      </w:r>
      <w:r w:rsidRPr="001641E7">
        <w:rPr>
          <w:rStyle w:val="StyleUnderline"/>
        </w:rPr>
        <w:t>Deleuze and Guattari’s thinking is useful</w:t>
      </w:r>
      <w:r w:rsidRPr="001641E7">
        <w:rPr>
          <w:sz w:val="8"/>
        </w:rPr>
        <w:t xml:space="preserve"> in the sense that I attempt not only to accentuate proximal relations among categorically differentiated entities (across lines of animacy), but equally </w:t>
      </w:r>
      <w:r w:rsidRPr="001641E7">
        <w:rPr>
          <w:rStyle w:val="StyleUnderline"/>
        </w:rPr>
        <w:t>to emphasize the insistent segregations of “material” into intensified condensations (affective intensities) of race, geography, and capital.</w:t>
      </w:r>
      <w:r w:rsidRPr="001641E7">
        <w:rPr>
          <w:sz w:val="8"/>
        </w:rPr>
        <w:t xml:space="preserve"> In this light, the </w:t>
      </w:r>
      <w:r w:rsidRPr="001641E7">
        <w:rPr>
          <w:rStyle w:val="StyleUnderline"/>
        </w:rPr>
        <w:t>toxicities</w:t>
      </w:r>
      <w:r w:rsidRPr="001641E7">
        <w:rPr>
          <w:sz w:val="8"/>
        </w:rPr>
        <w:t xml:space="preserve"> tied to heavy metals </w:t>
      </w:r>
      <w:r w:rsidRPr="001641E7">
        <w:rPr>
          <w:rStyle w:val="StyleUnderline"/>
        </w:rPr>
        <w:t>function as a kind of “assemblage” of biology, affect, nationality, race, and chemistry.</w:t>
      </w:r>
      <w:r w:rsidRPr="001641E7">
        <w:rPr>
          <w:sz w:val="8"/>
        </w:rPr>
        <w:t xml:space="preserve"> And yet, their analysis leaves little room for distinctions between “actual” and “abstract,” particularly in their creative distinction between molecularity and molarity. Thus, I find it useful to hold on to a certain concrete materiality here, insofar as it offers a potentially critical purchase for thinking through queer relating and racialized transnational feeling, and further because mere metaphors, as we have seen, can sometimes overlook their own effectivity in literal fields.36 Queering Intimacy There is a potency and intensity to two </w:t>
      </w:r>
      <w:r w:rsidRPr="001641E7">
        <w:rPr>
          <w:sz w:val="8"/>
        </w:rPr>
        <w:lastRenderedPageBreak/>
        <w:t xml:space="preserve">animate or inanimate bodies passing one another, bodies that have an exchange—a potentially queer exchange—that effectively risks the implantation of injury. The quality of the exchange may be at the molecular level, airborne molecules entering the breathing apparatus, molecules that may or may not have violent bodily effects; or the exchange may be visual, the meeting of eyes unleashing a series of pleasurable or unpleasurable bodily reactions, chill, pulse rush, adrenaline, heat, fear, tingling skin. The necessary condition for toxicity to be enlivened—proximity, or intimacy—means that queer theories are especially rich for thinking about the affects of toxicity. At the same time, queer theories can further benefit from the lessons of disability theory, particularly by rethinking its own others. </w:t>
      </w:r>
      <w:r w:rsidRPr="001641E7">
        <w:rPr>
          <w:rStyle w:val="StyleUnderline"/>
        </w:rPr>
        <w:t>Thinking and feeling with toxicity invites us to revise</w:t>
      </w:r>
      <w:r w:rsidRPr="001641E7">
        <w:rPr>
          <w:sz w:val="8"/>
        </w:rPr>
        <w:t xml:space="preserve">, once again, </w:t>
      </w:r>
      <w:r w:rsidRPr="001641E7">
        <w:rPr>
          <w:rStyle w:val="StyleUnderline"/>
        </w:rPr>
        <w:t>the sociality that queer theory has</w:t>
      </w:r>
      <w:r w:rsidRPr="001641E7">
        <w:rPr>
          <w:sz w:val="8"/>
        </w:rPr>
        <w:t xml:space="preserve"> in many ways </w:t>
      </w:r>
      <w:r w:rsidRPr="001641E7">
        <w:rPr>
          <w:rStyle w:val="StyleUnderline"/>
        </w:rPr>
        <w:t>made possible.</w:t>
      </w:r>
      <w:r w:rsidRPr="001641E7">
        <w:rPr>
          <w:sz w:val="8"/>
        </w:rPr>
        <w:t xml:space="preserve"> As a relational notion, </w:t>
      </w:r>
      <w:r w:rsidRPr="001641E7">
        <w:rPr>
          <w:rStyle w:val="StyleUnderline"/>
        </w:rPr>
        <w:t>toxicity speaks productively to queer- utopian imagining</w:t>
      </w:r>
      <w:r w:rsidRPr="001641E7">
        <w:rPr>
          <w:sz w:val="8"/>
        </w:rPr>
        <w:t xml:space="preserve"> and helps us revisit the question of how and where subjectobject dispositions should be attributed to the relational queer figure. But even further, queer theory is an apt home for the consideration of toxicity, for I believe the two—queerness and toxicity—have an affinity. </w:t>
      </w:r>
      <w:r w:rsidRPr="001641E7">
        <w:rPr>
          <w:rStyle w:val="StyleUnderline"/>
        </w:rPr>
        <w:t>They truck with negativity, marginality, and subject- object confusions; they have</w:t>
      </w:r>
      <w:r w:rsidRPr="001641E7">
        <w:rPr>
          <w:sz w:val="8"/>
        </w:rPr>
        <w:t>, arguably</w:t>
      </w:r>
      <w:r w:rsidRPr="001641E7">
        <w:rPr>
          <w:rStyle w:val="StyleUnderline"/>
        </w:rPr>
        <w:t>, an affective intensity; they challenge heteronormative understandings of intimacy. Both have gotten under the skin.</w:t>
      </w:r>
      <w:r w:rsidRPr="001641E7">
        <w:rPr>
          <w:sz w:val="8"/>
        </w:rPr>
        <w:t xml:space="preserve"> Yet queer theory’s attachment to certain human bodies and other human objects elides from its view the queer socialities that certain other, nonhuman intimacies portend. What are the exceptionalisms that can haunt such theorizing? Let us revisit the scene from the previous chapter of </w:t>
      </w:r>
      <w:r w:rsidRPr="001641E7">
        <w:rPr>
          <w:rStyle w:val="StyleUnderline"/>
        </w:rPr>
        <w:t>the child who inappropriately licks his lead- toxic painted train</w:t>
      </w:r>
      <w:r w:rsidRPr="001641E7">
        <w:rPr>
          <w:sz w:val="8"/>
        </w:rPr>
        <w:t xml:space="preserve">, the scene that is constantly conjured as one that must be avoided at all costs. The mobility of ingestible air and the nonemptiness of that air demonstrate that the act of lead licking </w:t>
      </w:r>
      <w:r w:rsidRPr="001641E7">
        <w:rPr>
          <w:rStyle w:val="StyleUnderline"/>
        </w:rPr>
        <w:t>is a fantasy of exception.</w:t>
      </w:r>
      <w:r w:rsidRPr="001641E7">
        <w:rPr>
          <w:sz w:val="8"/>
        </w:rPr>
        <w:t xml:space="preserve"> It is not only a fantasy that not- licking is a viable way to contain heterosexuality in its bounds, but </w:t>
      </w:r>
      <w:r w:rsidRPr="001641E7">
        <w:rPr>
          <w:rStyle w:val="StyleUnderline"/>
        </w:rPr>
        <w:t>it is</w:t>
      </w:r>
      <w:r w:rsidRPr="001641E7">
        <w:rPr>
          <w:sz w:val="8"/>
        </w:rPr>
        <w:t xml:space="preserve"> also </w:t>
      </w:r>
      <w:r w:rsidRPr="001641E7">
        <w:rPr>
          <w:rStyle w:val="StyleUnderline"/>
        </w:rPr>
        <w:t>a fantasy that not- licking is a viable way to contain the interconstitution of people and other people, or people and other objects.</w:t>
      </w:r>
      <w:r w:rsidRPr="001641E7">
        <w:rPr>
          <w:sz w:val="8"/>
        </w:rPr>
        <w:t xml:space="preserve"> Look closely at your child’s beloved, bright- red train: you may choose to expel it from your house, for the toxins that the sight of it only hints at; but you will pay the cost of his proper entrainment. What fingers have touched it to make it so? How will you choose to recover your formerly benign feelings about this train? </w:t>
      </w:r>
      <w:r w:rsidRPr="001641E7">
        <w:rPr>
          <w:rStyle w:val="StyleUnderline"/>
        </w:rPr>
        <w:t>Love has somehow to rise above the predetermined grammar of such encounters, for the grammar itself predicts only negative toxicity.</w:t>
      </w:r>
      <w:r w:rsidRPr="001641E7">
        <w:rPr>
          <w:sz w:val="8"/>
        </w:rPr>
        <w:t xml:space="preserve"> So how is it that so much of this toxic world, in the form of perfumes, cleaning products, body products, plastics, all laden with chemicals that damage us so sincerely, is encountered by so many of us as benign or only pleasurable? How is it, even more, that we are doing this, doing all this, to ourselves? And yet, even as the toxins themselves spread far and wide, such a “we” is a false unity. There is a relationship between productivity’s queers (not reproductivity’s queers, that is) and hidden, normative intoxications. </w:t>
      </w:r>
      <w:r w:rsidRPr="001641E7">
        <w:rPr>
          <w:rStyle w:val="StyleUnderline"/>
        </w:rPr>
        <w:t>Those who find themselves on the underside of industrial “development” bear a disproportionate risk</w:t>
      </w:r>
      <w:r w:rsidRPr="001641E7">
        <w:rPr>
          <w:sz w:val="8"/>
        </w:rPr>
        <w:t xml:space="preserve">, as environmentalists and political economy scholars alike have shown.37 In her article “Akwesasne: Mohawk Mother’s Milk and pcbs,” environmental justice activist Winona LaDuke describes a multipronged activist project led by the Mohawk midwife and environmentalist Katsi Cook.38 Cook developed the “Mother’s Milk” pcb- monitoring breast milk project, begun in 1984 and ongoing today, </w:t>
      </w:r>
      <w:r w:rsidRPr="001641E7">
        <w:rPr>
          <w:rStyle w:val="StyleUnderline"/>
        </w:rPr>
        <w:t xml:space="preserve">in response to the demonstrated toxic levels of pcbs on the Akwesasne reservation, which straddles the border between the United States and Canada and is located very close to a primary emitter of pcbs, a General Motors site established in 1957 which is now a Superfund site. This proximity—and gM’s improper disposal practices—meant that both the St. Lawrence River and the Akwesasne wells, the sources of water on which the Mohawks relied, had toxic concentrations of pcbs. Indeed, Akwesasne is one of the most highly polluted Native American reservations. </w:t>
      </w:r>
      <w:r w:rsidRPr="001641E7">
        <w:rPr>
          <w:sz w:val="8"/>
        </w:rPr>
        <w:t xml:space="preserve">Cook emphasizes strengthening women’s health so that their critical role as the “first environment” of babies be taken seriously for existing and future bodily toxicity. </w:t>
      </w:r>
      <w:r w:rsidRPr="001641E7">
        <w:rPr>
          <w:rStyle w:val="StyleUnderline"/>
        </w:rPr>
        <w:t>These molecular intimacies— particles passed on via breast milk to babies—are implicated in regimes of gendered labor and care. Cook’s activism connects the poisoning of the turtles to the fate of the Mohawks in a cosmology that reiterates the shared potency of live turtles and earthly support. Turtles are critically important in the Mohawk cosmology, which connects them to the earth itself; LaDuke mentions that North America is called “Turtle Island,” which comes from a common Native American origin story. Such a cosmology does not depend, for instance, on the narrow ecology of edibles that informs mainstream U.S. food safety advocacy</w:t>
      </w:r>
      <w:r w:rsidRPr="001641E7">
        <w:rPr>
          <w:sz w:val="8"/>
        </w:rPr>
        <w:t xml:space="preserve"> (wherein bigger animals eat smaller animals, a logic that articulates the threat of ocean fish to humans). </w:t>
      </w:r>
      <w:r w:rsidRPr="001641E7">
        <w:rPr>
          <w:rStyle w:val="StyleUnderline"/>
        </w:rPr>
        <w:t>It serves as a reminder that to the degree that mainstream animacy frameworks have become dominant law, such law could potentially be recodified if the animate orders on which it depends were interrupted. The interruptions demand recognizing the contradictions within matter itself—whether through accepting that worldviews (and their cosmologies) are legitimately contestable</w:t>
      </w:r>
      <w:r w:rsidRPr="001641E7">
        <w:rPr>
          <w:sz w:val="8"/>
        </w:rPr>
        <w:t xml:space="preserve">, especially in a time of problematization and retrenchment diagnosed as “posthuman,” or through revitalized understandings of matter’s own complexity that can cross the discursive boundaries of science. Cosmologies, of course, are as much written into Western philosophies as they are in Akwesasne cultures, and the life and death hidden within their objects has a binding effect on their theoretical impulse. In her important book Queer Phenomenology, Sara Ahmed gives extensive, unabashed attention to tables, at one point writing extensively about her “orientation” (in a larger discussion of sexuality and orientations) toward a table of hers and that table’s orientation toward her. She writes, “we perceive the object as an object, as something that ‘has’ integrity, and is ‘in’ space, only by haunting that very space; that is, by co- inhabiting space such that the boundary between the co- inhabitants of space does not hold. The skin connects as well as contains. . . . Orientations are tactile and they involve more than one skin surface: we, in approaching this or that table, are also approached by the table, which touches us when we touch it.”39 Ahmed works here with an important and profound assertion by Maurice Merleau- Ponty that </w:t>
      </w:r>
      <w:r w:rsidRPr="001641E7">
        <w:rPr>
          <w:rStyle w:val="StyleUnderline"/>
        </w:rPr>
        <w:t>sensory engagement binds sensing and sensed objects to one another; in this way, my skin is simultaneously the skin of the world.</w:t>
      </w:r>
      <w:r w:rsidRPr="001641E7">
        <w:rPr>
          <w:sz w:val="8"/>
        </w:rPr>
        <w:t xml:space="preserve"> Yet, if we were to stretch this intercorporeality further, it appears that Ahmed still presumes the proper integrity of her body and of the table, an exclusion of molecular travel that permits her to position one thing against another. Ahmed is talking mainly about the perception of integrity; but I wonder what happens when percepts are to some degree bypassed, for instance, by the air itself. When physically copresent with others, I ingest them. There is nothing fanciful about this. I am ingesting their exhaled air, their sloughed skin, and the skin of the tables, chairs, and carpet of our shared room. Ahmed’s reading thus takes the deadness and inanimacy of that table as a reference point for the orientation of a life, one in which the table is moved according to the purposes and conveniences of its owner. And while it would be unfair to ask of her analysis something not proper to its devices, I do wonder how this analysis might change once the object distinctions between animate and inanimate collapse, when we move beyond the exclusionary zone made up of the perceptual operands of phenomenology. The affective relations I have with a couch are not made out of a predicted script and are received as no different from those with animate beings, which, depending on the perspective, is both their failing and their merit. My question then becomes: What is lost when we hold tightly to that exceptionalism which says that couches are dead and we are live? For would not my nonproductivity, my nonhuman sociality, render me some other human’s “dead,” as certainly it has, in case after case of the denial of disabled existence, emotional life, sexuality, or subjectivity? And what is lost when we say that couches must be cathected differently from humans? Or when we say that only certain couches as they are used would deserve the attribution of a sexual fetish? These are only questions to which I have no ready answers, except to declare that those forms of exceptionalism no longer seem very reasonable. Indeed, the literary scholar John Plotz’s careful review essay on new trends in materiality theories, “Can the Sofa Speak? A Look at Thing Theory,” itself never arrives at confronting the possibility of the sofa’s speech, seeming to presume that the question of sofas remains at the level of humorous titular play, no explanation needed.40 It seems that animacy and its affects are mediated not by whether you are a couch, a piece of metal, a human child, or an animal, but by how holistically you are interpreted and how dynamic you are perceived to be. Stones themselves move, change, degrade over time, but in ways that exceed human scales. Human “patients” get defined, via their companion technologies, as inanimate, even as they zip right by you in a manual wheelchair. And above and beyond these factors related to the power of interpretation and stereotype, there is the strict physicality of the elements that travel in, on, and through us, and sometimes stay. If we ingest each other’s skin cells, as well as each other’s skin creams, then animacy comes to appear as a category itself held in false containment, insofar as it portends exteriorized control relationships rather than mutual imbrications, even at the most material levels. Nancy Tuana, reading New Orleans after Hurricane Katrina in terms of interactionist ontology, writes, “There is a viscous porosity of flesh—my flesh and the flesh of the world. This porosity is a hinge through which we are of and in the </w:t>
      </w:r>
      <w:r w:rsidRPr="001641E7">
        <w:rPr>
          <w:sz w:val="8"/>
        </w:rPr>
        <w:lastRenderedPageBreak/>
        <w:t xml:space="preserve">world. I refer to it as viscous, for there are membranes that affect the interactions.”41 Furthermore, </w:t>
      </w:r>
      <w:r w:rsidRPr="001641E7">
        <w:rPr>
          <w:rStyle w:val="StyleUnderline"/>
        </w:rPr>
        <w:t xml:space="preserve">the toxicity of the queer to the heterosexual collective or individual body, the toxicity of the dirty subjects to the hygienic State, the toxicity of heavy metals to an individual body: none of these segregations perfectly succeeds even while it is believed with all effort and investment to be effective. </w:t>
      </w:r>
      <w:r w:rsidRPr="001641E7">
        <w:rPr>
          <w:sz w:val="8"/>
        </w:rPr>
        <w:t xml:space="preserve">In perhaps its best versions, </w:t>
      </w:r>
      <w:r w:rsidRPr="001641E7">
        <w:rPr>
          <w:rStyle w:val="StyleUnderline"/>
        </w:rPr>
        <w:t>toxicity does not repel but propels queer loves</w:t>
      </w:r>
      <w:r w:rsidRPr="001641E7">
        <w:rPr>
          <w:sz w:val="8"/>
        </w:rPr>
        <w:t xml:space="preserve">, especially once we release it from exclusively human hosts, </w:t>
      </w:r>
      <w:r w:rsidRPr="001641E7">
        <w:rPr>
          <w:rStyle w:val="StyleUnderline"/>
        </w:rPr>
        <w:t>disproportionately inviting dis/ability, industrial labor, biological targets, and military vaccine recipients—inviting loss and its “losers” and trespassing containers of animacy.</w:t>
      </w:r>
      <w:r w:rsidRPr="001641E7">
        <w:rPr>
          <w:sz w:val="8"/>
        </w:rPr>
        <w:t xml:space="preserve"> We need not assign the trainlicking boy of the previous chapter so surely to the nihilistic underside of futurity or to his own termination, figurative or otherwise. I would be foolish to imagine that toxicity stands in for “utopia” given the explosion of resentful, despairing, painful, screamingly negative affects that surround toxicity. Nevertheless, I am reluctant to deny the queer productivity of toxins and toxicity, a productivity that extends beyond an enumerable set of addictive or pleasure- inducing substances, or to neglect (or, indeed, ask after) the pleasures, the loves, the rehabilitations, the affections, the assets that toxic conditions induce. Unlike viruses, toxins are not so very containable or quarantinable; they are better thought of as conditions with effects, bringing their own affects and animacies to bear on lives and nonlives. If we move beyond the painful “antisocial” effects to consider the sociality that is present there, we find in that sociality a reflection on extant socialities among us, the queer- inanimate social lives that exist beyond the fetish, beyond the animate, beyond the pure clash of human body sex.</w:t>
      </w:r>
    </w:p>
    <w:p xmlns:wp14="http://schemas.microsoft.com/office/word/2010/wordml" w:rsidRPr="001641E7" w:rsidR="001860AB" w:rsidP="001860AB" w:rsidRDefault="001860AB" w14:paraId="0A642FF6" wp14:textId="77777777">
      <w:pPr>
        <w:pStyle w:val="Heading4"/>
        <w:rPr>
          <w:rFonts w:cs="Arial"/>
        </w:rPr>
      </w:pPr>
      <w:r w:rsidRPr="001641E7">
        <w:rPr>
          <w:rFonts w:cs="Arial"/>
        </w:rPr>
        <w:t xml:space="preserve">Affirmation of contagion disrupts proper conceptions of politics that </w:t>
      </w:r>
      <w:r>
        <w:rPr>
          <w:rFonts w:cs="Arial"/>
        </w:rPr>
        <w:t>delimit who can be productive political or economic agents.  Intoxication reorients our relationship to debility and capitalism.</w:t>
      </w:r>
    </w:p>
    <w:p xmlns:wp14="http://schemas.microsoft.com/office/word/2010/wordml" w:rsidRPr="001641E7" w:rsidR="001860AB" w:rsidP="001860AB" w:rsidRDefault="001860AB" w14:paraId="03287480" wp14:textId="77777777">
      <w:r w:rsidRPr="001641E7">
        <w:rPr>
          <w:rStyle w:val="Style13ptBold"/>
        </w:rPr>
        <w:t>Chen 12</w:t>
      </w:r>
      <w:r w:rsidRPr="001641E7">
        <w:t xml:space="preserve"> [Mel, Assoc. Prof. Gender and Women’s Studies and Vice Chair for Research, Dir. of the Center for the Study of Sexual Culture @ UC Berkeley, Animacies: Biopolitical Racial Mattering and Queer Affect, p. 185-8]</w:t>
      </w:r>
    </w:p>
    <w:p xmlns:wp14="http://schemas.microsoft.com/office/word/2010/wordml" w:rsidRPr="001641E7" w:rsidR="001860AB" w:rsidP="001860AB" w:rsidRDefault="001860AB" w14:paraId="5DC8B383" wp14:textId="77777777">
      <w:pPr>
        <w:rPr>
          <w:rStyle w:val="StyleUnderline"/>
        </w:rPr>
      </w:pPr>
      <w:r w:rsidRPr="001641E7">
        <w:rPr>
          <w:sz w:val="14"/>
        </w:rPr>
        <w:t xml:space="preserve">Queer Licking Let me return to the visual symbolic of media coverage of lead toxicity. The florid palette of toy-panic images yielded two prominent and repeating icons. The media representations favored a pairing of images: on the one hand, the vulnerable child, more frequently a young, white, middle-class boy; and on the other hand, the dangerous party: Thomas the Tank Engine. </w:t>
      </w:r>
      <w:r w:rsidRPr="001641E7">
        <w:rPr>
          <w:rStyle w:val="StyleUnderline"/>
        </w:rPr>
        <w:t>The iconic white boy’s lead toxicity must be avoided: he should not be mentally deficient, delayed, or lethargic. His intellectual capabilities must be assured to consolidate a futurity of heteronormative (white) masculinity; that is to say, he must not be queer.</w:t>
      </w:r>
      <w:r w:rsidRPr="001641E7">
        <w:rPr>
          <w:sz w:val="14"/>
        </w:rPr>
        <w:t xml:space="preserve"> This is </w:t>
      </w:r>
      <w:r w:rsidRPr="001641E7">
        <w:rPr>
          <w:rStyle w:val="StyleUnderline"/>
        </w:rPr>
        <w:t>not only because one of lead’s toxicities reported by the Centers for Disease Control</w:t>
      </w:r>
      <w:r w:rsidRPr="001641E7">
        <w:rPr>
          <w:sz w:val="14"/>
        </w:rPr>
        <w:t xml:space="preserve"> and Prevention </w:t>
      </w:r>
      <w:r w:rsidRPr="001641E7">
        <w:rPr>
          <w:rStyle w:val="StyleUnderline"/>
        </w:rPr>
        <w:t>is reproductive disability and infertility;</w:t>
      </w:r>
      <w:r w:rsidRPr="001641E7">
        <w:rPr>
          <w:sz w:val="14"/>
        </w:rPr>
        <w:t xml:space="preserve"> I suggest here that </w:t>
      </w:r>
      <w:r w:rsidRPr="001641E7">
        <w:rPr>
          <w:rStyle w:val="StyleUnderline"/>
        </w:rPr>
        <w:t>one aspect of the threat of lead toxicity is its origin in a forbidden sexuality,</w:t>
      </w:r>
      <w:r w:rsidRPr="001641E7">
        <w:rPr>
          <w:sz w:val="14"/>
        </w:rPr>
        <w:t xml:space="preserve"> for </w:t>
      </w:r>
      <w:r w:rsidRPr="001641E7">
        <w:rPr>
          <w:rStyle w:val="StyleUnderline"/>
        </w:rPr>
        <w:t>the</w:t>
      </w:r>
      <w:r w:rsidRPr="001641E7">
        <w:rPr>
          <w:sz w:val="14"/>
        </w:rPr>
        <w:t xml:space="preserve"> frightening originary </w:t>
      </w:r>
      <w:r w:rsidRPr="001641E7">
        <w:rPr>
          <w:rStyle w:val="StyleUnderline"/>
        </w:rPr>
        <w:t>scene of intoxication is one of a queer licking.</w:t>
      </w:r>
      <w:r w:rsidRPr="001641E7">
        <w:rPr>
          <w:sz w:val="14"/>
        </w:rPr>
        <w:t xml:space="preserve"> Here again is the example of the white boy, who in the threatening and frightening scene is precisely licking the painted train, a train whose name is Thomas, a train that is also one of the West’s preeminent Freudian phallic icons.59 This image of a boy licking the train, though clearly the feared scene of contamination, never appears literally, or least I have not found it appearing literally; rather, if a boy and a train are present, the boy and the train are depicted proximately, and that is enough to represent the threat (the licking boy would be too much, would too directly represent the forbidden). But suggestions are sometimes loaded onto the proximities. In one representative image from a website alerting its readers to rc2’s recall of Thomas the Tank Engine trains, we see the head and chest of a blond boy lying alongside a train that is in the foreground. The boy’s moist lips are parted and smiling, his eyes intent and alert; he grasps a dark-hued train car with his right hand, gazing slightly upward at it. The other cars, receding toward the camera, fall out of focus. The scene is—at the very least—physically and emotionally intimate, pleasurable, and desirous.60 On its website, the Centers for Disease Control and Prevention issued a fact sheet about lead, including the following statement under 186 the heading “how your child may be exposed”: “Lead is invisible to the naked eye and has no smell. Children may be exposed to it from consumer products through normal hand-to- mouth activity, which is part of their normal development. They often place toys, fingers, and other objects in their mouth, exposing themselves to lead paint or dust.”61 The language here, which means to reassure anxious parents, twice uses the word normal in describing children’s orality: their handto- mouth activity is “normal . . . part of their normal development.” This redundancy betrays a nervousness about children, with its language of proper development and its delineation of what is or is not permissible in normal play. Returning to that fantasy that images could only approximate: what precisely is wrong with the boy licking the train? Two things are wrong: one, the boy licking Thomas the Tank Engine is playing improperly with the phallic toy, not thrusting it forward along the floor, but putting it into his mouth. Such late-exhibited orality bears the sheen of that “retarded” stage of development known as homosexuality. I am invoking the impossible juncture between the queernesses “naturally” afforded to children and the fear of a truly queer child.62 I recently had a conversation with a British man in his seventies about the lead panic within the United States. With a twinkle in his eye, he said, “We had that lead in toys when I was young! Perhaps we just didn’t suck them?” To me, his comment highlights the kind of temporal limitations on some kinds of national memory, the invested forgetting that is necessary for such a lead panic to become so enlivened. Given that lead’s very threat is that it produces cognitive disabilities, </w:t>
      </w:r>
      <w:r w:rsidRPr="001641E7">
        <w:rPr>
          <w:rStyle w:val="StyleUnderline"/>
        </w:rPr>
        <w:t>the scene of the child licking his toxic train slides further into queerness, as queer and disabled bodies alike trouble the capitalist marriage of domesticity, heterosexuality, and ability.</w:t>
      </w:r>
      <w:r w:rsidRPr="001641E7">
        <w:rPr>
          <w:sz w:val="14"/>
        </w:rPr>
        <w:t xml:space="preserve"> The queer disability theorist Robert McRuer writes of the development of domesticity </w:t>
      </w:r>
      <w:r w:rsidRPr="001641E7">
        <w:rPr>
          <w:rStyle w:val="StyleUnderline"/>
        </w:rPr>
        <w:t>within capitalism</w:t>
      </w:r>
      <w:r w:rsidRPr="001641E7">
        <w:rPr>
          <w:sz w:val="14"/>
        </w:rPr>
        <w:t xml:space="preserve"> that the “ideological reconsolidation of the home as a site of intimacy and heterosexuality was also the reconsolidation of the home as a site for the development of able-bodied identities, practices, and relations.”63 Exhibiting telltale signs of homosexuality and lead </w:t>
      </w:r>
      <w:r w:rsidRPr="001641E7">
        <w:rPr>
          <w:rStyle w:val="StyleUnderline"/>
        </w:rPr>
        <w:t>toxicity</w:t>
      </w:r>
      <w:r w:rsidRPr="001641E7">
        <w:rPr>
          <w:sz w:val="14"/>
        </w:rPr>
        <w:t xml:space="preserve"> alike </w:t>
      </w:r>
      <w:r w:rsidRPr="001641E7">
        <w:rPr>
          <w:rStyle w:val="StyleUnderline"/>
        </w:rPr>
        <w:t>is</w:t>
      </w:r>
      <w:r w:rsidRPr="001641E7">
        <w:rPr>
          <w:sz w:val="14"/>
        </w:rPr>
        <w:t xml:space="preserve"> simultaneously </w:t>
      </w:r>
      <w:r w:rsidRPr="001641E7">
        <w:rPr>
          <w:rStyle w:val="StyleUnderline"/>
        </w:rPr>
        <w:t>to alert a protected, domestic sphere to the threat of disability</w:t>
      </w:r>
      <w:r w:rsidRPr="001641E7">
        <w:rPr>
          <w:sz w:val="14"/>
        </w:rPr>
        <w:t xml:space="preserve">. One could say that lead itself is queered here as a microcosmic pollutant </w:t>
      </w:r>
      <w:r w:rsidRPr="001641E7">
        <w:rPr>
          <w:rStyle w:val="StyleUnderline"/>
        </w:rPr>
        <w:t>that</w:t>
      </w:r>
      <w:r w:rsidRPr="001641E7">
        <w:rPr>
          <w:sz w:val="14"/>
        </w:rPr>
        <w:t xml:space="preserve">, almost of its own accord, </w:t>
      </w:r>
      <w:r w:rsidRPr="001641E7">
        <w:rPr>
          <w:rStyle w:val="StyleUnderline"/>
        </w:rPr>
        <w:t>invades the body through</w:t>
      </w:r>
      <w:r w:rsidRPr="001641E7">
        <w:rPr>
          <w:sz w:val="14"/>
        </w:rPr>
        <w:t xml:space="preserve"> </w:t>
      </w:r>
      <w:r w:rsidRPr="001641E7">
        <w:rPr>
          <w:rStyle w:val="StyleUnderline"/>
        </w:rPr>
        <w:t>plenitudes of microcosmic holes</w:t>
      </w:r>
      <w:r w:rsidRPr="001641E7">
        <w:rPr>
          <w:sz w:val="14"/>
        </w:rPr>
        <w:t xml:space="preserve"> (a child’s skin), </w:t>
      </w:r>
      <w:r w:rsidRPr="001641E7">
        <w:rPr>
          <w:rStyle w:val="StyleUnderline"/>
        </w:rPr>
        <w:t>sites the state cannot afford to acknowledge, for the queer vulnerabilities they portend.</w:t>
      </w:r>
      <w:r w:rsidRPr="001641E7">
        <w:rPr>
          <w:sz w:val="14"/>
        </w:rPr>
        <w:t xml:space="preserve"> 187 Animacy theory embraces the ramified sites and traces of shifting being. It claims first that the tropes by which lead threatens to contaminate “healthy” privileged subjects relies fundamentally on animacy hierarchies. Lead can drag vulnerable people down, through variously “lesser” positions of animateness, into </w:t>
      </w:r>
      <w:r w:rsidRPr="001641E7">
        <w:rPr>
          <w:sz w:val="14"/>
        </w:rPr>
        <w:lastRenderedPageBreak/>
        <w:t xml:space="preserve">the realms of the “vegetable” or the nonsentient. At the same time, it has already weighed on some bodies more than others. The strength of </w:t>
      </w:r>
      <w:r w:rsidRPr="001641E7">
        <w:rPr>
          <w:rStyle w:val="StyleUnderline"/>
        </w:rPr>
        <w:t>anxieties about lead toxicity</w:t>
      </w:r>
      <w:r w:rsidRPr="001641E7">
        <w:rPr>
          <w:sz w:val="14"/>
        </w:rPr>
        <w:t xml:space="preserve"> microcosmically, and very compactly, </w:t>
      </w:r>
      <w:r w:rsidRPr="001641E7">
        <w:rPr>
          <w:rStyle w:val="StyleUnderline"/>
        </w:rPr>
        <w:t>demonstrate</w:t>
      </w:r>
      <w:r w:rsidRPr="001641E7">
        <w:rPr>
          <w:sz w:val="14"/>
        </w:rPr>
        <w:t xml:space="preserve">s </w:t>
      </w:r>
      <w:r w:rsidRPr="001641E7">
        <w:rPr>
          <w:rStyle w:val="StyleUnderline"/>
        </w:rPr>
        <w:t>that race, class, sexuality, and ability are unstable. These are not assured categories or properties that could operate intersectionally in a binary analysis, but are rather variably “mattering participants” in dominant ontologies that cannot therefore securely or finally attach to any body. Animacy theory objectifies animate hierarchies, assessing their diverse truth effects against the mobilities and slippages that too easily occur within them, and asks what paths the slippages trace.</w:t>
      </w:r>
      <w:r w:rsidRPr="001641E7">
        <w:rPr>
          <w:sz w:val="14"/>
        </w:rPr>
        <w:t xml:space="preserve"> The next chapter focuses on the peculiar affective mediations wrought by toxicity, expanding beyond the paranoid images of altered bodies and minds produced by the fearful ensembles of U.S. biosecurity that are recounted in this chapter. Notwithstanding my claims about lead’s racialization in relation to a Chinese context, lead is of course not always specific to China. Rather, like any toxin, perhaps especially because it is not alive, it can be detached and reattached to diverse cultural and biological forms. This means that it is readily racialized, but with a set of preferences provided by the discursive structures it inhabits. Lead as a toxin, more generally, has already become in this global context racialized in excess as nonwhite; for instance, Mexican lead-tinged candy also received much media attention in 2007.64 Yet lead’s attachment preferences are perhaps not so flighty as one might first think; the “yellow hue” of today’s lead seems to swirl in with the “brown” and “black” layers of lead’s naturalized image. I have suggested here that the mediation of lead in and around categories of “life” in turn undoes lead’s deadness by reanimating it. In other words, lead has the capacity to poison definitively animate beings, and as such achieves its own animacy as an agent of harm. </w:t>
      </w:r>
      <w:r w:rsidRPr="001641E7">
        <w:rPr>
          <w:rStyle w:val="StyleUnderline"/>
        </w:rPr>
        <w:t>By examining the signifying economies of health, imperialism, and degradation that paint race onto different bodies, and by directing attention to the multiplicity of “contact zones” of those engaging lead—from working on the assembly line, to using the new products that contain them, to the downstream use of the products, to the recycling and mining of them—we witness the inherent brokenness of “races,” “geographics,” and “bodies” as systems of segregation, even as they remain numbingly effective in informing discourses of combat, health, and privilege. An environmental history of toxic objects must minimally register the gendered, laboring, and chronically toxically exposed bodies of globalized capital, which systematically bear less frequent mention in narratives of toxicity than the cautionary warnings from the seat of U.S. empire. With this registration, lead’s spectacle remains connected to the possible forging of justice.</w:t>
      </w:r>
    </w:p>
    <w:p xmlns:wp14="http://schemas.microsoft.com/office/word/2010/wordml" w:rsidRPr="00FC799E" w:rsidR="001860AB" w:rsidP="001860AB" w:rsidRDefault="001860AB" w14:paraId="704C402F" wp14:textId="77777777">
      <w:pPr>
        <w:pStyle w:val="Heading4"/>
      </w:pPr>
      <w:r>
        <w:t>Toxicity key to envision “the disability to come,” where disability is no longer mobilized for US imperialism and capitalism</w:t>
      </w:r>
    </w:p>
    <w:p xmlns:wp14="http://schemas.microsoft.com/office/word/2010/wordml" w:rsidRPr="00236D9D" w:rsidR="001860AB" w:rsidP="001860AB" w:rsidRDefault="001860AB" w14:paraId="3B33BE29" wp14:textId="77777777">
      <w:pPr>
        <w:rPr>
          <w:sz w:val="16"/>
        </w:rPr>
      </w:pPr>
      <w:r w:rsidRPr="001641E7">
        <w:rPr>
          <w:rStyle w:val="Style13ptBold"/>
        </w:rPr>
        <w:t>Puar 17</w:t>
      </w:r>
      <w:r w:rsidRPr="00236D9D">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88-93]</w:t>
      </w:r>
    </w:p>
    <w:p xmlns:wp14="http://schemas.microsoft.com/office/word/2010/wordml" w:rsidRPr="001641E7" w:rsidR="001860AB" w:rsidP="001860AB" w:rsidRDefault="001860AB" w14:paraId="1C87A07C" wp14:textId="77777777">
      <w:pPr>
        <w:rPr>
          <w:rStyle w:val="StyleUnderline"/>
        </w:rPr>
      </w:pPr>
      <w:r w:rsidRPr="005C35E3">
        <w:rPr>
          <w:sz w:val="8"/>
        </w:rPr>
        <w:t xml:space="preserve">In her careful diagnosis, Nirmala Erevelles suggests that affirming the ontological paths of outlaw bodies for the purpose of affirming disability cultures and the imperative to halt the production of disability are not at odds with each other but, rather, are productively in tension. Helen Meekosha similarly writes that there “exists an intellectual and political tension between pride, celebration and prevention.”94 However, these mostly distinct theoretical, scholarly, and political trajectories, I suggest, not only are in tension but also lead to and capacitate very different political projects. Further, the tension, I would suggest, is not one of different needs and agendas rubbing up against each other, creating friction, but rather indicative of them being relational supplements to each other, one proliferating through the production of the other. Suggestive of this supplementary relation, Meekosha forcefully writes: “Maybe it is too confronting to deal with the continuing disabling of people in the global South because in trying to claim the positives of a disability identity it becomes difficult to acknowledge the overwhelming suffering that results from colonisation, war, famine, and poverty.”95 Thus, the analysis of “southern disability” is not simply “left out” of disability studies; it is, rather, a constitutive and capacitating absence. Further, the paradigms of disability justice do not choose one over the other but indeed address the latter in order to embrace the former. As Laura Jordan Jaffee succinctly writes: </w:t>
      </w:r>
      <w:r w:rsidRPr="00B40F5F">
        <w:rPr>
          <w:rStyle w:val="StyleUnderline"/>
        </w:rPr>
        <w:t>“Realizing desirable crip futures . . . , wherein disability is no longer constructed as a deficit but instead understood as a possibility, necessitates attending to and rejecting the ways in which disabling is presently employed as a mechanism for oppression in global contexts.”</w:t>
      </w:r>
      <w:r w:rsidRPr="005C35E3">
        <w:rPr>
          <w:sz w:val="8"/>
        </w:rPr>
        <w:t xml:space="preserve">96 </w:t>
      </w:r>
      <w:r w:rsidRPr="00B40F5F">
        <w:rPr>
          <w:rStyle w:val="StyleUnderline"/>
        </w:rPr>
        <w:t xml:space="preserve">It is especially within the global circuitry of the U.S. war machine that one can clearly discern how debility can get translated into a form of capacity, how disability functions as a state alibi, how debility is the shadow of that which state and neoliberal recognition mark as disability, and how the narrative prosthesis operates as a foil for debilitation. The disavowal of disability, onto the “elsewhere” of U.S. imperial occupations, involves the rationalization of the production of debilitation “over there” to enable wartime interests.97 This disavowal of disability elsewhere is engendered through rights discourses in the imperial metropole that celebrate the difference of disability without sufficient attention to the debilitation actively propagated through U.S. military occupations. Via this circuitry, disability— or, rather, debility and debilitation—is an exported product of imperial aggression. This exportation not only is disavowed but is </w:t>
      </w:r>
      <w:r w:rsidRPr="00B40F5F">
        <w:rPr>
          <w:rStyle w:val="StyleUnderline"/>
        </w:rPr>
        <w:lastRenderedPageBreak/>
        <w:t>done so through the belated arrival of such disability. Insofar as the debilitating effects of toxicity and other wartime remnants may well surface in generations to come, after the perpetration of imperial violence, it remains unknown and ever unfolding “what future forms of state-produced disability lie before us.”98 The U.S. military, for example, encompassing more than seven hundred bases globally, is the world’s greatest polluting entity.</w:t>
      </w:r>
      <w:r w:rsidRPr="005C35E3">
        <w:rPr>
          <w:sz w:val="8"/>
        </w:rPr>
        <w:t xml:space="preserve">99 </w:t>
      </w:r>
      <w:r w:rsidRPr="00B40F5F">
        <w:rPr>
          <w:rStyle w:val="StyleUnderline"/>
        </w:rPr>
        <w:t>Mel Chen’s theorization of toxicity in relation to multiple chemical sensitivity (mcs) challenges the temporal distancing from disability</w:t>
      </w:r>
      <w:r w:rsidRPr="005C35E3">
        <w:rPr>
          <w:sz w:val="8"/>
        </w:rPr>
        <w:t xml:space="preserve"> implicit in the understanding that “we will all be disabled some day if we live long enough,” and also “we are all able-bodied until we are disabled”—familiar aphorisms that organize life span time in disability rights organizing. </w:t>
      </w:r>
      <w:r w:rsidRPr="00B40F5F">
        <w:rPr>
          <w:rStyle w:val="StyleUnderline"/>
        </w:rPr>
        <w:t>Instead, Chen notes that the debilitation of toxicity is already here, envisioning the “disability to come” as the debility that is “already a truth of nearly every body.”100 Toxicity forces us to “[embrace], rather than [refuse] in advance, heretofore unknown reflexes of raciality, gender, sexuality, dis/ability” in ways that “intervene into the binary between the segregated fields of ‘life’ and ‘death,’ vitality and morbidity.”</w:t>
      </w:r>
      <w:r w:rsidRPr="005C35E3">
        <w:rPr>
          <w:sz w:val="8"/>
        </w:rPr>
        <w:t xml:space="preserve">101 </w:t>
      </w:r>
      <w:r w:rsidRPr="00B40F5F">
        <w:rPr>
          <w:rStyle w:val="StyleUnderline"/>
        </w:rPr>
        <w:t>Undermining distinctions of before and after, presence and absence (“both are here,” writes Chen), inside and outside, domestic and foreign, toxicity forces “interabsorption over corporeal exceptionalism,” in Chen’s words.102</w:t>
      </w:r>
      <w:r>
        <w:rPr>
          <w:rStyle w:val="StyleUnderline"/>
        </w:rPr>
        <w:t xml:space="preserve"> </w:t>
      </w:r>
      <w:r w:rsidRPr="005C35E3">
        <w:rPr>
          <w:sz w:val="8"/>
        </w:rPr>
        <w:t xml:space="preserve">And yet, </w:t>
      </w:r>
      <w:r w:rsidRPr="005C35E3">
        <w:rPr>
          <w:rStyle w:val="StyleUnderline"/>
        </w:rPr>
        <w:t>the recognition of the disability that is already here requires attention to the debilitation that is relegated elsewhere, to the “there.” It is easier to confront the notion of toxicity as already here when it is linked to consumer culture rather than to the U.S. imperial war machinery</w:t>
      </w:r>
      <w:r w:rsidRPr="005C35E3">
        <w:rPr>
          <w:sz w:val="8"/>
        </w:rPr>
        <w:t xml:space="preserve">, in particular the U.S.-initiated and U.S.-led war on terror. The two most obvious contemporary cases of disavowed, belated disability in relation to the United States are Afghanistan and Iraq. While there has been a gradual uptick in concern about the high rates of post-traumatic stress disorder and suicide among war veterans returning to the United States from Afghanistan and Iraq, there is tepid public discourse in the United States on the deeply entrenched forms of belated disability caused by U.S. imperial occupations.103 When the United States invaded Afghanistan on October 7, 2001, using the name Operation Enduring Freedom, the country was already “one of the least healthy places in the world to live, with a legacy of landmines, drought, and malnutrition.”104 Afghanistan also had the world’s largest amputee population, “so large that almost every shoe shop in Kabul has a section selling half-pairs only.”105 There is a plentitude of noteworthy empirical research on Afghanistan; behold just a snippet: “Since the start of the war in Afghanistan in 2001, about 26,270 civilians have been killed by direct war-related violence and more than 29,900 civilians have been injured. The health care system remains burdened by war and stressed due to the destruction of Afghan infrastructure and the inability to rebuild in some regions. . . . Humanitarian workers still face attacks from militants and a generally unsafe environment. The total for all categories of direct war violence in the Afghanistan war approaches 92,000 people.” 106 The 2005 National Disability Survey in Afghanistan found at that time that 17 percent of all disabilities in Afghanistan were war related.107 Ten years later, Abdul Khaliq Zazai, executive director of Accessibility Organization for Afghan Disabled, stated that “nearly four decades of war have left an Crip Nationalism 91 estimated 3 million people disabled,” amounting to 10 percent of the population, including mental and physical disabilities among both civilians and security forces.108 The situation is very grim in Iraq as well: “Iraq has also suffered 15 years of war, economic sanctions, and now the US invasion and ongoing occupation of Iraq. A new study by the United Nations Development Program (undp) contains the following indices of what they term the ‘social misery’ in Iraq: Nearly a quarter of Iraq’s children suffer from chronic malnutrition. The probability of dying before 40 of Iraqi children born between 2000 and 2004 is approximately three times the level in neighboring countries. . . . More than 200,000 Iraqis have ‘chronic’ disabilities caused by war.”109 Further, the toxic aftereffects of the two Gulf Wars have belatedly appeared through significant increases in the number of congenital birth defects, part of what medical anthropologist Omar Dewachi calls the “toxicity of everyday survival.” Dewachi notes that “Operation Desert Storm, fought in 1991, was the first time in military history that depleted uranium (du)—a nuclear waste by-product— was systematically employed against both military and civilian targets. US forces used du on a much larger scale during the war and occupation that started in 2003.”110 In this usage of du we can see the new yet underacknowledged version of nuclear warfare, and the Middle East has been the experimental ground on which nuclear-driven armaments are normalized. Recent analysis on Fallujah claims that dramatic increases in infant mortality, cancer, and leukemia are occurring at rates that exceed those reported by survivors of Hiroshima and Nagasaki.111 Since 2005, doctors have been overwhelmed by increasingly debilitated infants born with severe congenital anomalies, a four-times increase in cancer, and a twelve-times increase in cancer in children under age fourteen, much higher than the regional norms in Egypt, Jordan, and Kuwait.112 Unlike Afghanistan, Iraq had a “robust health care system” that was systematically eroded by the targeting of electricity grids, water sanitation, and communication networks in 1991, followed by an “unprecedented regime of international sanctions” that reduced medical supplies. Dewachi concludes: “The effects of more than twenty years of direct military engagement in Iraq has both overwhelmed and incapacitated the country’s health care system and doctors’ ability to preserve life.”113 Arguing that the lines between health care and warfare are increasingly blurred, Dewachi notes that health infrastructure has become a normalized target of warfare, effectively ignoring 150 years of the adherence to the ethics of medical neutrality as set forth by international humanitarian law. Medical neutrality prohibits the targeting of medical infrastructural and medical person personnel, defined as noncombatants.114 His analysis, which also examines drone casualties in Pakistan, suggests that the normalization of the disintegration of the doctrine of medical neutrality is happening in and through the greater Middle East.115 Evidence for this assault on medical neutrality surfaced again when U.S. drone airstrikes hit a Doctors Without Borders hospital in Afghanistan. 116 Erevelles explains that “by foregrounding disability as an imperialist ideology that equates certain racialized, gendered, sexual, and class differences as ‘defect,’ it is possible to also foreground the eugenic impulses articulated via the ‘War on Terror’ . . . the sheer scope of this violence should be difficult to ignore and yet it is ignored, its invisibility justified by the imperialist/neocolonial state through its claims of regulating and controlling differences that are seen as disruptive to the ‘natural’ order of global civil society.”117 The targets of the war on terror are not civilians but rather are deemed terrorists, further justifying their debilitation. The import of Erevelles’s observation: racialization—in this case, as terrorist, as insurgent—is a licensing to disable, a projection of the simultaneous understanding that the racialized body is in a constant state of becoming disabled. Dewachi agrees, arguing that the blurring between combatant and noncombatant through the designation of “terrorist” in opposition to civilian is a “Eurocentric system of checks and balances” and a contemporary echo of colonial wars that works to legitimate ignoring medical neutrality protocol.118 When disability is perceived as the result of the exceptional accident or when its cause is unknown, reclaiming disability as a valuable, empowering difference may be more possible than when debilitation is caused by practices of global domination and social injustice. The apparatus of belated and disavowed disability can be constituted very crassly as such: </w:t>
      </w:r>
      <w:r w:rsidRPr="005C35E3">
        <w:rPr>
          <w:rStyle w:val="StyleUnderline"/>
        </w:rPr>
        <w:t>the United States displaces its production of debilitation through incarceration and racialization practices both “here” and in the “elsewhere,” temporally as well as spatially, creating objects of un-care— social pariahs. This then allows the foregrounding of and sustaining—capacitating, even—the proliferation of crip nationalism (the objects of care) in both literal and figurative senses. By reproducing this story about the capitalist transition from economic burden to object of care, the split between the disabled subject as valuable difference and the debilitated body as degraded object is sustained. What is revealed is that there has been hardly any such complete transition at all but instead a shuffling of the bodies that are deemed economically burdensome, as well as deepening entrenchment of their institutionalization and debilitation. Some versions of disability studies in the United States thus manifest a complex elision of their own imbrication in the production of debilitation through an absent critique of U.S. imperialism.</w:t>
      </w:r>
      <w:r w:rsidRPr="005C35E3">
        <w:rPr>
          <w:sz w:val="8"/>
        </w:rPr>
        <w:t xml:space="preserve"> The end</w:t>
      </w:r>
    </w:p>
    <w:p xmlns:wp14="http://schemas.microsoft.com/office/word/2010/wordml" w:rsidRPr="001641E7" w:rsidR="001860AB" w:rsidP="001860AB" w:rsidRDefault="001860AB" w14:paraId="463F29E8" wp14:textId="77777777"/>
    <w:p xmlns:wp14="http://schemas.microsoft.com/office/word/2010/wordml" w:rsidRPr="001641E7" w:rsidR="001860AB" w:rsidP="001860AB" w:rsidRDefault="001860AB" w14:paraId="7CAA531C" wp14:textId="77777777">
      <w:pPr>
        <w:pStyle w:val="Heading3"/>
        <w:rPr>
          <w:rFonts w:cs="Arial"/>
        </w:rPr>
      </w:pPr>
      <w:r w:rsidRPr="001641E7">
        <w:rPr>
          <w:rFonts w:cs="Arial"/>
        </w:rPr>
        <w:lastRenderedPageBreak/>
        <w:t>S: Vulnerability</w:t>
      </w:r>
    </w:p>
    <w:p xmlns:wp14="http://schemas.microsoft.com/office/word/2010/wordml" w:rsidRPr="001641E7" w:rsidR="001860AB" w:rsidP="001860AB" w:rsidRDefault="001860AB" w14:paraId="622F2A9C" wp14:textId="77777777">
      <w:pPr>
        <w:pStyle w:val="Heading4"/>
        <w:rPr>
          <w:rFonts w:cs="Arial"/>
        </w:rPr>
      </w:pPr>
      <w:bookmarkStart w:name="_Hlk517978492" w:id="1"/>
      <w:r w:rsidRPr="001641E7">
        <w:rPr>
          <w:rFonts w:cs="Arial"/>
        </w:rPr>
        <w:t>Starting with disability opens up an orientation towards co-constitutive vulnerability</w:t>
      </w:r>
    </w:p>
    <w:bookmarkEnd w:id="1"/>
    <w:p xmlns:wp14="http://schemas.microsoft.com/office/word/2010/wordml" w:rsidRPr="001641E7" w:rsidR="001860AB" w:rsidP="001860AB" w:rsidRDefault="001860AB" w14:paraId="38106524" wp14:textId="77777777">
      <w:pPr>
        <w:rPr>
          <w:sz w:val="14"/>
        </w:rPr>
      </w:pPr>
      <w:r w:rsidRPr="001641E7">
        <w:rPr>
          <w:rStyle w:val="Style13ptBold"/>
        </w:rPr>
        <w:t>Butler, Taylor, Taylor 2010</w:t>
      </w:r>
      <w:r w:rsidRPr="001641E7">
        <w:rPr>
          <w:sz w:val="14"/>
        </w:rPr>
        <w:t xml:space="preserve"> [Butler, Judith, et al. “Interdependance.” Examined Life, 2010. Judith Butler is an American philosopher and </w:t>
      </w:r>
      <w:hyperlink w:tooltip="Gender studies" w:history="1" r:id="rId14">
        <w:r w:rsidRPr="001641E7">
          <w:rPr>
            <w:rStyle w:val="Hyperlink"/>
            <w:sz w:val="14"/>
          </w:rPr>
          <w:t>gender theorist</w:t>
        </w:r>
      </w:hyperlink>
      <w:r w:rsidRPr="001641E7">
        <w:rPr>
          <w:sz w:val="14"/>
        </w:rPr>
        <w:t xml:space="preserve"> whose work has influenced </w:t>
      </w:r>
      <w:hyperlink w:tooltip="Political philosophy" w:history="1" r:id="rId15">
        <w:r w:rsidRPr="001641E7">
          <w:rPr>
            <w:rStyle w:val="Hyperlink"/>
            <w:sz w:val="14"/>
          </w:rPr>
          <w:t>political philosophy</w:t>
        </w:r>
      </w:hyperlink>
      <w:r w:rsidRPr="001641E7">
        <w:rPr>
          <w:sz w:val="14"/>
        </w:rPr>
        <w:t xml:space="preserve">, </w:t>
      </w:r>
      <w:hyperlink w:tooltip="Ethics" w:history="1" r:id="rId16">
        <w:r w:rsidRPr="001641E7">
          <w:rPr>
            <w:rStyle w:val="Hyperlink"/>
            <w:sz w:val="14"/>
          </w:rPr>
          <w:t>ethics</w:t>
        </w:r>
      </w:hyperlink>
      <w:r w:rsidRPr="001641E7">
        <w:rPr>
          <w:sz w:val="14"/>
        </w:rPr>
        <w:t xml:space="preserve"> and the fields of </w:t>
      </w:r>
      <w:hyperlink w:tooltip="Third-wave feminism" w:history="1" r:id="rId17">
        <w:r w:rsidRPr="001641E7">
          <w:rPr>
            <w:rStyle w:val="Hyperlink"/>
            <w:sz w:val="14"/>
          </w:rPr>
          <w:t>third-wave feminist</w:t>
        </w:r>
      </w:hyperlink>
      <w:r w:rsidRPr="001641E7">
        <w:rPr>
          <w:sz w:val="14"/>
        </w:rPr>
        <w:t xml:space="preserve">, </w:t>
      </w:r>
      <w:hyperlink w:tooltip="Queer theory" w:history="1" r:id="rId18">
        <w:r w:rsidRPr="001641E7">
          <w:rPr>
            <w:rStyle w:val="Hyperlink"/>
            <w:sz w:val="14"/>
          </w:rPr>
          <w:t>queer</w:t>
        </w:r>
      </w:hyperlink>
      <w:r w:rsidRPr="001641E7">
        <w:rPr>
          <w:sz w:val="14"/>
        </w:rPr>
        <w:t xml:space="preserve"> and </w:t>
      </w:r>
      <w:hyperlink w:tooltip="Literary theory" w:history="1" r:id="rId19">
        <w:r w:rsidRPr="001641E7">
          <w:rPr>
            <w:rStyle w:val="Hyperlink"/>
            <w:sz w:val="14"/>
          </w:rPr>
          <w:t>literary theory</w:t>
        </w:r>
      </w:hyperlink>
      <w:r w:rsidRPr="001641E7">
        <w:rPr>
          <w:sz w:val="14"/>
        </w:rPr>
        <w:t xml:space="preserve">. Since 1993, she has taught at the </w:t>
      </w:r>
      <w:hyperlink w:tooltip="University of California, Berkeley" w:history="1" r:id="rId20">
        <w:r w:rsidRPr="001641E7">
          <w:rPr>
            <w:rStyle w:val="Hyperlink"/>
            <w:sz w:val="14"/>
          </w:rPr>
          <w:t>University of California, Berkeley</w:t>
        </w:r>
      </w:hyperlink>
      <w:r w:rsidRPr="001641E7">
        <w:rPr>
          <w:sz w:val="14"/>
        </w:rPr>
        <w:t xml:space="preserve">, where she is now Maxine Elliot Professor in the Department of Comparative Literature and the Program of Critical Theory. She is also the </w:t>
      </w:r>
      <w:hyperlink w:tooltip="Hannah Arendt" w:history="1" r:id="rId21">
        <w:r w:rsidRPr="001641E7">
          <w:rPr>
            <w:rStyle w:val="Hyperlink"/>
            <w:sz w:val="14"/>
          </w:rPr>
          <w:t>Hannah Arendt</w:t>
        </w:r>
      </w:hyperlink>
      <w:r w:rsidRPr="001641E7">
        <w:rPr>
          <w:sz w:val="14"/>
        </w:rPr>
        <w:t xml:space="preserve"> Chair at the </w:t>
      </w:r>
      <w:hyperlink w:tooltip="European Graduate School" w:history="1" r:id="rId22">
        <w:r w:rsidRPr="001641E7">
          <w:rPr>
            <w:rStyle w:val="Hyperlink"/>
            <w:sz w:val="14"/>
          </w:rPr>
          <w:t>European Graduate School</w:t>
        </w:r>
      </w:hyperlink>
      <w:r w:rsidRPr="001641E7">
        <w:rPr>
          <w:sz w:val="14"/>
        </w:rPr>
        <w:t xml:space="preserve">. Sunaura "Sunny" Taylor is an </w:t>
      </w:r>
      <w:hyperlink w:tooltip="United States" w:history="1" r:id="rId23">
        <w:r w:rsidRPr="001641E7">
          <w:rPr>
            <w:rStyle w:val="Hyperlink"/>
            <w:sz w:val="14"/>
          </w:rPr>
          <w:t>American</w:t>
        </w:r>
      </w:hyperlink>
      <w:r w:rsidRPr="001641E7">
        <w:rPr>
          <w:sz w:val="14"/>
        </w:rPr>
        <w:t xml:space="preserve"> painter and activist for </w:t>
      </w:r>
      <w:hyperlink w:tooltip="Disability rights movement" w:history="1" r:id="rId24">
        <w:r w:rsidRPr="001641E7">
          <w:rPr>
            <w:rStyle w:val="Hyperlink"/>
            <w:sz w:val="14"/>
          </w:rPr>
          <w:t>disability</w:t>
        </w:r>
      </w:hyperlink>
      <w:r w:rsidRPr="001641E7">
        <w:rPr>
          <w:sz w:val="14"/>
        </w:rPr>
        <w:t xml:space="preserve"> and </w:t>
      </w:r>
      <w:hyperlink w:tooltip="Animal rights" w:history="1" r:id="rId25">
        <w:r w:rsidRPr="001641E7">
          <w:rPr>
            <w:rStyle w:val="Hyperlink"/>
            <w:sz w:val="14"/>
          </w:rPr>
          <w:t>animal rights</w:t>
        </w:r>
      </w:hyperlink>
      <w:r w:rsidRPr="001641E7">
        <w:rPr>
          <w:sz w:val="14"/>
        </w:rPr>
        <w:t xml:space="preserve">. She uses a wheelchair because of a congenital physical disability.  She currently resides in </w:t>
      </w:r>
      <w:hyperlink w:tooltip="Oakland, California" w:history="1" r:id="rId26">
        <w:r w:rsidRPr="001641E7">
          <w:rPr>
            <w:rStyle w:val="Hyperlink"/>
            <w:sz w:val="14"/>
          </w:rPr>
          <w:t>Oakland</w:t>
        </w:r>
      </w:hyperlink>
      <w:r w:rsidRPr="001641E7">
        <w:rPr>
          <w:sz w:val="14"/>
        </w:rPr>
        <w:t xml:space="preserve">, </w:t>
      </w:r>
      <w:hyperlink w:tooltip="California" w:history="1" r:id="rId27">
        <w:r w:rsidRPr="001641E7">
          <w:rPr>
            <w:rStyle w:val="Hyperlink"/>
            <w:sz w:val="14"/>
          </w:rPr>
          <w:t>California</w:t>
        </w:r>
      </w:hyperlink>
      <w:r w:rsidRPr="001641E7">
        <w:rPr>
          <w:sz w:val="14"/>
        </w:rPr>
        <w:t xml:space="preserve">, and has taught classes at the </w:t>
      </w:r>
      <w:hyperlink w:tooltip="University of California, Berkeley" w:history="1" r:id="rId28">
        <w:r w:rsidRPr="001641E7">
          <w:rPr>
            <w:rStyle w:val="Hyperlink"/>
            <w:sz w:val="14"/>
          </w:rPr>
          <w:t>University of California, Berkeley</w:t>
        </w:r>
      </w:hyperlink>
      <w:r w:rsidRPr="001641E7">
        <w:rPr>
          <w:sz w:val="14"/>
        </w:rPr>
        <w:t xml:space="preserve">.] //MMS </w:t>
      </w:r>
    </w:p>
    <w:p xmlns:wp14="http://schemas.microsoft.com/office/word/2010/wordml" w:rsidRPr="001641E7" w:rsidR="001860AB" w:rsidP="001860AB" w:rsidRDefault="001860AB" w14:paraId="2CC45790" wp14:textId="77777777">
      <w:pPr>
        <w:spacing w:after="316" w:line="266" w:lineRule="auto"/>
        <w:rPr>
          <w:rFonts w:eastAsia="Times New Roman"/>
          <w:sz w:val="10"/>
        </w:rPr>
      </w:pPr>
      <w:r w:rsidRPr="001641E7">
        <w:rPr>
          <w:sz w:val="10"/>
        </w:rPr>
        <w:t xml:space="preserve">This dialogue is unique in that it appears on camera as a conversation </w:t>
      </w:r>
      <w:r w:rsidRPr="001641E7">
        <w:rPr>
          <w:rFonts w:eastAsia="Times New Roman"/>
          <w:sz w:val="10"/>
        </w:rPr>
        <w:t>between two subjects. During one of my preliminary meetings with Ju</w:t>
      </w:r>
      <w:r w:rsidRPr="001641E7">
        <w:rPr>
          <w:sz w:val="10"/>
        </w:rPr>
        <w:t xml:space="preserve">dith Butler, I introduced her to my sister, Sunaura Taylor, a graduate </w:t>
      </w:r>
      <w:r w:rsidRPr="001641E7">
        <w:rPr>
          <w:rFonts w:eastAsia="Times New Roman"/>
          <w:sz w:val="10"/>
        </w:rPr>
        <w:t>student at Berkeley who uses a wheelchair because of</w:t>
      </w:r>
      <w:r w:rsidRPr="001641E7">
        <w:rPr>
          <w:sz w:val="10"/>
        </w:rPr>
        <w:t xml:space="preserve"> </w:t>
      </w:r>
      <w:r w:rsidRPr="001641E7">
        <w:rPr>
          <w:rFonts w:eastAsia="Times New Roman"/>
          <w:sz w:val="10"/>
        </w:rPr>
        <w:t>a congenital physi</w:t>
      </w:r>
      <w:r w:rsidRPr="001641E7">
        <w:rPr>
          <w:sz w:val="10"/>
        </w:rPr>
        <w:t>c</w:t>
      </w:r>
      <w:r w:rsidRPr="001641E7">
        <w:rPr>
          <w:rFonts w:eastAsia="Times New Roman"/>
          <w:sz w:val="10"/>
        </w:rPr>
        <w:t xml:space="preserve">al disability. After a long conversation over coffee, Butler suggested </w:t>
      </w:r>
      <w:r w:rsidRPr="001641E7">
        <w:rPr>
          <w:sz w:val="10"/>
        </w:rPr>
        <w:t xml:space="preserve">Sunaura participate in the filming process, rightly suspecting they would have many interesting things to talk about. The exuberantly murated streets and graffitied alleyways of San Francisco's Mission District provided their walk's setting. JUDITH BUTLER: Maybe I should start by saying why I thought this was a good thing to do? SUNAURA TAYLOR: That sounds great. </w:t>
      </w:r>
      <w:r w:rsidRPr="001641E7">
        <w:rPr>
          <w:rFonts w:eastAsia="Times New Roman"/>
          <w:sz w:val="10"/>
        </w:rPr>
        <w:t>BUTLER: A</w:t>
      </w:r>
      <w:r w:rsidRPr="001641E7">
        <w:rPr>
          <w:sz w:val="10"/>
        </w:rPr>
        <w:t>l</w:t>
      </w:r>
      <w:r w:rsidRPr="001641E7">
        <w:rPr>
          <w:rFonts w:eastAsia="Times New Roman"/>
          <w:sz w:val="10"/>
        </w:rPr>
        <w:t>I right, Sunny, so I thought that we should take this walk together, and one of the things I wanted to talk about was what means for us to take a walk together. When I first asked you about this, you told me you take walks, you take strolls—can you say something about what that is for you? do you do it and how do you do it and what words do you have for it?</w:t>
      </w:r>
      <w:r w:rsidRPr="001641E7">
        <w:rPr>
          <w:sz w:val="10"/>
        </w:rPr>
        <w:t xml:space="preserve"> </w:t>
      </w:r>
      <w:r w:rsidRPr="001641E7">
        <w:rPr>
          <w:rFonts w:eastAsia="Times New Roman"/>
          <w:sz w:val="10"/>
        </w:rPr>
        <w:t xml:space="preserve">s. TAYLOR: Well, I think always go for a walk, probably every day I go for a walk, and </w:t>
      </w:r>
      <w:r w:rsidRPr="001641E7">
        <w:rPr>
          <w:rStyle w:val="StyleUnderline"/>
        </w:rPr>
        <w:t>I always tell people I'm going for walks—I use that word even though can't physically walk. I mean, to me, I think the experience of going for a walk is probably very similar to anybody else's: it's a clearing of the mind, it's enjoying whatever I'm walking past. And my body is very involved even though I'm physically not walking. I have my own ways in which I engage my body, my balancing.</w:t>
      </w:r>
      <w:r w:rsidRPr="001641E7">
        <w:rPr>
          <w:rFonts w:eastAsia="Times New Roman"/>
          <w:sz w:val="10"/>
        </w:rPr>
        <w:t xml:space="preserve"> But yeah, I use that term: walking. And most of the disabled people that I know use that term also.</w:t>
      </w:r>
      <w:r w:rsidRPr="001641E7">
        <w:rPr>
          <w:sz w:val="10"/>
        </w:rPr>
        <w:t xml:space="preserve"> </w:t>
      </w:r>
      <w:r w:rsidRPr="001641E7">
        <w:rPr>
          <w:rFonts w:eastAsia="Times New Roman"/>
          <w:sz w:val="10"/>
        </w:rPr>
        <w:t>BUTLER: So you move when you walk, but you also have motorized movement, and it's a combination of movements, no?</w:t>
      </w:r>
      <w:r w:rsidRPr="001641E7">
        <w:rPr>
          <w:sz w:val="10"/>
        </w:rPr>
        <w:t xml:space="preserve"> </w:t>
      </w:r>
      <w:r w:rsidRPr="001641E7">
        <w:rPr>
          <w:rFonts w:eastAsia="Times New Roman"/>
          <w:sz w:val="10"/>
        </w:rPr>
        <w:t xml:space="preserve">s. TAYLOR: Yeah, it's a combination of movements. And it's very subtle movements also: </w:t>
      </w:r>
      <w:r w:rsidRPr="001641E7">
        <w:rPr>
          <w:rStyle w:val="StyleUnderline"/>
        </w:rPr>
        <w:t xml:space="preserve">moving my hand very subtly, movement of my back. I'm always moving though I'm not walking, </w:t>
      </w:r>
      <w:r w:rsidRPr="001641E7">
        <w:rPr>
          <w:rFonts w:eastAsia="Times New Roman"/>
          <w:sz w:val="10"/>
        </w:rPr>
        <w:t>BUTLER: It makes me wonder whether any of us move without techniques of movement. Everybody has to learn how to move in whatever ways they can.</w:t>
      </w:r>
      <w:r w:rsidRPr="001641E7">
        <w:rPr>
          <w:sz w:val="10"/>
        </w:rPr>
        <w:t xml:space="preserve"> </w:t>
      </w:r>
      <w:r w:rsidRPr="001641E7">
        <w:rPr>
          <w:rFonts w:eastAsia="Times New Roman"/>
          <w:sz w:val="10"/>
        </w:rPr>
        <w:t xml:space="preserve">s. TAYLOR: </w:t>
      </w:r>
      <w:r w:rsidRPr="001641E7">
        <w:rPr>
          <w:rStyle w:val="StyleUnderline"/>
        </w:rPr>
        <w:t xml:space="preserve">Well, we're very culturally ingrained early on to move in certain ways, to walk in certain ways, to gesture in certain ways. And for me it's very interesting to think about what it means to be born in a body that can't physically move in the culturally accepted ways, and you have to design your own movements. I would say that many culturally accepted movements are also restrictive on some level. </w:t>
      </w:r>
      <w:r w:rsidRPr="001641E7">
        <w:rPr>
          <w:rFonts w:eastAsia="Times New Roman"/>
          <w:sz w:val="10"/>
        </w:rPr>
        <w:t>BUTLER: It seems to me that there are two ways of thinking about this. One way of thinking about it is to say that when you walk you're supplemented by a chair, by wheels—they assist you in walking— and that differentiates you and other people in chairs from those who are not in chairs. On the other hand, it seems to me we could think that there's a more general condition, a shared condition, that we could even speak to,</w:t>
      </w:r>
      <w:r w:rsidRPr="001641E7">
        <w:rPr>
          <w:sz w:val="10"/>
        </w:rPr>
        <w:t xml:space="preserve"> </w:t>
      </w:r>
      <w:r w:rsidRPr="001641E7">
        <w:rPr>
          <w:rFonts w:eastAsia="Times New Roman"/>
          <w:sz w:val="10"/>
        </w:rPr>
        <w:t>I mean, it seems to me that</w:t>
      </w:r>
      <w:r w:rsidRPr="001641E7">
        <w:rPr>
          <w:rFonts w:eastAsia="Times New Roman"/>
          <w:sz w:val="14"/>
          <w:u w:val="single"/>
        </w:rPr>
        <w:t xml:space="preserve"> </w:t>
      </w:r>
      <w:r w:rsidRPr="001641E7">
        <w:rPr>
          <w:rStyle w:val="StyleUnderline"/>
        </w:rPr>
        <w:t>we're all supported in our movements by various kinds of things that are external to us. We all need certain kinds of surfaces we need certain kinds of shoes, certain kinds of weather, and even internally we need to be ambulatory in certain ways that may or may not be fully operative in all of us</w:t>
      </w:r>
      <w:r w:rsidRPr="001641E7">
        <w:rPr>
          <w:rFonts w:eastAsia="Times New Roman"/>
          <w:sz w:val="10"/>
        </w:rPr>
        <w:t xml:space="preserve">. And I'm just thinking that a walk always requires a certain kind of technique, a certain support. Nobody takes a walk without there being a technique of walking. Nobody goes for a walk without something that supports that walk, something outside of ourselves. And maybe </w:t>
      </w:r>
      <w:r w:rsidRPr="001641E7">
        <w:rPr>
          <w:rStyle w:val="StyleUnderline"/>
        </w:rPr>
        <w:t>we have a false idea that the able-bodied person is somehow radically self-sufficient. I think there's an idea of self-sufficiency that might be a fantasy and kind of an ideal norm that doesn't actually suit any of us or help any of us think about how we move or why we move as we move.</w:t>
      </w:r>
      <w:r w:rsidRPr="001641E7">
        <w:rPr>
          <w:sz w:val="10"/>
        </w:rPr>
        <w:t xml:space="preserve"> </w:t>
      </w:r>
      <w:r w:rsidRPr="001641E7">
        <w:rPr>
          <w:rFonts w:eastAsia="Times New Roman"/>
          <w:sz w:val="10"/>
        </w:rPr>
        <w:t>s. TAYLOR; I think that idea translates also into so many other, different</w:t>
      </w:r>
      <w:r w:rsidRPr="001641E7">
        <w:rPr>
          <w:sz w:val="10"/>
        </w:rPr>
        <w:t xml:space="preserve"> </w:t>
      </w:r>
      <w:r w:rsidRPr="001641E7">
        <w:rPr>
          <w:rFonts w:eastAsia="Times New Roman"/>
          <w:sz w:val="10"/>
        </w:rPr>
        <w:t xml:space="preserve">fields, this idea of independence. </w:t>
      </w:r>
      <w:r w:rsidRPr="001641E7">
        <w:rPr>
          <w:rStyle w:val="StyleUnderline"/>
        </w:rPr>
        <w:t>That</w:t>
      </w:r>
      <w:r w:rsidRPr="001641E7">
        <w:rPr>
          <w:rFonts w:eastAsia="Times New Roman"/>
          <w:sz w:val="14"/>
          <w:u w:val="single"/>
        </w:rPr>
        <w:t xml:space="preserve"> </w:t>
      </w:r>
      <w:r w:rsidRPr="001641E7">
        <w:rPr>
          <w:rStyle w:val="StyleUnderline"/>
        </w:rPr>
        <w:t>an able-bodied person can take a walk independently without anything else is sort of a myth. They do need certain ground, they do need shoes, as you said, they need social support. And I think that's something that definitely affects the image of disabled people. That somehow disabled people are perceived as more dependent, or that they are the ones that are dependent, when in actuality we are all interdependent, that is, dependent on different structures and on each other. There's also just the way that we are affected by other people's opinions when we're taking a walk and other people's views of us when we're taking a walk; disabled people are impacted by people's discomfort or by people's lack of knowing how to interact or react.</w:t>
      </w:r>
      <w:r w:rsidRPr="001641E7">
        <w:rPr>
          <w:rFonts w:eastAsia="Times New Roman"/>
          <w:sz w:val="10"/>
        </w:rPr>
        <w:t xml:space="preserve"> But I'm sure that's similar for all people in some ways.</w:t>
      </w:r>
      <w:r w:rsidRPr="001641E7">
        <w:rPr>
          <w:sz w:val="10"/>
        </w:rPr>
        <w:t xml:space="preserve"> </w:t>
      </w:r>
      <w:r w:rsidRPr="001641E7">
        <w:rPr>
          <w:rFonts w:eastAsia="Times New Roman"/>
          <w:sz w:val="10"/>
        </w:rPr>
        <w:t xml:space="preserve">BUTLER: So what seems clear to me is that we're always conditioned to take a walk. Certain conditions have to be met. We need means of mobilization, we need support, we need surfaces. And it seems to me that </w:t>
      </w:r>
      <w:r w:rsidRPr="001641E7">
        <w:rPr>
          <w:rStyle w:val="StyleUnderline"/>
        </w:rPr>
        <w:t xml:space="preserve">having the use of your feet is not a necessary condition for a walk. That's one of the things that becomes most clear when you talk about taking a walk or taking a stroll. Feet can be one means of mobilizing </w:t>
      </w:r>
      <w:r w:rsidRPr="001641E7">
        <w:rPr>
          <w:rStyle w:val="StyleUnderline"/>
        </w:rPr>
        <w:lastRenderedPageBreak/>
        <w:t xml:space="preserve">the body, but certainly not the only one, and not even a necessary one. And that means we get to rethink what a walk is in terms of all the things that power our movement, all the conditions that support our mobility. </w:t>
      </w:r>
      <w:r w:rsidRPr="001641E7">
        <w:rPr>
          <w:rFonts w:eastAsia="Times New Roman"/>
          <w:sz w:val="10"/>
        </w:rPr>
        <w:t>s. TAYLOR: And I have many friends who don't have feet who go for walks. BUTLER: Let's talk about this: Which environments make it possible for you to take a walk? does the environment have to be like in order to support your mobility?</w:t>
      </w:r>
      <w:r w:rsidRPr="001641E7">
        <w:rPr>
          <w:sz w:val="10"/>
        </w:rPr>
        <w:t xml:space="preserve"> </w:t>
      </w:r>
      <w:r w:rsidRPr="001641E7">
        <w:rPr>
          <w:rFonts w:eastAsia="Times New Roman"/>
          <w:sz w:val="10"/>
        </w:rPr>
        <w:t xml:space="preserve">s. TAYLOR: Well, </w:t>
      </w:r>
      <w:r w:rsidRPr="001641E7">
        <w:rPr>
          <w:rStyle w:val="StyleUnderline"/>
        </w:rPr>
        <w:t>disability really dramatizes all these conditions that affect us, that affect both disabled people and able-bodied people</w:t>
      </w:r>
      <w:r w:rsidRPr="001641E7">
        <w:rPr>
          <w:rFonts w:eastAsia="Times New Roman"/>
          <w:sz w:val="10"/>
        </w:rPr>
        <w:t xml:space="preserve">. For example, </w:t>
      </w:r>
      <w:r w:rsidRPr="001641E7">
        <w:rPr>
          <w:rStyle w:val="StyleUnderline"/>
        </w:rPr>
        <w:t>a real physical condition for me would be if we're taking a walk and then suddenly there's no curb cut. Then I would literally have to stop taking my walk. And so the physical environment for a disabled person</w:t>
      </w:r>
      <w:r w:rsidRPr="001641E7">
        <w:rPr>
          <w:rFonts w:eastAsia="Times New Roman"/>
          <w:sz w:val="10"/>
        </w:rPr>
        <w:t>—at least at this time in our history, in our culture—</w:t>
      </w:r>
      <w:r w:rsidRPr="001641E7">
        <w:rPr>
          <w:rStyle w:val="StyleUnderline"/>
        </w:rPr>
        <w:t>makes the effects of the environment much more obvious when in fact even the movements of able-bodied people are influenced by similar factors. I've been in suburban environments created for cars and where there are no safe spaces to walk, where walking can be very hazardous. So the existence of sidewalks and paths show that able-bodied people also depend on spaces designed for them</w:t>
      </w:r>
      <w:r w:rsidRPr="001641E7">
        <w:rPr>
          <w:rFonts w:eastAsia="Times New Roman"/>
          <w:sz w:val="10"/>
        </w:rPr>
        <w:t>. Does that make sense?</w:t>
      </w:r>
    </w:p>
    <w:p xmlns:wp14="http://schemas.microsoft.com/office/word/2010/wordml" w:rsidRPr="001641E7" w:rsidR="001860AB" w:rsidP="001860AB" w:rsidRDefault="001860AB" w14:paraId="44184EB0" wp14:textId="77777777">
      <w:pPr>
        <w:pStyle w:val="Heading4"/>
        <w:rPr>
          <w:rFonts w:cs="Arial"/>
        </w:rPr>
      </w:pPr>
      <w:r w:rsidRPr="001641E7">
        <w:rPr>
          <w:rFonts w:cs="Arial"/>
        </w:rPr>
        <w:t>We must reorient ourselves to view the human condition as one of interdependency based on systems of care.  This is necessary to combat the way that capitalism evaluates someone’s humanness based on their ability to work.</w:t>
      </w:r>
    </w:p>
    <w:p xmlns:wp14="http://schemas.microsoft.com/office/word/2010/wordml" w:rsidRPr="001641E7" w:rsidR="001860AB" w:rsidP="001860AB" w:rsidRDefault="001860AB" w14:paraId="7C9D96B9" wp14:textId="77777777">
      <w:pPr>
        <w:rPr>
          <w:sz w:val="14"/>
        </w:rPr>
      </w:pPr>
      <w:r w:rsidRPr="001641E7">
        <w:rPr>
          <w:rStyle w:val="Style13ptBold"/>
        </w:rPr>
        <w:t>Butler, Taylor, Taylor 2010</w:t>
      </w:r>
      <w:r w:rsidRPr="001641E7">
        <w:rPr>
          <w:sz w:val="14"/>
        </w:rPr>
        <w:t xml:space="preserve"> [Butler, Judith, et al. “Interdependance.” Examined Life, 2010. Judith Butler is an American philosopher and </w:t>
      </w:r>
      <w:hyperlink w:tooltip="Gender studies" w:history="1" r:id="rId29">
        <w:r w:rsidRPr="001641E7">
          <w:rPr>
            <w:rStyle w:val="Hyperlink"/>
            <w:sz w:val="14"/>
          </w:rPr>
          <w:t>gender theorist</w:t>
        </w:r>
      </w:hyperlink>
      <w:r w:rsidRPr="001641E7">
        <w:rPr>
          <w:sz w:val="14"/>
        </w:rPr>
        <w:t xml:space="preserve"> whose work has influenced </w:t>
      </w:r>
      <w:hyperlink w:tooltip="Political philosophy" w:history="1" r:id="rId30">
        <w:r w:rsidRPr="001641E7">
          <w:rPr>
            <w:rStyle w:val="Hyperlink"/>
            <w:sz w:val="14"/>
          </w:rPr>
          <w:t>political philosophy</w:t>
        </w:r>
      </w:hyperlink>
      <w:r w:rsidRPr="001641E7">
        <w:rPr>
          <w:sz w:val="14"/>
        </w:rPr>
        <w:t xml:space="preserve">, </w:t>
      </w:r>
      <w:hyperlink w:tooltip="Ethics" w:history="1" r:id="rId31">
        <w:r w:rsidRPr="001641E7">
          <w:rPr>
            <w:rStyle w:val="Hyperlink"/>
            <w:sz w:val="14"/>
          </w:rPr>
          <w:t>ethics</w:t>
        </w:r>
      </w:hyperlink>
      <w:r w:rsidRPr="001641E7">
        <w:rPr>
          <w:sz w:val="14"/>
        </w:rPr>
        <w:t xml:space="preserve"> and the fields of </w:t>
      </w:r>
      <w:hyperlink w:tooltip="Third-wave feminism" w:history="1" r:id="rId32">
        <w:r w:rsidRPr="001641E7">
          <w:rPr>
            <w:rStyle w:val="Hyperlink"/>
            <w:sz w:val="14"/>
          </w:rPr>
          <w:t>third-wave feminist</w:t>
        </w:r>
      </w:hyperlink>
      <w:r w:rsidRPr="001641E7">
        <w:rPr>
          <w:sz w:val="14"/>
        </w:rPr>
        <w:t xml:space="preserve">, </w:t>
      </w:r>
      <w:hyperlink w:tooltip="Queer theory" w:history="1" r:id="rId33">
        <w:r w:rsidRPr="001641E7">
          <w:rPr>
            <w:rStyle w:val="Hyperlink"/>
            <w:sz w:val="14"/>
          </w:rPr>
          <w:t>queer</w:t>
        </w:r>
      </w:hyperlink>
      <w:r w:rsidRPr="001641E7">
        <w:rPr>
          <w:sz w:val="14"/>
        </w:rPr>
        <w:t xml:space="preserve"> and </w:t>
      </w:r>
      <w:hyperlink w:tooltip="Literary theory" w:history="1" r:id="rId34">
        <w:r w:rsidRPr="001641E7">
          <w:rPr>
            <w:rStyle w:val="Hyperlink"/>
            <w:sz w:val="14"/>
          </w:rPr>
          <w:t>literary theory</w:t>
        </w:r>
      </w:hyperlink>
      <w:r w:rsidRPr="001641E7">
        <w:rPr>
          <w:sz w:val="14"/>
        </w:rPr>
        <w:t xml:space="preserve">. Since 1993, she has taught at the </w:t>
      </w:r>
      <w:hyperlink w:tooltip="University of California, Berkeley" w:history="1" r:id="rId35">
        <w:r w:rsidRPr="001641E7">
          <w:rPr>
            <w:rStyle w:val="Hyperlink"/>
            <w:sz w:val="14"/>
          </w:rPr>
          <w:t>University of California, Berkeley</w:t>
        </w:r>
      </w:hyperlink>
      <w:r w:rsidRPr="001641E7">
        <w:rPr>
          <w:sz w:val="14"/>
        </w:rPr>
        <w:t xml:space="preserve">, where she is now Maxine Elliot Professor in the Department of Comparative Literature and the Program of Critical Theory. She is also the </w:t>
      </w:r>
      <w:hyperlink w:tooltip="Hannah Arendt" w:history="1" r:id="rId36">
        <w:r w:rsidRPr="001641E7">
          <w:rPr>
            <w:rStyle w:val="Hyperlink"/>
            <w:sz w:val="14"/>
          </w:rPr>
          <w:t>Hannah Arendt</w:t>
        </w:r>
      </w:hyperlink>
      <w:r w:rsidRPr="001641E7">
        <w:rPr>
          <w:sz w:val="14"/>
        </w:rPr>
        <w:t xml:space="preserve"> Chair at the </w:t>
      </w:r>
      <w:hyperlink w:tooltip="European Graduate School" w:history="1" r:id="rId37">
        <w:r w:rsidRPr="001641E7">
          <w:rPr>
            <w:rStyle w:val="Hyperlink"/>
            <w:sz w:val="14"/>
          </w:rPr>
          <w:t>European Graduate School</w:t>
        </w:r>
      </w:hyperlink>
      <w:r w:rsidRPr="001641E7">
        <w:rPr>
          <w:sz w:val="14"/>
        </w:rPr>
        <w:t xml:space="preserve">. Sunaura "Sunny" Taylor is an </w:t>
      </w:r>
      <w:hyperlink w:tooltip="United States" w:history="1" r:id="rId38">
        <w:r w:rsidRPr="001641E7">
          <w:rPr>
            <w:rStyle w:val="Hyperlink"/>
            <w:sz w:val="14"/>
          </w:rPr>
          <w:t>American</w:t>
        </w:r>
      </w:hyperlink>
      <w:r w:rsidRPr="001641E7">
        <w:rPr>
          <w:sz w:val="14"/>
        </w:rPr>
        <w:t xml:space="preserve"> painter and activist for </w:t>
      </w:r>
      <w:hyperlink w:tooltip="Disability rights movement" w:history="1" r:id="rId39">
        <w:r w:rsidRPr="001641E7">
          <w:rPr>
            <w:rStyle w:val="Hyperlink"/>
            <w:sz w:val="14"/>
          </w:rPr>
          <w:t>disability</w:t>
        </w:r>
      </w:hyperlink>
      <w:r w:rsidRPr="001641E7">
        <w:rPr>
          <w:sz w:val="14"/>
        </w:rPr>
        <w:t xml:space="preserve"> and </w:t>
      </w:r>
      <w:hyperlink w:tooltip="Animal rights" w:history="1" r:id="rId40">
        <w:r w:rsidRPr="001641E7">
          <w:rPr>
            <w:rStyle w:val="Hyperlink"/>
            <w:sz w:val="14"/>
          </w:rPr>
          <w:t>animal rights</w:t>
        </w:r>
      </w:hyperlink>
      <w:r w:rsidRPr="001641E7">
        <w:rPr>
          <w:sz w:val="14"/>
        </w:rPr>
        <w:t xml:space="preserve">. She uses a wheelchair because of a congenital physical disability.  She currently resides in </w:t>
      </w:r>
      <w:hyperlink w:tooltip="Oakland, California" w:history="1" r:id="rId41">
        <w:r w:rsidRPr="001641E7">
          <w:rPr>
            <w:rStyle w:val="Hyperlink"/>
            <w:sz w:val="14"/>
          </w:rPr>
          <w:t>Oakland</w:t>
        </w:r>
      </w:hyperlink>
      <w:r w:rsidRPr="001641E7">
        <w:rPr>
          <w:sz w:val="14"/>
        </w:rPr>
        <w:t xml:space="preserve">, </w:t>
      </w:r>
      <w:hyperlink w:tooltip="California" w:history="1" r:id="rId42">
        <w:r w:rsidRPr="001641E7">
          <w:rPr>
            <w:rStyle w:val="Hyperlink"/>
            <w:sz w:val="14"/>
          </w:rPr>
          <w:t>California</w:t>
        </w:r>
      </w:hyperlink>
      <w:r w:rsidRPr="001641E7">
        <w:rPr>
          <w:sz w:val="14"/>
        </w:rPr>
        <w:t xml:space="preserve">, and has taught classes at the </w:t>
      </w:r>
      <w:hyperlink w:tooltip="University of California, Berkeley" w:history="1" r:id="rId43">
        <w:r w:rsidRPr="001641E7">
          <w:rPr>
            <w:rStyle w:val="Hyperlink"/>
            <w:sz w:val="14"/>
          </w:rPr>
          <w:t>University of California, Berkeley</w:t>
        </w:r>
      </w:hyperlink>
      <w:r w:rsidRPr="001641E7">
        <w:rPr>
          <w:sz w:val="14"/>
        </w:rPr>
        <w:t xml:space="preserve">.] //MMS </w:t>
      </w:r>
    </w:p>
    <w:p xmlns:wp14="http://schemas.microsoft.com/office/word/2010/wordml" w:rsidRPr="001641E7" w:rsidR="001860AB" w:rsidP="001860AB" w:rsidRDefault="001860AB" w14:paraId="177712F5" wp14:textId="77777777">
      <w:pPr>
        <w:spacing w:after="24"/>
        <w:ind w:right="14"/>
      </w:pPr>
      <w:r w:rsidRPr="001641E7">
        <w:rPr>
          <w:rFonts w:eastAsia="Times New Roman"/>
          <w:sz w:val="14"/>
        </w:rPr>
        <w:t>I</w:t>
      </w:r>
      <w:r w:rsidRPr="001641E7">
        <w:rPr>
          <w:sz w:val="14"/>
        </w:rPr>
        <w:t>’</w:t>
      </w:r>
      <w:r w:rsidRPr="001641E7">
        <w:rPr>
          <w:rFonts w:eastAsia="Times New Roman"/>
          <w:sz w:val="14"/>
        </w:rPr>
        <w:t>m interested in that moment where you picked up that article at the age of twenty or whatever it was. I wonder what the language was that allowed you to recognize that disability was not a purely personal issue, that it was socially constituted, and what kind of empowerment is involved in that recognition? And it's hard because it means there's a limit to individualism, although each of us are obviously negotiating our individual solutions to the problems of ability, disability, gender normativity, al</w:t>
      </w:r>
      <w:r w:rsidRPr="001641E7">
        <w:rPr>
          <w:sz w:val="14"/>
        </w:rPr>
        <w:t>l</w:t>
      </w:r>
      <w:r w:rsidRPr="001641E7">
        <w:rPr>
          <w:rFonts w:eastAsia="Times New Roman"/>
          <w:sz w:val="14"/>
        </w:rPr>
        <w:t xml:space="preserve"> these issues, we can't do that as radical individuals. We can only do it by entering social space, demanding different kinds of recognition, producing certain kinds of bodily scandals in the world, and, also, acting in concert with other people as a way of changing what is normative and what is not.</w:t>
      </w:r>
      <w:r w:rsidRPr="001641E7">
        <w:rPr>
          <w:sz w:val="14"/>
        </w:rPr>
        <w:t xml:space="preserve"> </w:t>
      </w:r>
      <w:r w:rsidRPr="001641E7">
        <w:rPr>
          <w:rFonts w:eastAsia="Times New Roman"/>
          <w:sz w:val="14"/>
        </w:rPr>
        <w:t xml:space="preserve">Again I think underlying all of this is the idea that </w:t>
      </w:r>
      <w:r w:rsidRPr="001641E7">
        <w:rPr>
          <w:rStyle w:val="StyleUnderline"/>
        </w:rPr>
        <w:t>we are interdependent as we try and attract certain social transformations that affect us at very personal levels</w:t>
      </w:r>
      <w:r w:rsidRPr="001641E7">
        <w:rPr>
          <w:rFonts w:eastAsia="Times New Roman"/>
        </w:rPr>
        <w:t xml:space="preserve">, </w:t>
      </w:r>
      <w:r w:rsidRPr="001641E7">
        <w:rPr>
          <w:rFonts w:eastAsia="Times New Roman"/>
          <w:sz w:val="14"/>
        </w:rPr>
        <w:t xml:space="preserve">right? How I can love and how I can move and how I can eat. I think this also links to the idea that </w:t>
      </w:r>
      <w:r w:rsidRPr="001641E7">
        <w:rPr>
          <w:rStyle w:val="StyleUnderline"/>
        </w:rPr>
        <w:t>the body is itself</w:t>
      </w:r>
      <w:r w:rsidRPr="001641E7">
        <w:rPr>
          <w:rFonts w:eastAsia="Times New Roman"/>
          <w:sz w:val="14"/>
        </w:rPr>
        <w:t>—whatever else it is—</w:t>
      </w:r>
      <w:r w:rsidRPr="001641E7">
        <w:rPr>
          <w:rStyle w:val="StyleUnderline"/>
        </w:rPr>
        <w:t xml:space="preserve">a site of dependency. None of us come to the world independently. Infants are radically dependent. We're all radically dependent, and if we're not cared for by others, if we can't rely on that care, we cannot thrive, and even what we call our self-sufficiency, whatever that might be, can't come into being without a certain kind of well-met dependency, a dependency that got addressed and continues to be addressed. And its not as if any of us, no matter how able-bodied we are, overcome that dependency when we become adults. We might posture as if we do, but think about the systems on which all of our bodies depend. </w:t>
      </w:r>
      <w:r w:rsidRPr="001641E7">
        <w:rPr>
          <w:rFonts w:eastAsia="Times New Roman"/>
          <w:sz w:val="14"/>
        </w:rPr>
        <w:t>It's quite astonishing if you think about</w:t>
      </w:r>
      <w:r w:rsidRPr="001641E7">
        <w:rPr>
          <w:rFonts w:eastAsia="Times New Roman"/>
          <w:sz w:val="14"/>
          <w:u w:val="single"/>
        </w:rPr>
        <w:t xml:space="preserve"> </w:t>
      </w:r>
      <w:r w:rsidRPr="001641E7">
        <w:rPr>
          <w:rStyle w:val="StyleUnderline"/>
        </w:rPr>
        <w:t xml:space="preserve">health care or </w:t>
      </w:r>
      <w:r w:rsidRPr="001641E7">
        <w:rPr>
          <w:rFonts w:eastAsia="Times New Roman"/>
          <w:sz w:val="14"/>
        </w:rPr>
        <w:t>you think about systems of</w:t>
      </w:r>
      <w:r w:rsidRPr="001641E7">
        <w:rPr>
          <w:rFonts w:eastAsia="Times New Roman"/>
          <w:sz w:val="14"/>
          <w:u w:val="single"/>
        </w:rPr>
        <w:t xml:space="preserve"> </w:t>
      </w:r>
      <w:r w:rsidRPr="001641E7">
        <w:rPr>
          <w:rStyle w:val="StyleUnderline"/>
        </w:rPr>
        <w:t xml:space="preserve">shelter or any number of things like that. </w:t>
      </w:r>
      <w:r w:rsidRPr="001641E7">
        <w:rPr>
          <w:rFonts w:eastAsia="Times New Roman"/>
          <w:sz w:val="14"/>
        </w:rPr>
        <w:t xml:space="preserve">s. TAYLOR: </w:t>
      </w:r>
      <w:r w:rsidRPr="001641E7">
        <w:rPr>
          <w:rStyle w:val="StyleUnderline"/>
        </w:rPr>
        <w:t xml:space="preserve">The disability community </w:t>
      </w:r>
      <w:r w:rsidRPr="001641E7">
        <w:rPr>
          <w:rFonts w:eastAsia="Times New Roman"/>
          <w:sz w:val="14"/>
        </w:rPr>
        <w:t>sort of</w:t>
      </w:r>
      <w:r w:rsidRPr="001641E7">
        <w:rPr>
          <w:rFonts w:eastAsia="Times New Roman"/>
          <w:sz w:val="14"/>
          <w:u w:val="single"/>
        </w:rPr>
        <w:t xml:space="preserve"> </w:t>
      </w:r>
      <w:r w:rsidRPr="001641E7">
        <w:rPr>
          <w:rStyle w:val="StyleUnderline"/>
        </w:rPr>
        <w:t xml:space="preserve">has this distinction between what people think of as being independent and actual individual physical independence. </w:t>
      </w:r>
      <w:r w:rsidRPr="001641E7">
        <w:rPr>
          <w:rFonts w:eastAsia="Times New Roman"/>
          <w:sz w:val="14"/>
        </w:rPr>
        <w:t>Because, the truth is,</w:t>
      </w:r>
      <w:r w:rsidRPr="001641E7">
        <w:rPr>
          <w:rFonts w:eastAsia="Times New Roman"/>
        </w:rPr>
        <w:t xml:space="preserve"> </w:t>
      </w:r>
      <w:r w:rsidRPr="001641E7">
        <w:rPr>
          <w:rStyle w:val="StyleUnderline"/>
        </w:rPr>
        <w:t>in our society right now it's realty about being in control of services. It's being able to be in control and choose</w:t>
      </w:r>
      <w:r w:rsidRPr="001641E7">
        <w:rPr>
          <w:rFonts w:eastAsia="Times New Roman"/>
        </w:rPr>
        <w:t xml:space="preserve">. </w:t>
      </w:r>
      <w:r w:rsidRPr="001641E7">
        <w:rPr>
          <w:rFonts w:eastAsia="Times New Roman"/>
          <w:sz w:val="14"/>
        </w:rPr>
        <w:t>I think this way of understanding independence is helpful.</w:t>
      </w:r>
      <w:r w:rsidRPr="001641E7">
        <w:rPr>
          <w:sz w:val="14"/>
        </w:rPr>
        <w:t xml:space="preserve"> </w:t>
      </w:r>
      <w:r w:rsidRPr="001641E7">
        <w:rPr>
          <w:rFonts w:eastAsia="Times New Roman"/>
          <w:sz w:val="14"/>
        </w:rPr>
        <w:t xml:space="preserve">BUTLER: Yeah, but </w:t>
      </w:r>
      <w:r w:rsidRPr="001641E7">
        <w:rPr>
          <w:rStyle w:val="StyleUnderline"/>
        </w:rPr>
        <w:t xml:space="preserve">even if we take that formulation, to be independent is to have the ability to choose certain kinds of services— that depends on a world of services being in place. That depends on Republicans not controlling the universe and the social-service economy not being decimated by the effects of capitalism. There are so many things we are dependent on in order to exercise what we call our autonomy. </w:t>
      </w:r>
      <w:r w:rsidRPr="001641E7">
        <w:rPr>
          <w:rFonts w:eastAsia="Times New Roman"/>
          <w:sz w:val="14"/>
        </w:rPr>
        <w:t xml:space="preserve">My sense is that </w:t>
      </w:r>
      <w:r w:rsidRPr="001641E7">
        <w:rPr>
          <w:rStyle w:val="StyleUnderline"/>
        </w:rPr>
        <w:t xml:space="preserve">what's at </w:t>
      </w:r>
      <w:r w:rsidRPr="001641E7">
        <w:rPr>
          <w:rStyle w:val="StyleUnderline"/>
        </w:rPr>
        <w:lastRenderedPageBreak/>
        <w:t xml:space="preserve">stake here, both in the kind of gender politics </w:t>
      </w:r>
      <w:r w:rsidRPr="001641E7">
        <w:rPr>
          <w:rFonts w:eastAsia="Times New Roman"/>
          <w:sz w:val="14"/>
        </w:rPr>
        <w:t>like we've been talking about</w:t>
      </w:r>
      <w:r w:rsidRPr="001641E7">
        <w:rPr>
          <w:rFonts w:eastAsia="Times New Roman"/>
          <w:sz w:val="14"/>
          <w:u w:val="single"/>
        </w:rPr>
        <w:t xml:space="preserve"> </w:t>
      </w:r>
      <w:r w:rsidRPr="001641E7">
        <w:rPr>
          <w:rStyle w:val="StyleUnderline"/>
        </w:rPr>
        <w:t xml:space="preserve">and the disability movement, is really rethinking the human as a site of interdependency. I think that there are certain notions of autonomy, of self-sufficiency, that have actually led us astray, that have made us think about individuals as self-motored, and, in fact, individuals are never self-motored, no one comes into the world self-motored. And to the degree that we find ways of moving, of living, we do so because we've been cared for by people and we continue to be cared for by people. Systems of care are essential to human relationality and they don't ever cease to be. And that becomes especially true with illness, it becomes true with aging, but I think it's true within every phase of life. </w:t>
      </w:r>
      <w:r w:rsidRPr="001641E7">
        <w:rPr>
          <w:rFonts w:eastAsia="Times New Roman"/>
          <w:sz w:val="14"/>
        </w:rPr>
        <w:t xml:space="preserve">s. TAYLOR: Yeah. I do think </w:t>
      </w:r>
      <w:r w:rsidRPr="001641E7">
        <w:rPr>
          <w:rStyle w:val="StyleUnderline"/>
        </w:rPr>
        <w:t xml:space="preserve">it's important in this conversation just to think about economics and capitalism and how that has affected and created, in a lot of ways, this myth of self-sufficiency and of independence. And also how capitalism in so many ways treats some human beings as… </w:t>
      </w:r>
      <w:r w:rsidRPr="001641E7">
        <w:rPr>
          <w:rFonts w:eastAsia="Times New Roman"/>
          <w:sz w:val="14"/>
          <w:szCs w:val="14"/>
        </w:rPr>
        <w:t>BUTLER: Expendable?</w:t>
      </w:r>
      <w:r w:rsidRPr="001641E7">
        <w:rPr>
          <w:sz w:val="14"/>
          <w:szCs w:val="14"/>
          <w:u w:val="single"/>
        </w:rPr>
        <w:t xml:space="preserve"> </w:t>
      </w:r>
      <w:r w:rsidRPr="001641E7">
        <w:rPr>
          <w:rFonts w:eastAsia="Times New Roman"/>
          <w:sz w:val="14"/>
          <w:szCs w:val="14"/>
        </w:rPr>
        <w:t>s. TAYLOR:</w:t>
      </w:r>
      <w:r w:rsidRPr="001641E7">
        <w:rPr>
          <w:rFonts w:eastAsia="Times New Roman"/>
          <w:sz w:val="16"/>
        </w:rPr>
        <w:t xml:space="preserve"> </w:t>
      </w:r>
      <w:r w:rsidRPr="001641E7">
        <w:rPr>
          <w:rStyle w:val="StyleUnderline"/>
        </w:rPr>
        <w:t xml:space="preserve">Expendable, because they're no longer efficient in the workplace. And I think that has a lot to do with aging and weakness and disability. To put it really simply, certain bodies can't be good workers, and all bodies at a certain point in the process of aging won't be good workers. </w:t>
      </w:r>
      <w:r w:rsidRPr="001641E7">
        <w:rPr>
          <w:rFonts w:eastAsia="Times New Roman"/>
          <w:sz w:val="14"/>
        </w:rPr>
        <w:t xml:space="preserve">I guess the question is, what do we want from society? What do we want a society to be? </w:t>
      </w:r>
      <w:r w:rsidRPr="001641E7">
        <w:rPr>
          <w:rStyle w:val="StyleUnderline"/>
        </w:rPr>
        <w:t xml:space="preserve">Do we want a society that only values people for the ways in which their bodies are efficient or fit these norms of productivity and profit? Or do we want society to value the sort of dependency that all people share? </w:t>
      </w:r>
      <w:r w:rsidRPr="001641E7">
        <w:rPr>
          <w:rFonts w:eastAsia="Times New Roman"/>
          <w:sz w:val="14"/>
        </w:rPr>
        <w:t xml:space="preserve">BUTLER: Well, of course </w:t>
      </w:r>
      <w:r w:rsidRPr="001641E7">
        <w:rPr>
          <w:rStyle w:val="StyleUnderline"/>
        </w:rPr>
        <w:t>one of the problems of capitalism is that it exploits precisely that dependency</w:t>
      </w:r>
      <w:r w:rsidRPr="001641E7">
        <w:rPr>
          <w:rFonts w:eastAsia="Times New Roman"/>
        </w:rPr>
        <w:t xml:space="preserve">, </w:t>
      </w:r>
      <w:r w:rsidRPr="001641E7">
        <w:rPr>
          <w:rFonts w:eastAsia="Times New Roman"/>
          <w:sz w:val="14"/>
        </w:rPr>
        <w:t xml:space="preserve">right? </w:t>
      </w:r>
      <w:r w:rsidRPr="001641E7">
        <w:rPr>
          <w:rStyle w:val="StyleUnderline"/>
        </w:rPr>
        <w:t>It offers a certain prospect of survivability to those who can comply with its work norms. And it does actually have a stake in keeping a working-class dependent in that way</w:t>
      </w:r>
      <w:r w:rsidRPr="001641E7">
        <w:rPr>
          <w:rFonts w:eastAsia="Times New Roman"/>
          <w:sz w:val="14"/>
        </w:rPr>
        <w:t>. The question is, what would dependency look like if it weren't being exploited under those kinds of conditions? And I think</w:t>
      </w:r>
      <w:r w:rsidRPr="001641E7">
        <w:rPr>
          <w:sz w:val="14"/>
        </w:rPr>
        <w:t xml:space="preserve"> </w:t>
      </w:r>
      <w:r w:rsidRPr="001641E7">
        <w:rPr>
          <w:rFonts w:eastAsia="Times New Roman"/>
          <w:sz w:val="14"/>
        </w:rPr>
        <w:t xml:space="preserve">when you walk into the coffee shop, if I can go back to that moment for a moment, and you ask for the coffee, or you even ask for some assistance with the coffee, the question of asking for assistance is also a question in which you're basically posing the question: Do we or do we not live in a world in which we assist each other? Do we or do we not help each other with basic needs? And are basic needs there to be kind of decided on as a social issue and not just my personal, individual issue or your personal, individual issue? So there's a challenge to individualism that happens in the moment in which you ask for some assistance with the coffee cup. And hopefully people will take it up and say, "Yes, I too </w:t>
      </w:r>
      <w:r w:rsidRPr="001641E7">
        <w:rPr>
          <w:sz w:val="14"/>
        </w:rPr>
        <w:t>l</w:t>
      </w:r>
      <w:r w:rsidRPr="001641E7">
        <w:rPr>
          <w:rFonts w:eastAsia="Times New Roman"/>
          <w:sz w:val="14"/>
        </w:rPr>
        <w:t>ive in that world in which understand that we need each other in order to address our basic needs. And I want to organize a social and political world on the basis of that recognition!" It's no less than that kind of challenge.</w:t>
      </w:r>
      <w:r w:rsidRPr="001641E7">
        <w:rPr>
          <w:sz w:val="14"/>
        </w:rPr>
        <w:t xml:space="preserve"> </w:t>
      </w:r>
      <w:r w:rsidRPr="001641E7">
        <w:rPr>
          <w:rFonts w:eastAsia="Times New Roman"/>
          <w:sz w:val="14"/>
        </w:rPr>
        <w:t>But I think what we're also seeing these days—and we see it in Europe with the decimation of the social welfare state, I think</w:t>
      </w:r>
      <w:r w:rsidRPr="001641E7">
        <w:rPr>
          <w:rFonts w:eastAsia="Times New Roman"/>
        </w:rPr>
        <w:t xml:space="preserve"> </w:t>
      </w:r>
      <w:r w:rsidRPr="001641E7">
        <w:rPr>
          <w:rStyle w:val="StyleUnderline"/>
        </w:rPr>
        <w:t>we see it in the U.S. under the conditions of neoliberalism</w:t>
      </w:r>
      <w:r w:rsidRPr="001641E7">
        <w:rPr>
          <w:rFonts w:eastAsia="Times New Roman"/>
        </w:rPr>
        <w:t xml:space="preserve">, </w:t>
      </w:r>
      <w:r w:rsidRPr="001641E7">
        <w:rPr>
          <w:rFonts w:eastAsia="Times New Roman"/>
          <w:sz w:val="14"/>
        </w:rPr>
        <w:t xml:space="preserve">which I don't want to get into too much—but </w:t>
      </w:r>
      <w:r w:rsidRPr="001641E7">
        <w:rPr>
          <w:rStyle w:val="StyleUnderline"/>
        </w:rPr>
        <w:t>we see the systematic production of precarious populations, populations that are always living on some edge, whose survivability is not guaranteed, it's not guaranteed by anyone, and the retraction of that obligation to imperiled populations, to refugees, to the poor, to those who are without health care. We're seeing a heightening of that precariousness under contemporary conditions</w:t>
      </w:r>
      <w:r w:rsidRPr="001641E7">
        <w:rPr>
          <w:rFonts w:eastAsia="Times New Roman"/>
          <w:sz w:val="14"/>
        </w:rPr>
        <w:t xml:space="preserve">. And I think it really poses the question of whether we still conceive of the human community as a system of necessary interdependency. And I think </w:t>
      </w:r>
      <w:r w:rsidRPr="001641E7">
        <w:rPr>
          <w:rStyle w:val="StyleUnderline"/>
        </w:rPr>
        <w:t xml:space="preserve">there are people who really want to say no, who really want to break that and let certain lives go, for the purposes of maximizing profit or even a kind of theory of the survival of the fittest. </w:t>
      </w:r>
      <w:r w:rsidRPr="001641E7">
        <w:rPr>
          <w:rFonts w:eastAsia="Times New Roman"/>
          <w:sz w:val="14"/>
        </w:rPr>
        <w:t xml:space="preserve">s. TAYLOR: </w:t>
      </w:r>
      <w:r w:rsidRPr="001641E7">
        <w:rPr>
          <w:rStyle w:val="StyleUnderline"/>
        </w:rPr>
        <w:t>Disabled people make up the largest minority in the world and we have the lowest employment rate. There's also</w:t>
      </w:r>
      <w:r w:rsidRPr="001641E7">
        <w:rPr>
          <w:rFonts w:eastAsia="Times New Roman"/>
        </w:rPr>
        <w:t xml:space="preserve">, </w:t>
      </w:r>
      <w:r w:rsidRPr="001641E7">
        <w:rPr>
          <w:rFonts w:eastAsia="Times New Roman"/>
          <w:sz w:val="14"/>
        </w:rPr>
        <w:t xml:space="preserve">for instance, </w:t>
      </w:r>
      <w:r w:rsidRPr="001641E7">
        <w:rPr>
          <w:rStyle w:val="StyleUnderline"/>
        </w:rPr>
        <w:t xml:space="preserve">the nursing home industry, which has a vested interest in institution-alizing people, and different movements throughout history that have aimed either to do away with people who have disabilities or to stop them from breeding. Considering all that, I think we are definitely a very strong example of a precarious community. </w:t>
      </w:r>
      <w:r w:rsidRPr="001641E7">
        <w:rPr>
          <w:rFonts w:eastAsia="Times New Roman"/>
          <w:sz w:val="14"/>
        </w:rPr>
        <w:t xml:space="preserve">BUTLER: Of a precarious community, yes. And I think some of what we've been talking about in terms of who constitutes an intelligible human or who's recognizable as a human being—what are </w:t>
      </w:r>
      <w:r w:rsidRPr="001641E7">
        <w:rPr>
          <w:rStyle w:val="StyleUnderline"/>
        </w:rPr>
        <w:t>the norms that constrain our conceptions of who is human and who is not</w:t>
      </w:r>
      <w:r w:rsidRPr="001641E7">
        <w:rPr>
          <w:rFonts w:eastAsia="Times New Roman"/>
          <w:sz w:val="14"/>
        </w:rPr>
        <w:t xml:space="preserve">—that </w:t>
      </w:r>
      <w:r w:rsidRPr="001641E7">
        <w:rPr>
          <w:rStyle w:val="StyleUnderline"/>
        </w:rPr>
        <w:t>these, what seem like intellectual issues or conceptual issues, are actually profoundly economic ones as well. Those lives considered precarious or not worth sheltering or protecting</w:t>
      </w:r>
      <w:r w:rsidRPr="001641E7">
        <w:rPr>
          <w:rFonts w:eastAsia="Times New Roman"/>
          <w:sz w:val="14"/>
          <w:szCs w:val="14"/>
        </w:rPr>
        <w:t>—s. TAYLOR: Even giving birth to.</w:t>
      </w:r>
      <w:r w:rsidRPr="001641E7">
        <w:rPr>
          <w:sz w:val="14"/>
          <w:szCs w:val="14"/>
        </w:rPr>
        <w:t xml:space="preserve"> </w:t>
      </w:r>
      <w:r w:rsidRPr="001641E7">
        <w:rPr>
          <w:rFonts w:eastAsia="Times New Roman"/>
          <w:sz w:val="14"/>
          <w:szCs w:val="14"/>
        </w:rPr>
        <w:t>BUTLER: —</w:t>
      </w:r>
      <w:r w:rsidRPr="001641E7">
        <w:rPr>
          <w:rStyle w:val="StyleUnderline"/>
        </w:rPr>
        <w:t xml:space="preserve">not worth giving birth to, not worth mourning when they die, not worth attending to when they're ill, not worth providing the conditions under which they might </w:t>
      </w:r>
      <w:r w:rsidRPr="001641E7">
        <w:rPr>
          <w:rStyle w:val="StyleUnderline"/>
        </w:rPr>
        <w:lastRenderedPageBreak/>
        <w:t>flourish—we see more and more populations differentiated along those lines. I think the question of whose lives are worth protecting, valuing, furthering, really gets to the heart of the issue.</w:t>
      </w:r>
    </w:p>
    <w:p xmlns:wp14="http://schemas.microsoft.com/office/word/2010/wordml" w:rsidRPr="001641E7" w:rsidR="001860AB" w:rsidP="001860AB" w:rsidRDefault="001860AB" w14:paraId="3B7B4B86" wp14:textId="77777777">
      <w:pPr>
        <w:spacing w:after="316" w:line="266" w:lineRule="auto"/>
        <w:rPr>
          <w:sz w:val="10"/>
        </w:rPr>
      </w:pPr>
    </w:p>
    <w:p xmlns:wp14="http://schemas.microsoft.com/office/word/2010/wordml" w:rsidRPr="001641E7" w:rsidR="001860AB" w:rsidP="001860AB" w:rsidRDefault="001860AB" w14:paraId="10D942B0" wp14:textId="77777777">
      <w:pPr>
        <w:pStyle w:val="Heading3"/>
        <w:rPr>
          <w:rFonts w:cs="Arial"/>
        </w:rPr>
      </w:pPr>
      <w:r w:rsidRPr="001641E7">
        <w:rPr>
          <w:rFonts w:cs="Arial"/>
        </w:rPr>
        <w:lastRenderedPageBreak/>
        <w:t>S: Changes Space</w:t>
      </w:r>
    </w:p>
    <w:p xmlns:wp14="http://schemas.microsoft.com/office/word/2010/wordml" w:rsidRPr="001641E7" w:rsidR="001860AB" w:rsidP="001860AB" w:rsidRDefault="001860AB" w14:paraId="527A6A05" wp14:textId="77777777">
      <w:pPr>
        <w:pStyle w:val="Heading4"/>
        <w:rPr>
          <w:rFonts w:cs="Arial"/>
        </w:rPr>
      </w:pPr>
      <w:r w:rsidRPr="001641E7">
        <w:rPr>
          <w:rFonts w:cs="Arial"/>
        </w:rPr>
        <w:t>Intensifying disability within a space forces it to change</w:t>
      </w:r>
    </w:p>
    <w:p xmlns:wp14="http://schemas.microsoft.com/office/word/2010/wordml" w:rsidRPr="001641E7" w:rsidR="001860AB" w:rsidP="001860AB" w:rsidRDefault="001860AB" w14:paraId="71E5565D" wp14:textId="77777777">
      <w:pPr>
        <w:rPr>
          <w:sz w:val="14"/>
        </w:rPr>
      </w:pPr>
      <w:r w:rsidRPr="001641E7">
        <w:rPr>
          <w:rStyle w:val="Style13ptBold"/>
        </w:rPr>
        <w:t>Butler, Taylor, Taylor 2010</w:t>
      </w:r>
      <w:r w:rsidRPr="001641E7">
        <w:rPr>
          <w:sz w:val="14"/>
        </w:rPr>
        <w:t xml:space="preserve"> [Butler, Judith, et al. “Interdependance.” Examined Life, 2010. Judith Butler is an American philosopher and </w:t>
      </w:r>
      <w:hyperlink w:tooltip="Gender studies" w:history="1" r:id="rId44">
        <w:r w:rsidRPr="001641E7">
          <w:rPr>
            <w:rStyle w:val="Hyperlink"/>
            <w:sz w:val="14"/>
          </w:rPr>
          <w:t>gender theorist</w:t>
        </w:r>
      </w:hyperlink>
      <w:r w:rsidRPr="001641E7">
        <w:rPr>
          <w:sz w:val="14"/>
        </w:rPr>
        <w:t xml:space="preserve"> whose work has influenced </w:t>
      </w:r>
      <w:hyperlink w:tooltip="Political philosophy" w:history="1" r:id="rId45">
        <w:r w:rsidRPr="001641E7">
          <w:rPr>
            <w:rStyle w:val="Hyperlink"/>
            <w:sz w:val="14"/>
          </w:rPr>
          <w:t>political philosophy</w:t>
        </w:r>
      </w:hyperlink>
      <w:r w:rsidRPr="001641E7">
        <w:rPr>
          <w:sz w:val="14"/>
        </w:rPr>
        <w:t xml:space="preserve">, </w:t>
      </w:r>
      <w:hyperlink w:tooltip="Ethics" w:history="1" r:id="rId46">
        <w:r w:rsidRPr="001641E7">
          <w:rPr>
            <w:rStyle w:val="Hyperlink"/>
            <w:sz w:val="14"/>
          </w:rPr>
          <w:t>ethics</w:t>
        </w:r>
      </w:hyperlink>
      <w:r w:rsidRPr="001641E7">
        <w:rPr>
          <w:sz w:val="14"/>
        </w:rPr>
        <w:t xml:space="preserve"> and the fields of </w:t>
      </w:r>
      <w:hyperlink w:tooltip="Third-wave feminism" w:history="1" r:id="rId47">
        <w:r w:rsidRPr="001641E7">
          <w:rPr>
            <w:rStyle w:val="Hyperlink"/>
            <w:sz w:val="14"/>
          </w:rPr>
          <w:t>third-wave feminist</w:t>
        </w:r>
      </w:hyperlink>
      <w:r w:rsidRPr="001641E7">
        <w:rPr>
          <w:sz w:val="14"/>
        </w:rPr>
        <w:t xml:space="preserve">, </w:t>
      </w:r>
      <w:hyperlink w:tooltip="Queer theory" w:history="1" r:id="rId48">
        <w:r w:rsidRPr="001641E7">
          <w:rPr>
            <w:rStyle w:val="Hyperlink"/>
            <w:sz w:val="14"/>
          </w:rPr>
          <w:t>queer</w:t>
        </w:r>
      </w:hyperlink>
      <w:r w:rsidRPr="001641E7">
        <w:rPr>
          <w:sz w:val="14"/>
        </w:rPr>
        <w:t xml:space="preserve"> and </w:t>
      </w:r>
      <w:hyperlink w:tooltip="Literary theory" w:history="1" r:id="rId49">
        <w:r w:rsidRPr="001641E7">
          <w:rPr>
            <w:rStyle w:val="Hyperlink"/>
            <w:sz w:val="14"/>
          </w:rPr>
          <w:t>literary theory</w:t>
        </w:r>
      </w:hyperlink>
      <w:r w:rsidRPr="001641E7">
        <w:rPr>
          <w:sz w:val="14"/>
        </w:rPr>
        <w:t xml:space="preserve">. Since 1993, she has taught at the </w:t>
      </w:r>
      <w:hyperlink w:tooltip="University of California, Berkeley" w:history="1" r:id="rId50">
        <w:r w:rsidRPr="001641E7">
          <w:rPr>
            <w:rStyle w:val="Hyperlink"/>
            <w:sz w:val="14"/>
          </w:rPr>
          <w:t>University of California, Berkeley</w:t>
        </w:r>
      </w:hyperlink>
      <w:r w:rsidRPr="001641E7">
        <w:rPr>
          <w:sz w:val="14"/>
        </w:rPr>
        <w:t xml:space="preserve">, where she is now Maxine Elliot Professor in the Department of Comparative Literature and the Program of Critical Theory. She is also the </w:t>
      </w:r>
      <w:hyperlink w:tooltip="Hannah Arendt" w:history="1" r:id="rId51">
        <w:r w:rsidRPr="001641E7">
          <w:rPr>
            <w:rStyle w:val="Hyperlink"/>
            <w:sz w:val="14"/>
          </w:rPr>
          <w:t>Hannah Arendt</w:t>
        </w:r>
      </w:hyperlink>
      <w:r w:rsidRPr="001641E7">
        <w:rPr>
          <w:sz w:val="14"/>
        </w:rPr>
        <w:t xml:space="preserve"> Chair at the </w:t>
      </w:r>
      <w:hyperlink w:tooltip="European Graduate School" w:history="1" r:id="rId52">
        <w:r w:rsidRPr="001641E7">
          <w:rPr>
            <w:rStyle w:val="Hyperlink"/>
            <w:sz w:val="14"/>
          </w:rPr>
          <w:t>European Graduate School</w:t>
        </w:r>
      </w:hyperlink>
      <w:r w:rsidRPr="001641E7">
        <w:rPr>
          <w:sz w:val="14"/>
        </w:rPr>
        <w:t xml:space="preserve">. Sunaura "Sunny" Taylor is an </w:t>
      </w:r>
      <w:hyperlink w:tooltip="United States" w:history="1" r:id="rId53">
        <w:r w:rsidRPr="001641E7">
          <w:rPr>
            <w:rStyle w:val="Hyperlink"/>
            <w:sz w:val="14"/>
          </w:rPr>
          <w:t>American</w:t>
        </w:r>
      </w:hyperlink>
      <w:r w:rsidRPr="001641E7">
        <w:rPr>
          <w:sz w:val="14"/>
        </w:rPr>
        <w:t xml:space="preserve"> painter and activist for </w:t>
      </w:r>
      <w:hyperlink w:tooltip="Disability rights movement" w:history="1" r:id="rId54">
        <w:r w:rsidRPr="001641E7">
          <w:rPr>
            <w:rStyle w:val="Hyperlink"/>
            <w:sz w:val="14"/>
          </w:rPr>
          <w:t>disability</w:t>
        </w:r>
      </w:hyperlink>
      <w:r w:rsidRPr="001641E7">
        <w:rPr>
          <w:sz w:val="14"/>
        </w:rPr>
        <w:t xml:space="preserve"> and </w:t>
      </w:r>
      <w:hyperlink w:tooltip="Animal rights" w:history="1" r:id="rId55">
        <w:r w:rsidRPr="001641E7">
          <w:rPr>
            <w:rStyle w:val="Hyperlink"/>
            <w:sz w:val="14"/>
          </w:rPr>
          <w:t>animal rights</w:t>
        </w:r>
      </w:hyperlink>
      <w:r w:rsidRPr="001641E7">
        <w:rPr>
          <w:sz w:val="14"/>
        </w:rPr>
        <w:t xml:space="preserve">. She uses a wheelchair because of a congenital physical disability.  She currently resides in </w:t>
      </w:r>
      <w:hyperlink w:tooltip="Oakland, California" w:history="1" r:id="rId56">
        <w:r w:rsidRPr="001641E7">
          <w:rPr>
            <w:rStyle w:val="Hyperlink"/>
            <w:sz w:val="14"/>
          </w:rPr>
          <w:t>Oakland</w:t>
        </w:r>
      </w:hyperlink>
      <w:r w:rsidRPr="001641E7">
        <w:rPr>
          <w:sz w:val="14"/>
        </w:rPr>
        <w:t xml:space="preserve">, </w:t>
      </w:r>
      <w:hyperlink w:tooltip="California" w:history="1" r:id="rId57">
        <w:r w:rsidRPr="001641E7">
          <w:rPr>
            <w:rStyle w:val="Hyperlink"/>
            <w:sz w:val="14"/>
          </w:rPr>
          <w:t>California</w:t>
        </w:r>
      </w:hyperlink>
      <w:r w:rsidRPr="001641E7">
        <w:rPr>
          <w:sz w:val="14"/>
        </w:rPr>
        <w:t xml:space="preserve">, and has taught classes at the </w:t>
      </w:r>
      <w:hyperlink w:tooltip="University of California, Berkeley" w:history="1" r:id="rId58">
        <w:r w:rsidRPr="001641E7">
          <w:rPr>
            <w:rStyle w:val="Hyperlink"/>
            <w:sz w:val="14"/>
          </w:rPr>
          <w:t>University of California, Berkeley</w:t>
        </w:r>
      </w:hyperlink>
      <w:r w:rsidRPr="001641E7">
        <w:rPr>
          <w:sz w:val="14"/>
        </w:rPr>
        <w:t xml:space="preserve">.] //MMS </w:t>
      </w:r>
    </w:p>
    <w:p xmlns:wp14="http://schemas.microsoft.com/office/word/2010/wordml" w:rsidRPr="001641E7" w:rsidR="001860AB" w:rsidP="001860AB" w:rsidRDefault="001860AB" w14:paraId="122C1175" wp14:textId="77777777">
      <w:pPr>
        <w:rPr>
          <w:rStyle w:val="StyleUnderline"/>
        </w:rPr>
      </w:pPr>
      <w:r w:rsidRPr="001641E7">
        <w:rPr>
          <w:sz w:val="16"/>
        </w:rPr>
        <w:t xml:space="preserve">BUTLER: Yeah. Are there curb cuts in San Francisco? s. TAYLOR: </w:t>
      </w:r>
      <w:r w:rsidRPr="001641E7">
        <w:rPr>
          <w:rStyle w:val="StyleUnderline"/>
        </w:rPr>
        <w:t xml:space="preserve">I moved to San Francisco, to the Bay Area, largely because it's the most accessible place in the world. And partly what's so amazing to me about it is that the physical access, the fact that public transportation is accessible, there are curb cuts most places, most buildings are accessible, leads to a social acceptability. That somehow because there's physical access, there are simply more disabled people out and about in the world, and so people have learned how to interact with them and are used to them in a certain way. And so the physical access leads to a social access and acceptance. </w:t>
      </w:r>
      <w:r w:rsidRPr="001641E7">
        <w:rPr>
          <w:sz w:val="16"/>
        </w:rPr>
        <w:t xml:space="preserve">BUTLER: It's great. We can say, </w:t>
      </w:r>
      <w:r w:rsidRPr="001641E7">
        <w:rPr>
          <w:rStyle w:val="StyleUnderline"/>
        </w:rPr>
        <w:t xml:space="preserve">where there are curb cuts, there will be increased populations of people using chairs and that that will change the demographic of an entire city. </w:t>
      </w:r>
      <w:r w:rsidRPr="001641E7">
        <w:rPr>
          <w:sz w:val="16"/>
        </w:rPr>
        <w:t xml:space="preserve">s. TAYLOR: Or, for example, in my hometown, in Georgia, I was always very nervous about going out and buying things because I do things differently. </w:t>
      </w:r>
      <w:r w:rsidRPr="001641E7">
        <w:rPr>
          <w:rStyle w:val="StyleUnderline"/>
        </w:rPr>
        <w:t>Here I don't have to explain to anybody how to help me because they are so used to working with, and figuring out, and being creative with, disabled people coming into their stores. Here almost always people will say, "Can I bring that coffee to you? or "I'll bring you a straw." And so there's this knowledge of this whole way of physically interacting with people who are different, and that really results from physical access. But that's always been a dilemma within the disability community: How do you demand physical access first if you can't get out into society to demand it?</w:t>
      </w:r>
      <w:r w:rsidRPr="001641E7">
        <w:rPr>
          <w:sz w:val="16"/>
        </w:rPr>
        <w:t xml:space="preserve"> BUTLER: Yes, that's a big question, the access to even get the population together who can then make the claim in an effective way. s. TAYLOR: Yeah, and it's really only just within the past fifteen to twenty years that that's really been taking place. BUTLER: So you talk about going into stores or dealing with people who are able-bodied but who've had experience dealing with disabled people and trying to figure out creative ways to meet their needs or have whatever exchange they're having. Well, first of all, just want to say </w:t>
      </w:r>
      <w:r w:rsidRPr="001641E7">
        <w:rPr>
          <w:rStyle w:val="StyleUnderline"/>
        </w:rPr>
        <w:t xml:space="preserve">it must be nice not to have to always have to be the pioneer. </w:t>
      </w:r>
      <w:r w:rsidRPr="001641E7">
        <w:rPr>
          <w:sz w:val="16"/>
        </w:rPr>
        <w:t xml:space="preserve">s. TAYLOR: Yes. Definitely, definitely. BUTLER: To be the first one— s. TAYLOR: — </w:t>
      </w:r>
      <w:r w:rsidRPr="001641E7">
        <w:rPr>
          <w:rStyle w:val="StyleUnderline"/>
        </w:rPr>
        <w:t xml:space="preserve">to be the first disabled person they’ve ever seen. </w:t>
      </w:r>
      <w:r w:rsidRPr="001641E7">
        <w:rPr>
          <w:sz w:val="16"/>
        </w:rPr>
        <w:t xml:space="preserve">BUTLER: </w:t>
      </w:r>
      <w:r w:rsidRPr="001641E7">
        <w:rPr>
          <w:rStyle w:val="StyleUnderline"/>
        </w:rPr>
        <w:t xml:space="preserve">To say, yes, I do speak and think and talk and move and enjoy life and suffer many of the same heartaches that you do. </w:t>
      </w:r>
      <w:r w:rsidRPr="001641E7">
        <w:rPr>
          <w:sz w:val="16"/>
        </w:rPr>
        <w:t xml:space="preserve">But anyway, what I'm wondering about is moving in social spaces, right? All the movements you can do and which help you live and which express you in various ways. Do you feel free to move in all the ways you want to move in social, public space? And to what extent are there social restrictions on you, kinds of stigmas or forms of socially acceptable movement that are restrictions on you—not your disability, but rather the social restrictions on what a "disabled" person should do? </w:t>
      </w:r>
      <w:r w:rsidRPr="001641E7">
        <w:rPr>
          <w:rStyle w:val="StyleUnderline"/>
        </w:rPr>
        <w:t>Society makes stupid double standards about how body parts can be used and how humans are supposed to physically interact with each other.</w:t>
      </w:r>
    </w:p>
    <w:p xmlns:wp14="http://schemas.microsoft.com/office/word/2010/wordml" w:rsidRPr="001641E7" w:rsidR="001860AB" w:rsidP="001860AB" w:rsidRDefault="001860AB" w14:paraId="0CE44E1D" wp14:textId="77777777">
      <w:pPr>
        <w:pStyle w:val="Heading3"/>
        <w:rPr>
          <w:rFonts w:cs="Arial"/>
        </w:rPr>
      </w:pPr>
      <w:r w:rsidRPr="001641E7">
        <w:rPr>
          <w:rFonts w:cs="Arial"/>
        </w:rPr>
        <w:lastRenderedPageBreak/>
        <w:t xml:space="preserve">S: Movement </w:t>
      </w:r>
    </w:p>
    <w:p xmlns:wp14="http://schemas.microsoft.com/office/word/2010/wordml" w:rsidRPr="001641E7" w:rsidR="001860AB" w:rsidP="001860AB" w:rsidRDefault="001860AB" w14:paraId="1DC53EE4" wp14:textId="77777777">
      <w:pPr>
        <w:pStyle w:val="Heading4"/>
        <w:rPr>
          <w:rFonts w:cs="Arial"/>
        </w:rPr>
      </w:pPr>
      <w:r w:rsidRPr="001641E7">
        <w:rPr>
          <w:rFonts w:cs="Arial"/>
        </w:rPr>
        <w:t>Disability transforms how we think of movement and interdependence</w:t>
      </w:r>
    </w:p>
    <w:p xmlns:wp14="http://schemas.microsoft.com/office/word/2010/wordml" w:rsidRPr="001F6140" w:rsidR="001860AB" w:rsidP="001860AB" w:rsidRDefault="001860AB" w14:paraId="1BBD59E0" wp14:textId="77777777">
      <w:pPr>
        <w:rPr>
          <w:sz w:val="14"/>
        </w:rPr>
      </w:pPr>
      <w:r w:rsidRPr="001641E7">
        <w:rPr>
          <w:rStyle w:val="Style13ptBold"/>
        </w:rPr>
        <w:t>Butler, Taylor, Taylor 2010</w:t>
      </w:r>
      <w:r w:rsidRPr="001F6140">
        <w:rPr>
          <w:sz w:val="14"/>
        </w:rPr>
        <w:t xml:space="preserve"> [Butler, Judith, et al. “Interdependance.” Examined Life, 2010. Judith Butler is an American philosopher and </w:t>
      </w:r>
      <w:hyperlink w:tooltip="Gender studies" w:history="1" r:id="rId59">
        <w:r w:rsidRPr="001F6140">
          <w:rPr>
            <w:rStyle w:val="Hyperlink"/>
            <w:sz w:val="14"/>
          </w:rPr>
          <w:t>gender theorist</w:t>
        </w:r>
      </w:hyperlink>
      <w:r w:rsidRPr="001F6140">
        <w:rPr>
          <w:sz w:val="14"/>
        </w:rPr>
        <w:t xml:space="preserve"> whose work has influenced </w:t>
      </w:r>
      <w:hyperlink w:tooltip="Political philosophy" w:history="1" r:id="rId60">
        <w:r w:rsidRPr="001F6140">
          <w:rPr>
            <w:rStyle w:val="Hyperlink"/>
            <w:sz w:val="14"/>
          </w:rPr>
          <w:t>political philosophy</w:t>
        </w:r>
      </w:hyperlink>
      <w:r w:rsidRPr="001F6140">
        <w:rPr>
          <w:sz w:val="14"/>
        </w:rPr>
        <w:t xml:space="preserve">, </w:t>
      </w:r>
      <w:hyperlink w:tooltip="Ethics" w:history="1" r:id="rId61">
        <w:r w:rsidRPr="001F6140">
          <w:rPr>
            <w:rStyle w:val="Hyperlink"/>
            <w:sz w:val="14"/>
          </w:rPr>
          <w:t>ethics</w:t>
        </w:r>
      </w:hyperlink>
      <w:r w:rsidRPr="001F6140">
        <w:rPr>
          <w:sz w:val="14"/>
        </w:rPr>
        <w:t xml:space="preserve"> and the fields of </w:t>
      </w:r>
      <w:hyperlink w:tooltip="Third-wave feminism" w:history="1" r:id="rId62">
        <w:r w:rsidRPr="001F6140">
          <w:rPr>
            <w:rStyle w:val="Hyperlink"/>
            <w:sz w:val="14"/>
          </w:rPr>
          <w:t>third-wave feminist</w:t>
        </w:r>
      </w:hyperlink>
      <w:r w:rsidRPr="001F6140">
        <w:rPr>
          <w:sz w:val="14"/>
        </w:rPr>
        <w:t xml:space="preserve">, </w:t>
      </w:r>
      <w:hyperlink w:tooltip="Queer theory" w:history="1" r:id="rId63">
        <w:r w:rsidRPr="001F6140">
          <w:rPr>
            <w:rStyle w:val="Hyperlink"/>
            <w:sz w:val="14"/>
          </w:rPr>
          <w:t>queer</w:t>
        </w:r>
      </w:hyperlink>
      <w:r w:rsidRPr="001F6140">
        <w:rPr>
          <w:sz w:val="14"/>
        </w:rPr>
        <w:t xml:space="preserve"> and </w:t>
      </w:r>
      <w:hyperlink w:tooltip="Literary theory" w:history="1" r:id="rId64">
        <w:r w:rsidRPr="001F6140">
          <w:rPr>
            <w:rStyle w:val="Hyperlink"/>
            <w:sz w:val="14"/>
          </w:rPr>
          <w:t>literary theory</w:t>
        </w:r>
      </w:hyperlink>
      <w:r w:rsidRPr="001F6140">
        <w:rPr>
          <w:sz w:val="14"/>
        </w:rPr>
        <w:t xml:space="preserve">. Since 1993, she has taught at the </w:t>
      </w:r>
      <w:hyperlink w:tooltip="University of California, Berkeley" w:history="1" r:id="rId65">
        <w:r w:rsidRPr="001F6140">
          <w:rPr>
            <w:rStyle w:val="Hyperlink"/>
            <w:sz w:val="14"/>
          </w:rPr>
          <w:t>University of California, Berkeley</w:t>
        </w:r>
      </w:hyperlink>
      <w:r w:rsidRPr="001F6140">
        <w:rPr>
          <w:sz w:val="14"/>
        </w:rPr>
        <w:t xml:space="preserve">, where she is now Maxine Elliot Professor in the Department of Comparative Literature and the Program of Critical Theory. She is also the </w:t>
      </w:r>
      <w:hyperlink w:tooltip="Hannah Arendt" w:history="1" r:id="rId66">
        <w:r w:rsidRPr="001F6140">
          <w:rPr>
            <w:rStyle w:val="Hyperlink"/>
            <w:sz w:val="14"/>
          </w:rPr>
          <w:t>Hannah Arendt</w:t>
        </w:r>
      </w:hyperlink>
      <w:r w:rsidRPr="001F6140">
        <w:rPr>
          <w:sz w:val="14"/>
        </w:rPr>
        <w:t xml:space="preserve"> Chair at the </w:t>
      </w:r>
      <w:hyperlink w:tooltip="European Graduate School" w:history="1" r:id="rId67">
        <w:r w:rsidRPr="001F6140">
          <w:rPr>
            <w:rStyle w:val="Hyperlink"/>
            <w:sz w:val="14"/>
          </w:rPr>
          <w:t>European Graduate School</w:t>
        </w:r>
      </w:hyperlink>
      <w:r w:rsidRPr="001F6140">
        <w:rPr>
          <w:sz w:val="14"/>
        </w:rPr>
        <w:t xml:space="preserve">. Sunaura "Sunny" Taylor is an </w:t>
      </w:r>
      <w:hyperlink w:tooltip="United States" w:history="1" r:id="rId68">
        <w:r w:rsidRPr="001F6140">
          <w:rPr>
            <w:rStyle w:val="Hyperlink"/>
            <w:sz w:val="14"/>
          </w:rPr>
          <w:t>American</w:t>
        </w:r>
      </w:hyperlink>
      <w:r w:rsidRPr="001F6140">
        <w:rPr>
          <w:sz w:val="14"/>
        </w:rPr>
        <w:t xml:space="preserve"> painter and activist for </w:t>
      </w:r>
      <w:hyperlink w:tooltip="Disability rights movement" w:history="1" r:id="rId69">
        <w:r w:rsidRPr="001F6140">
          <w:rPr>
            <w:rStyle w:val="Hyperlink"/>
            <w:sz w:val="14"/>
          </w:rPr>
          <w:t>disability</w:t>
        </w:r>
      </w:hyperlink>
      <w:r w:rsidRPr="001F6140">
        <w:rPr>
          <w:sz w:val="14"/>
        </w:rPr>
        <w:t xml:space="preserve"> and </w:t>
      </w:r>
      <w:hyperlink w:tooltip="Animal rights" w:history="1" r:id="rId70">
        <w:r w:rsidRPr="001F6140">
          <w:rPr>
            <w:rStyle w:val="Hyperlink"/>
            <w:sz w:val="14"/>
          </w:rPr>
          <w:t>animal rights</w:t>
        </w:r>
      </w:hyperlink>
      <w:r w:rsidRPr="001F6140">
        <w:rPr>
          <w:sz w:val="14"/>
        </w:rPr>
        <w:t xml:space="preserve">. She uses a wheelchair because of a congenital physical disability.  She currently resides in </w:t>
      </w:r>
      <w:hyperlink w:tooltip="Oakland, California" w:history="1" r:id="rId71">
        <w:r w:rsidRPr="001F6140">
          <w:rPr>
            <w:rStyle w:val="Hyperlink"/>
            <w:sz w:val="14"/>
          </w:rPr>
          <w:t>Oakland</w:t>
        </w:r>
      </w:hyperlink>
      <w:r w:rsidRPr="001F6140">
        <w:rPr>
          <w:sz w:val="14"/>
        </w:rPr>
        <w:t xml:space="preserve">, </w:t>
      </w:r>
      <w:hyperlink w:tooltip="California" w:history="1" r:id="rId72">
        <w:r w:rsidRPr="001F6140">
          <w:rPr>
            <w:rStyle w:val="Hyperlink"/>
            <w:sz w:val="14"/>
          </w:rPr>
          <w:t>California</w:t>
        </w:r>
      </w:hyperlink>
      <w:r w:rsidRPr="001F6140">
        <w:rPr>
          <w:sz w:val="14"/>
        </w:rPr>
        <w:t xml:space="preserve">, and has taught classes at the </w:t>
      </w:r>
      <w:hyperlink w:tooltip="University of California, Berkeley" w:history="1" r:id="rId73">
        <w:r w:rsidRPr="001F6140">
          <w:rPr>
            <w:rStyle w:val="Hyperlink"/>
            <w:sz w:val="14"/>
          </w:rPr>
          <w:t>University of California, Berkeley</w:t>
        </w:r>
      </w:hyperlink>
      <w:r w:rsidRPr="001F6140">
        <w:rPr>
          <w:sz w:val="14"/>
        </w:rPr>
        <w:t xml:space="preserve">.] //MMS </w:t>
      </w:r>
    </w:p>
    <w:p xmlns:wp14="http://schemas.microsoft.com/office/word/2010/wordml" w:rsidRPr="001641E7" w:rsidR="001860AB" w:rsidP="001860AB" w:rsidRDefault="001860AB" w14:paraId="756128D0" wp14:textId="77777777">
      <w:pPr>
        <w:spacing w:after="301"/>
        <w:ind w:right="14"/>
        <w:rPr>
          <w:sz w:val="6"/>
          <w:szCs w:val="14"/>
        </w:rPr>
      </w:pPr>
      <w:r w:rsidRPr="001641E7">
        <w:rPr>
          <w:rFonts w:eastAsia="Times New Roman"/>
          <w:sz w:val="14"/>
        </w:rPr>
        <w:t xml:space="preserve">BUTLER: To say, yes, I do speak and think and talk and move and enjoy life and suffer many of the same heartaches that you do. But anyway, what I'm wondering about is moving in social spaces, right? All the movements you can do and which help you live and which express you in various ways. Do you feel free to move in all the ways you want to move in social, public space? And to what extent are there social restrictions on you, kinds of stigmas </w:t>
      </w:r>
      <w:r w:rsidRPr="001641E7">
        <w:rPr>
          <w:sz w:val="14"/>
        </w:rPr>
        <w:t>or</w:t>
      </w:r>
      <w:r w:rsidRPr="001641E7">
        <w:rPr>
          <w:rFonts w:eastAsia="Times New Roman"/>
          <w:sz w:val="14"/>
        </w:rPr>
        <w:t xml:space="preserve"> forms of socially acceptable movement that are restrictions on you—not your disability, but rather the social restrictions on what a "disabled" person should do?</w:t>
      </w:r>
      <w:r w:rsidRPr="001641E7">
        <w:rPr>
          <w:sz w:val="14"/>
        </w:rPr>
        <w:t xml:space="preserve"> </w:t>
      </w:r>
      <w:r w:rsidRPr="001641E7">
        <w:rPr>
          <w:rFonts w:eastAsia="Times New Roman"/>
          <w:sz w:val="14"/>
        </w:rPr>
        <w:t xml:space="preserve">s. TAYLOR: Well, to use </w:t>
      </w:r>
      <w:r w:rsidRPr="001641E7">
        <w:rPr>
          <w:rStyle w:val="StyleUnderline"/>
        </w:rPr>
        <w:t>going to a coffeehouse as an example, at first it was just the embarrassment of asking for help. Because of these independence issues we've been talking about, it takes a lot to be that pioneer and to ask for help and to watch someone as they're nervous trying to figure out how to help you.</w:t>
      </w:r>
      <w:r w:rsidRPr="001641E7">
        <w:rPr>
          <w:rFonts w:eastAsia="Times New Roman"/>
        </w:rPr>
        <w:t xml:space="preserve"> </w:t>
      </w:r>
      <w:r w:rsidRPr="001641E7">
        <w:rPr>
          <w:rFonts w:eastAsia="Times New Roman"/>
          <w:sz w:val="14"/>
        </w:rPr>
        <w:t xml:space="preserve">But I think, after I sort of went through that, I realized that actually it was strange because </w:t>
      </w:r>
      <w:r w:rsidRPr="001641E7">
        <w:rPr>
          <w:rStyle w:val="StyleUnderline"/>
        </w:rPr>
        <w:t>a lot of the time I might not even need help. For instance, I could go into a coffee shop and actually pick up the cup with my mouth and carry it to my table, but that becomes almost more difficult because of the normalizing standards of our movements and the discomfort that's Judith caused when I do things body parts that aren't necessarily what we assume that they're for. That seems to be even harder for people to deal with.</w:t>
      </w:r>
      <w:r w:rsidRPr="001641E7">
        <w:rPr>
          <w:rFonts w:eastAsia="Times New Roman"/>
        </w:rPr>
        <w:t xml:space="preserve"> </w:t>
      </w:r>
      <w:r w:rsidRPr="001641E7">
        <w:rPr>
          <w:rFonts w:eastAsia="Times New Roman"/>
          <w:sz w:val="14"/>
        </w:rPr>
        <w:t xml:space="preserve">So this is something that I'm very interested in: How </w:t>
      </w:r>
      <w:r w:rsidRPr="001641E7">
        <w:rPr>
          <w:rStyle w:val="StyleUnderline"/>
        </w:rPr>
        <w:t>disabled people can creatively redo or reinvent those movements. Or how they have to create their own concepts of what a movement is and what their body parts are for. I think that we're sort of taught that hands are for giving things, picking things up, they're for shaking hands, that mouths are for drinking, for kissing, for talking. And when I go into a coffee shop and mess those up—when I, with my mouth, pick up a cup instead of using my hands—it's sort of undoing this assumption that people just take for granted. It's not even something that people usually think about, that there may be a socially constructed way of using your body</w:t>
      </w:r>
      <w:r w:rsidRPr="001641E7">
        <w:t xml:space="preserve"> </w:t>
      </w:r>
      <w:r w:rsidRPr="001641E7">
        <w:rPr>
          <w:rFonts w:eastAsia="Times New Roman"/>
          <w:sz w:val="14"/>
          <w:szCs w:val="14"/>
        </w:rPr>
        <w:t>BUTLER; Right, I mean, I don't know if you ever go to baseball games, but . . .</w:t>
      </w:r>
      <w:r w:rsidRPr="001641E7">
        <w:rPr>
          <w:sz w:val="14"/>
          <w:szCs w:val="14"/>
        </w:rPr>
        <w:t xml:space="preserve"> </w:t>
      </w:r>
      <w:r w:rsidRPr="001641E7">
        <w:t xml:space="preserve"> </w:t>
      </w:r>
      <w:r w:rsidRPr="001641E7">
        <w:rPr>
          <w:rFonts w:eastAsia="Times New Roman"/>
          <w:sz w:val="14"/>
          <w:szCs w:val="14"/>
        </w:rPr>
        <w:t>s. TAYLOR: Not often.</w:t>
      </w:r>
      <w:r w:rsidRPr="001641E7">
        <w:t xml:space="preserve"> </w:t>
      </w:r>
      <w:r w:rsidRPr="001641E7">
        <w:rPr>
          <w:rFonts w:eastAsia="Times New Roman"/>
          <w:sz w:val="14"/>
          <w:szCs w:val="14"/>
        </w:rPr>
        <w:t>BUTLER: Not often. OK. But it does occur to me that</w:t>
      </w:r>
      <w:r w:rsidRPr="001641E7">
        <w:rPr>
          <w:rFonts w:eastAsia="Times New Roman"/>
        </w:rPr>
        <w:t xml:space="preserve"> </w:t>
      </w:r>
      <w:r w:rsidRPr="001641E7">
        <w:rPr>
          <w:rStyle w:val="StyleUnderline"/>
        </w:rPr>
        <w:t>if you were to look at even so-called normal eating habits of people at baseball games, they use their mouths in all kinds of ways, uncorking and spitting and putting their mouths into their bowls of whatever. And</w:t>
      </w:r>
      <w:r w:rsidRPr="001641E7">
        <w:rPr>
          <w:rFonts w:eastAsia="Times New Roman"/>
        </w:rPr>
        <w:t xml:space="preserve"> </w:t>
      </w:r>
      <w:r w:rsidRPr="001641E7">
        <w:rPr>
          <w:rFonts w:eastAsia="Times New Roman"/>
          <w:sz w:val="14"/>
        </w:rPr>
        <w:t xml:space="preserve">I mean, </w:t>
      </w:r>
      <w:r w:rsidRPr="001641E7">
        <w:rPr>
          <w:rStyle w:val="StyleUnderline"/>
        </w:rPr>
        <w:t xml:space="preserve">nobody says, </w:t>
      </w:r>
      <w:r w:rsidRPr="001641E7">
        <w:rPr>
          <w:rFonts w:eastAsia="Times New Roman"/>
          <w:sz w:val="14"/>
        </w:rPr>
        <w:t>Oh my God,</w:t>
      </w:r>
      <w:r w:rsidRPr="001641E7">
        <w:rPr>
          <w:rFonts w:eastAsia="Times New Roman"/>
          <w:sz w:val="14"/>
          <w:u w:val="single"/>
        </w:rPr>
        <w:t xml:space="preserve"> </w:t>
      </w:r>
      <w:r w:rsidRPr="001641E7">
        <w:rPr>
          <w:rStyle w:val="StyleUnderline"/>
        </w:rPr>
        <w:t>that's completely unacceptable</w:t>
      </w:r>
      <w:r w:rsidRPr="001641E7">
        <w:rPr>
          <w:rFonts w:eastAsia="Times New Roman"/>
          <w:sz w:val="14"/>
        </w:rPr>
        <w:t xml:space="preserve">." And yet maybe it is unacceptable, according to a certain propriety or class mores or a sense of correctness. It makes me wonder why people don't get really upset about that. </w:t>
      </w:r>
      <w:r w:rsidRPr="001641E7">
        <w:rPr>
          <w:rStyle w:val="StyleUnderline"/>
        </w:rPr>
        <w:t>an able-bodied person maybe uses their mouth in an unconventional way, it's OK, but if a disabled person does, then there's some kind of challenge to our idea of what human functions are or what certain body parts are meant for.</w:t>
      </w:r>
      <w:r w:rsidRPr="001641E7">
        <w:t xml:space="preserve"> </w:t>
      </w:r>
      <w:r w:rsidRPr="001641E7">
        <w:rPr>
          <w:rFonts w:eastAsia="Times New Roman"/>
          <w:sz w:val="14"/>
        </w:rPr>
        <w:t>s. TAYLOR: Well, I think it's one thing if it's a choice, if it's a choice to eat the hot dog in a messy, different way. Forget the hands—they'r</w:t>
      </w:r>
      <w:r w:rsidRPr="001641E7">
        <w:rPr>
          <w:sz w:val="14"/>
        </w:rPr>
        <w:t xml:space="preserve">e </w:t>
      </w:r>
      <w:r w:rsidRPr="001641E7">
        <w:rPr>
          <w:rFonts w:eastAsia="Times New Roman"/>
          <w:sz w:val="14"/>
        </w:rPr>
        <w:t xml:space="preserve">too busy holding the big beers or whatever. However, I actually think that </w:t>
      </w:r>
      <w:r w:rsidRPr="001641E7">
        <w:rPr>
          <w:rStyle w:val="StyleUnderline"/>
        </w:rPr>
        <w:t>while it is more acceptable, people do feel all of those restrictions in more subtle ways. And maybe it's allowed at a baseball game, but if you're at a relatively fancy restaurant, that wouldn't be the case. I guess if you're even walking down a street and you're wearing something funny, you may feel judged. It seems to me able-bodied people feet a lot of self-consciousness about their movements and presentation.</w:t>
      </w:r>
      <w:r w:rsidRPr="001641E7">
        <w:t xml:space="preserve"> </w:t>
      </w:r>
      <w:r w:rsidRPr="001641E7">
        <w:rPr>
          <w:rFonts w:eastAsia="Times New Roman"/>
          <w:sz w:val="14"/>
        </w:rPr>
        <w:t xml:space="preserve">This makes me think of an experience I recently had. It's pretty rare unless I'm hanging out with a lot of other disabled people. I was flying back home and I was sitting next to this man, </w:t>
      </w:r>
      <w:r w:rsidRPr="001641E7">
        <w:rPr>
          <w:rStyle w:val="StyleUnderline"/>
        </w:rPr>
        <w:t>this French man</w:t>
      </w:r>
      <w:r w:rsidRPr="001641E7">
        <w:rPr>
          <w:rFonts w:eastAsia="Times New Roman"/>
        </w:rPr>
        <w:t xml:space="preserve">, </w:t>
      </w:r>
      <w:r w:rsidRPr="001641E7">
        <w:rPr>
          <w:rFonts w:eastAsia="Times New Roman"/>
          <w:sz w:val="14"/>
        </w:rPr>
        <w:t xml:space="preserve">and he was very frustrated about something and I couldn't understand him. But he kept trying to communicate with me and there was something kind of off and I couldn't tell what it was. And then I realized that he </w:t>
      </w:r>
      <w:r w:rsidRPr="001641E7">
        <w:rPr>
          <w:rStyle w:val="StyleUnderline"/>
        </w:rPr>
        <w:t>had a big, fake, plastic arm</w:t>
      </w:r>
      <w:r w:rsidRPr="001641E7">
        <w:rPr>
          <w:rFonts w:eastAsia="Times New Roman"/>
        </w:rPr>
        <w:t xml:space="preserve">. </w:t>
      </w:r>
      <w:r w:rsidRPr="001641E7">
        <w:rPr>
          <w:rFonts w:eastAsia="Times New Roman"/>
          <w:sz w:val="14"/>
        </w:rPr>
        <w:t xml:space="preserve">It was like a prosthetic that tried to look like a real arm so didn't notice it until probably halfway through the flight, and then we kind of bonded even though we couldn't understand each other. I kept noticing that </w:t>
      </w:r>
      <w:r w:rsidRPr="001641E7">
        <w:rPr>
          <w:rStyle w:val="StyleUnderline"/>
        </w:rPr>
        <w:t>he would do things with his mouth a lot because he only had one hand</w:t>
      </w:r>
      <w:r w:rsidRPr="001641E7">
        <w:rPr>
          <w:rFonts w:eastAsia="Times New Roman"/>
        </w:rPr>
        <w:t>,</w:t>
      </w:r>
      <w:r w:rsidRPr="001641E7">
        <w:rPr>
          <w:rFonts w:eastAsia="Times New Roman"/>
          <w:sz w:val="14"/>
        </w:rPr>
        <w:t xml:space="preserve"> so he was always doing things with his mouth. So then finally, near the end of the flight, our ears were popping as we were going down and </w:t>
      </w:r>
      <w:r w:rsidRPr="001641E7">
        <w:rPr>
          <w:rStyle w:val="StyleUnderline"/>
        </w:rPr>
        <w:t xml:space="preserve">he got out </w:t>
      </w:r>
      <w:r w:rsidRPr="001641E7">
        <w:rPr>
          <w:rStyle w:val="StyleUnderline"/>
        </w:rPr>
        <w:lastRenderedPageBreak/>
        <w:t>this pack of gum and he offered me some, and the only way for him to get out the gum and unwrap it was with his hand and his mouth</w:t>
      </w:r>
      <w:r w:rsidRPr="001641E7">
        <w:rPr>
          <w:rFonts w:eastAsia="Times New Roman"/>
          <w:sz w:val="14"/>
          <w:szCs w:val="14"/>
        </w:rPr>
        <w:t>. His real hand was full or something, I don't remember exactly, but basically the only free part of himself to offer me the gum was his mouth!</w:t>
      </w:r>
      <w:r w:rsidRPr="001641E7">
        <w:rPr>
          <w:sz w:val="14"/>
          <w:szCs w:val="14"/>
        </w:rPr>
        <w:t xml:space="preserve"> </w:t>
      </w:r>
      <w:r w:rsidRPr="001641E7">
        <w:rPr>
          <w:rFonts w:eastAsia="Times New Roman"/>
          <w:sz w:val="14"/>
          <w:szCs w:val="14"/>
        </w:rPr>
        <w:t>BUTLER: Yes, that's very sweet! So did he?</w:t>
      </w:r>
      <w:r w:rsidRPr="001641E7">
        <w:rPr>
          <w:sz w:val="14"/>
          <w:szCs w:val="14"/>
        </w:rPr>
        <w:t xml:space="preserve"> </w:t>
      </w:r>
      <w:r w:rsidRPr="001641E7">
        <w:rPr>
          <w:rFonts w:eastAsia="Times New Roman"/>
          <w:sz w:val="14"/>
          <w:szCs w:val="14"/>
        </w:rPr>
        <w:t>s. TAYLOR: He did! And I was just like, well,</w:t>
      </w:r>
      <w:r w:rsidRPr="001641E7">
        <w:rPr>
          <w:rFonts w:eastAsia="Times New Roman"/>
        </w:rPr>
        <w:t xml:space="preserve"> </w:t>
      </w:r>
      <w:r w:rsidRPr="001641E7">
        <w:rPr>
          <w:rStyle w:val="StyleUnderline"/>
        </w:rPr>
        <w:t>when else am I randomly just going to be in contact with someone else who does everything with their mouth</w:t>
      </w:r>
      <w:r w:rsidRPr="001641E7">
        <w:rPr>
          <w:rFonts w:eastAsia="Times New Roman"/>
          <w:sz w:val="14"/>
        </w:rPr>
        <w:t xml:space="preserve">? So I took it and </w:t>
      </w:r>
      <w:r w:rsidRPr="001641E7">
        <w:rPr>
          <w:rStyle w:val="StyleUnderline"/>
        </w:rPr>
        <w:t>it wasn't weird in terms of being, like, oddly sexual or too close or anything.</w:t>
      </w:r>
      <w:r w:rsidRPr="001641E7">
        <w:rPr>
          <w:rFonts w:eastAsia="Times New Roman"/>
        </w:rPr>
        <w:t xml:space="preserve"> In fact, </w:t>
      </w:r>
      <w:r w:rsidRPr="001641E7">
        <w:rPr>
          <w:rStyle w:val="StyleUnderline"/>
        </w:rPr>
        <w:t>I was really quite blissed out by the fact that this guy did things with his mouth too</w:t>
      </w:r>
      <w:r w:rsidRPr="001641E7">
        <w:rPr>
          <w:rFonts w:eastAsia="Times New Roman"/>
        </w:rPr>
        <w:t xml:space="preserve">, </w:t>
      </w:r>
      <w:r w:rsidRPr="001641E7">
        <w:rPr>
          <w:rFonts w:eastAsia="Times New Roman"/>
          <w:sz w:val="14"/>
        </w:rPr>
        <w:t xml:space="preserve">you know? </w:t>
      </w:r>
      <w:r w:rsidRPr="001641E7">
        <w:rPr>
          <w:rStyle w:val="StyleUnderline"/>
        </w:rPr>
        <w:t xml:space="preserve">it was just really kind of a wonderful moment of just sharing intimacy because of the ways that our bodies worked. </w:t>
      </w:r>
      <w:r w:rsidRPr="001641E7">
        <w:rPr>
          <w:rFonts w:eastAsia="Times New Roman"/>
          <w:sz w:val="14"/>
          <w:szCs w:val="14"/>
        </w:rPr>
        <w:t>BUTLER: Yes, that's wonderful.</w:t>
      </w:r>
      <w:r w:rsidRPr="001641E7">
        <w:rPr>
          <w:sz w:val="14"/>
          <w:szCs w:val="14"/>
        </w:rPr>
        <w:t xml:space="preserve"> </w:t>
      </w:r>
      <w:r w:rsidRPr="001641E7">
        <w:rPr>
          <w:rFonts w:eastAsia="Times New Roman"/>
          <w:sz w:val="14"/>
          <w:szCs w:val="14"/>
        </w:rPr>
        <w:t>s. TAYLOR: It was very funny.</w:t>
      </w:r>
      <w:r w:rsidRPr="001641E7">
        <w:rPr>
          <w:sz w:val="14"/>
          <w:szCs w:val="14"/>
        </w:rPr>
        <w:t xml:space="preserve"> </w:t>
      </w:r>
      <w:r w:rsidRPr="001641E7">
        <w:rPr>
          <w:rFonts w:eastAsia="Times New Roman"/>
          <w:sz w:val="14"/>
        </w:rPr>
        <w:t xml:space="preserve">BUTLER'. Well, I'm thinking that what's kind of exhilarating about this story is that you could both do this somewhat improper thing together. And </w:t>
      </w:r>
      <w:r w:rsidRPr="001641E7">
        <w:rPr>
          <w:sz w:val="14"/>
        </w:rPr>
        <w:t>of course</w:t>
      </w:r>
      <w:r w:rsidRPr="001641E7">
        <w:rPr>
          <w:rFonts w:eastAsia="Times New Roman"/>
          <w:sz w:val="14"/>
        </w:rPr>
        <w:t xml:space="preserve"> it's fully proper, it's fully appropriate, and it's actually quite wonderful. I mean, imagine if you had not taken the gum because you had no way to get it or because you were too embarrassed to exchange it in that way. That would be terrible. think this sort of thing happens a lot at these microlevels of exchange. Like, </w:t>
      </w:r>
      <w:r w:rsidRPr="001641E7">
        <w:rPr>
          <w:rStyle w:val="StyleUnderline"/>
        </w:rPr>
        <w:t>how do you say hello to somebody? Usually they offer you their hand. And I remember when I first met you, I offered you my hand and you offered me your shoulder. And then my hand went on your shoulder and that was our contact. But I had to learn, and my first thought was, well, I don't know her very well, is it OK to put my hand on her shoulder?</w:t>
      </w:r>
      <w:r w:rsidRPr="001641E7">
        <w:rPr>
          <w:rFonts w:eastAsia="Times New Roman"/>
        </w:rPr>
        <w:t xml:space="preserve"> </w:t>
      </w:r>
      <w:r w:rsidRPr="001641E7">
        <w:rPr>
          <w:rFonts w:eastAsia="Times New Roman"/>
          <w:sz w:val="14"/>
        </w:rPr>
        <w:t xml:space="preserve">Yeah, that's fine, right? </w:t>
      </w:r>
      <w:r w:rsidRPr="001641E7">
        <w:rPr>
          <w:rStyle w:val="StyleUnderline"/>
        </w:rPr>
        <w:t>But whatever that formality is that suggests that bodies shouldn't have too much contact when they first meet</w:t>
      </w:r>
      <w:r w:rsidRPr="001641E7">
        <w:rPr>
          <w:rFonts w:eastAsia="Times New Roman"/>
        </w:rPr>
        <w:t xml:space="preserve"> </w:t>
      </w:r>
      <w:r w:rsidRPr="001641E7">
        <w:rPr>
          <w:rFonts w:eastAsia="Times New Roman"/>
          <w:sz w:val="14"/>
        </w:rPr>
        <w:t>each other unless they've—</w:t>
      </w:r>
      <w:r w:rsidRPr="001641E7">
        <w:rPr>
          <w:sz w:val="14"/>
        </w:rPr>
        <w:t xml:space="preserve"> </w:t>
      </w:r>
      <w:r w:rsidRPr="001641E7">
        <w:rPr>
          <w:rFonts w:eastAsia="Times New Roman"/>
          <w:sz w:val="14"/>
        </w:rPr>
        <w:t xml:space="preserve">S. TAYLOR: </w:t>
      </w:r>
      <w:r w:rsidRPr="001641E7">
        <w:rPr>
          <w:rStyle w:val="StyleUnderline"/>
        </w:rPr>
        <w:t>Or only contact through the hand</w:t>
      </w:r>
      <w:r w:rsidRPr="001641E7">
        <w:rPr>
          <w:rFonts w:eastAsia="Times New Roman"/>
        </w:rPr>
        <w:t>!</w:t>
      </w:r>
      <w:r w:rsidRPr="001641E7">
        <w:t xml:space="preserve"> </w:t>
      </w:r>
      <w:r w:rsidRPr="001641E7">
        <w:rPr>
          <w:rFonts w:eastAsia="Times New Roman"/>
          <w:sz w:val="14"/>
        </w:rPr>
        <w:t xml:space="preserve">BUTLER: Only contact through the hand! </w:t>
      </w:r>
      <w:r w:rsidRPr="001641E7">
        <w:rPr>
          <w:rStyle w:val="StyleUnderline"/>
        </w:rPr>
        <w:t>These protocols are highly structured, but sometimes they break down</w:t>
      </w:r>
      <w:r w:rsidRPr="001641E7">
        <w:rPr>
          <w:rFonts w:eastAsia="Times New Roman"/>
        </w:rPr>
        <w:t xml:space="preserve">. </w:t>
      </w:r>
      <w:r w:rsidRPr="001641E7">
        <w:rPr>
          <w:rFonts w:eastAsia="Times New Roman"/>
          <w:sz w:val="14"/>
        </w:rPr>
        <w:t xml:space="preserve">For instance, a </w:t>
      </w:r>
      <w:r w:rsidRPr="001641E7">
        <w:rPr>
          <w:rStyle w:val="StyleUnderline"/>
        </w:rPr>
        <w:t>friend of mine who's nearly transsexual</w:t>
      </w:r>
      <w:r w:rsidRPr="001641E7">
        <w:rPr>
          <w:rFonts w:eastAsia="Times New Roman"/>
          <w:sz w:val="14"/>
        </w:rPr>
        <w:t xml:space="preserve">—she's very, very butch, nearly transsexual—every time she goes to use the bathroom (and she uses the women's bathroom still for whatever reason), </w:t>
      </w:r>
      <w:r w:rsidRPr="001641E7">
        <w:rPr>
          <w:rStyle w:val="StyleUnderline"/>
        </w:rPr>
        <w:t>she gets yelled at the minute she walks in the door. And everything about her body is inspected by people who have never met her</w:t>
      </w:r>
      <w:r w:rsidRPr="001641E7">
        <w:rPr>
          <w:rFonts w:eastAsia="Times New Roman"/>
        </w:rPr>
        <w:t xml:space="preserve">. </w:t>
      </w:r>
      <w:r w:rsidRPr="001641E7">
        <w:rPr>
          <w:rFonts w:eastAsia="Times New Roman"/>
          <w:sz w:val="14"/>
        </w:rPr>
        <w:t>They want to know</w:t>
      </w:r>
      <w:r w:rsidRPr="001641E7">
        <w:rPr>
          <w:sz w:val="14"/>
        </w:rPr>
        <w:t xml:space="preserve"> </w:t>
      </w:r>
      <w:r w:rsidRPr="001641E7">
        <w:rPr>
          <w:rFonts w:eastAsia="Times New Roman"/>
          <w:sz w:val="14"/>
        </w:rPr>
        <w:t xml:space="preserve">whether those are her breasts; they want to figure out whether she's in the wrong place. In her case, a kind of invasiveness takes place. </w:t>
      </w:r>
      <w:r w:rsidRPr="001641E7">
        <w:rPr>
          <w:rStyle w:val="StyleUnderline"/>
        </w:rPr>
        <w:t>People feel like they can say anything to her, that they have a right to know about her anatomy or they have a right to know about her gender in a way that respects no privacy whatsoever.</w:t>
      </w:r>
      <w:r w:rsidRPr="001641E7">
        <w:rPr>
          <w:rFonts w:eastAsia="Times New Roman"/>
        </w:rPr>
        <w:t xml:space="preserve"> </w:t>
      </w:r>
      <w:r w:rsidRPr="001641E7">
        <w:rPr>
          <w:rFonts w:eastAsia="Times New Roman"/>
          <w:sz w:val="14"/>
        </w:rPr>
        <w:t>So that's a different case in which the social protocols are not about keeping separateness, which always assumes we know who each other are and what's appropriate, but where the kind of invasiveness seems to know no boundaries.</w:t>
      </w:r>
      <w:r w:rsidRPr="001641E7">
        <w:rPr>
          <w:sz w:val="14"/>
        </w:rPr>
        <w:t xml:space="preserve"> </w:t>
      </w:r>
      <w:r w:rsidRPr="001641E7">
        <w:rPr>
          <w:rFonts w:eastAsia="Times New Roman"/>
          <w:sz w:val="14"/>
        </w:rPr>
        <w:t>s. TAYLOR: And that happens a lot within the disabled community also,</w:t>
      </w:r>
      <w:r w:rsidRPr="001641E7">
        <w:rPr>
          <w:rFonts w:eastAsia="Times New Roman"/>
        </w:rPr>
        <w:t xml:space="preserve"> </w:t>
      </w:r>
      <w:r w:rsidRPr="001641E7">
        <w:rPr>
          <w:rStyle w:val="StyleUnderline"/>
        </w:rPr>
        <w:t>especially with people who can pass as able-bodied in some circumstances. Some people seem to think that they have the right to ask questions, to be overly intimate</w:t>
      </w:r>
      <w:r w:rsidRPr="001641E7">
        <w:rPr>
          <w:rFonts w:eastAsia="Times New Roman"/>
        </w:rPr>
        <w:t xml:space="preserve">. </w:t>
      </w:r>
      <w:r w:rsidRPr="001641E7">
        <w:rPr>
          <w:rFonts w:eastAsia="Times New Roman"/>
          <w:sz w:val="14"/>
        </w:rPr>
        <w:t xml:space="preserve">But I think there are positive levels where these different ways of moving or being can lead to freedom of touch and freedom of intimacy in different ways, and those moments are really lovely. And I know that when I have participated </w:t>
      </w:r>
      <w:r w:rsidRPr="001641E7">
        <w:rPr>
          <w:sz w:val="14"/>
        </w:rPr>
        <w:t>i</w:t>
      </w:r>
      <w:r w:rsidRPr="001641E7">
        <w:rPr>
          <w:rFonts w:eastAsia="Times New Roman"/>
          <w:sz w:val="14"/>
        </w:rPr>
        <w:t xml:space="preserve">n events or in settings where there are a lot of people with different embodiments, part of my favorite thing is just being completely confused about how to greet someone. </w:t>
      </w:r>
      <w:r w:rsidRPr="001641E7">
        <w:rPr>
          <w:rStyle w:val="StyleUnderline"/>
        </w:rPr>
        <w:t>Not knowing how to give that physical contact or how to even say hi</w:t>
      </w:r>
      <w:r w:rsidRPr="001641E7">
        <w:rPr>
          <w:rFonts w:eastAsia="Times New Roman"/>
          <w:sz w:val="14"/>
        </w:rPr>
        <w:t xml:space="preserve">, or wondering how someone is going to say hi back to me. And I think that </w:t>
      </w:r>
      <w:r w:rsidRPr="001641E7">
        <w:rPr>
          <w:rStyle w:val="StyleUnderline"/>
        </w:rPr>
        <w:t>those experiences are just so important, almost as a reminder of all the walls that we've built</w:t>
      </w:r>
      <w:r w:rsidRPr="001641E7">
        <w:rPr>
          <w:rFonts w:eastAsia="Times New Roman"/>
        </w:rPr>
        <w:t>.</w:t>
      </w:r>
      <w:r w:rsidRPr="001641E7">
        <w:t xml:space="preserve"> </w:t>
      </w:r>
      <w:r w:rsidRPr="001641E7">
        <w:rPr>
          <w:rFonts w:eastAsia="Times New Roman"/>
          <w:sz w:val="14"/>
        </w:rPr>
        <w:t>BUTLER: Yes, ways of expressing acknowledgment or welcoming somebody—those are actually really crucial acts. How do I make contact with this other human?</w:t>
      </w:r>
    </w:p>
    <w:p xmlns:wp14="http://schemas.microsoft.com/office/word/2010/wordml" w:rsidRPr="001641E7" w:rsidR="001860AB" w:rsidP="001860AB" w:rsidRDefault="001860AB" w14:paraId="14410AD7" wp14:textId="77777777">
      <w:pPr>
        <w:pStyle w:val="Heading3"/>
        <w:rPr>
          <w:rFonts w:cs="Arial"/>
        </w:rPr>
      </w:pPr>
      <w:r w:rsidRPr="001641E7">
        <w:rPr>
          <w:rFonts w:cs="Arial"/>
        </w:rPr>
        <w:lastRenderedPageBreak/>
        <w:t>S: Challenges Normalcy</w:t>
      </w:r>
    </w:p>
    <w:p xmlns:wp14="http://schemas.microsoft.com/office/word/2010/wordml" w:rsidRPr="001641E7" w:rsidR="001860AB" w:rsidP="001860AB" w:rsidRDefault="001860AB" w14:paraId="1CF5EC7C" wp14:textId="77777777">
      <w:pPr>
        <w:pStyle w:val="Heading4"/>
        <w:rPr>
          <w:rFonts w:cs="Arial"/>
        </w:rPr>
      </w:pPr>
      <w:r w:rsidRPr="001641E7">
        <w:rPr>
          <w:rFonts w:cs="Arial"/>
        </w:rPr>
        <w:t>Re-orientation challenges ableism in everyday intimate interactions</w:t>
      </w:r>
    </w:p>
    <w:p xmlns:wp14="http://schemas.microsoft.com/office/word/2010/wordml" w:rsidRPr="001641E7" w:rsidR="001860AB" w:rsidP="001860AB" w:rsidRDefault="001860AB" w14:paraId="7537C09D" wp14:textId="77777777">
      <w:r w:rsidRPr="001641E7">
        <w:rPr>
          <w:rStyle w:val="Style13ptBold"/>
        </w:rPr>
        <w:t xml:space="preserve">Butler, Taylor, Taylor 2010 </w:t>
      </w:r>
      <w:r w:rsidRPr="001641E7">
        <w:t xml:space="preserve">[Butler, Judith, et al. “Interdependance.” Examined Life, 2010. Judith Butler is an American philosopher and </w:t>
      </w:r>
      <w:hyperlink w:tooltip="Gender studies" w:history="1" r:id="rId74">
        <w:r w:rsidRPr="001641E7">
          <w:rPr>
            <w:rStyle w:val="Hyperlink"/>
          </w:rPr>
          <w:t>gender theorist</w:t>
        </w:r>
      </w:hyperlink>
      <w:r w:rsidRPr="001641E7">
        <w:t xml:space="preserve"> whose work has influenced </w:t>
      </w:r>
      <w:hyperlink w:tooltip="Political philosophy" w:history="1" r:id="rId75">
        <w:r w:rsidRPr="001641E7">
          <w:rPr>
            <w:rStyle w:val="Hyperlink"/>
          </w:rPr>
          <w:t>political philosophy</w:t>
        </w:r>
      </w:hyperlink>
      <w:r w:rsidRPr="001641E7">
        <w:t xml:space="preserve">, </w:t>
      </w:r>
      <w:hyperlink w:tooltip="Ethics" w:history="1" r:id="rId76">
        <w:r w:rsidRPr="001641E7">
          <w:rPr>
            <w:rStyle w:val="Hyperlink"/>
          </w:rPr>
          <w:t>ethics</w:t>
        </w:r>
      </w:hyperlink>
      <w:r w:rsidRPr="001641E7">
        <w:t xml:space="preserve"> and the fields of </w:t>
      </w:r>
      <w:hyperlink w:tooltip="Third-wave feminism" w:history="1" r:id="rId77">
        <w:r w:rsidRPr="001641E7">
          <w:rPr>
            <w:rStyle w:val="Hyperlink"/>
          </w:rPr>
          <w:t>third-wave feminist</w:t>
        </w:r>
      </w:hyperlink>
      <w:r w:rsidRPr="001641E7">
        <w:t xml:space="preserve">, </w:t>
      </w:r>
      <w:hyperlink w:tooltip="Queer theory" w:history="1" r:id="rId78">
        <w:r w:rsidRPr="001641E7">
          <w:rPr>
            <w:rStyle w:val="Hyperlink"/>
          </w:rPr>
          <w:t>queer</w:t>
        </w:r>
      </w:hyperlink>
      <w:r w:rsidRPr="001641E7">
        <w:t xml:space="preserve"> and </w:t>
      </w:r>
      <w:hyperlink w:tooltip="Literary theory" w:history="1" r:id="rId79">
        <w:r w:rsidRPr="001641E7">
          <w:rPr>
            <w:rStyle w:val="Hyperlink"/>
          </w:rPr>
          <w:t>literary theory</w:t>
        </w:r>
      </w:hyperlink>
      <w:r w:rsidRPr="001641E7">
        <w:t xml:space="preserve">. Since 1993, she has taught at the </w:t>
      </w:r>
      <w:hyperlink w:tooltip="University of California, Berkeley" w:history="1" r:id="rId80">
        <w:r w:rsidRPr="001641E7">
          <w:rPr>
            <w:rStyle w:val="Hyperlink"/>
          </w:rPr>
          <w:t>University of California, Berkeley</w:t>
        </w:r>
      </w:hyperlink>
      <w:r w:rsidRPr="001641E7">
        <w:t xml:space="preserve">, where she is now Maxine Elliot Professor in the Department of Comparative Literature and the Program of Critical Theory. She is also the </w:t>
      </w:r>
      <w:hyperlink w:tooltip="Hannah Arendt" w:history="1" r:id="rId81">
        <w:r w:rsidRPr="001641E7">
          <w:rPr>
            <w:rStyle w:val="Hyperlink"/>
          </w:rPr>
          <w:t>Hannah Arendt</w:t>
        </w:r>
      </w:hyperlink>
      <w:r w:rsidRPr="001641E7">
        <w:t xml:space="preserve"> Chair at the </w:t>
      </w:r>
      <w:hyperlink w:tooltip="European Graduate School" w:history="1" r:id="rId82">
        <w:r w:rsidRPr="001641E7">
          <w:rPr>
            <w:rStyle w:val="Hyperlink"/>
          </w:rPr>
          <w:t>European Graduate School</w:t>
        </w:r>
      </w:hyperlink>
      <w:r w:rsidRPr="001641E7">
        <w:t xml:space="preserve">. Sunaura "Sunny" Taylor is an </w:t>
      </w:r>
      <w:hyperlink w:tooltip="United States" w:history="1" r:id="rId83">
        <w:r w:rsidRPr="001641E7">
          <w:rPr>
            <w:rStyle w:val="Hyperlink"/>
          </w:rPr>
          <w:t>American</w:t>
        </w:r>
      </w:hyperlink>
      <w:r w:rsidRPr="001641E7">
        <w:t xml:space="preserve"> painter and activist for </w:t>
      </w:r>
      <w:hyperlink w:tooltip="Disability rights movement" w:history="1" r:id="rId84">
        <w:r w:rsidRPr="001641E7">
          <w:rPr>
            <w:rStyle w:val="Hyperlink"/>
          </w:rPr>
          <w:t>disability</w:t>
        </w:r>
      </w:hyperlink>
      <w:r w:rsidRPr="001641E7">
        <w:t xml:space="preserve"> and </w:t>
      </w:r>
      <w:hyperlink w:tooltip="Animal rights" w:history="1" r:id="rId85">
        <w:r w:rsidRPr="001641E7">
          <w:rPr>
            <w:rStyle w:val="Hyperlink"/>
          </w:rPr>
          <w:t>animal rights</w:t>
        </w:r>
      </w:hyperlink>
      <w:r w:rsidRPr="001641E7">
        <w:t xml:space="preserve">. She uses a wheelchair because of a congenital physical disability.  She currently resides in </w:t>
      </w:r>
      <w:hyperlink w:tooltip="Oakland, California" w:history="1" r:id="rId86">
        <w:r w:rsidRPr="001641E7">
          <w:rPr>
            <w:rStyle w:val="Hyperlink"/>
          </w:rPr>
          <w:t>Oakland</w:t>
        </w:r>
      </w:hyperlink>
      <w:r w:rsidRPr="001641E7">
        <w:t xml:space="preserve">, </w:t>
      </w:r>
      <w:hyperlink w:tooltip="California" w:history="1" r:id="rId87">
        <w:r w:rsidRPr="001641E7">
          <w:rPr>
            <w:rStyle w:val="Hyperlink"/>
          </w:rPr>
          <w:t>California</w:t>
        </w:r>
      </w:hyperlink>
      <w:r w:rsidRPr="001641E7">
        <w:t xml:space="preserve">, and has taught classes at the </w:t>
      </w:r>
      <w:hyperlink w:tooltip="University of California, Berkeley" w:history="1" r:id="rId88">
        <w:r w:rsidRPr="001641E7">
          <w:rPr>
            <w:rStyle w:val="Hyperlink"/>
          </w:rPr>
          <w:t>University of California, Berkeley</w:t>
        </w:r>
      </w:hyperlink>
      <w:r w:rsidRPr="001641E7">
        <w:t xml:space="preserve">.] //MMS </w:t>
      </w:r>
    </w:p>
    <w:p xmlns:wp14="http://schemas.microsoft.com/office/word/2010/wordml" w:rsidRPr="001641E7" w:rsidR="001860AB" w:rsidP="001860AB" w:rsidRDefault="001860AB" w14:paraId="67B510FF" wp14:textId="77777777">
      <w:pPr>
        <w:spacing w:after="301" w:line="308" w:lineRule="auto"/>
        <w:ind w:left="14" w:right="125" w:firstLine="9"/>
        <w:jc w:val="both"/>
        <w:rPr>
          <w:rFonts w:eastAsia="Times New Roman"/>
          <w:sz w:val="14"/>
        </w:rPr>
      </w:pPr>
      <w:r w:rsidRPr="001641E7">
        <w:rPr>
          <w:rFonts w:eastAsia="Times New Roman"/>
          <w:sz w:val="14"/>
        </w:rPr>
        <w:t>ASTRA TAYLOR: Sunny, maybe you could tell the story about how you became aware of disability as an intellectual issue, as a topic that could be theorized about—how disability studies fostered your political consciousness, which eventually inspired you to participate in those events you just mentioned, and how that changed your life.</w:t>
      </w:r>
      <w:r w:rsidRPr="001641E7">
        <w:rPr>
          <w:sz w:val="14"/>
        </w:rPr>
        <w:t xml:space="preserve"> </w:t>
      </w:r>
      <w:r w:rsidRPr="001641E7">
        <w:rPr>
          <w:rFonts w:eastAsia="Times New Roman"/>
          <w:sz w:val="14"/>
        </w:rPr>
        <w:t xml:space="preserve">s. TAYLOR: So it wasn't until I was in my early twenties, about twenty or twenty-one, that I became aware of disability as a political issue. And that happened largely through discovering the social model of disability, which is basically this: </w:t>
      </w:r>
      <w:r w:rsidRPr="001641E7">
        <w:rPr>
          <w:rStyle w:val="StyleUnderline"/>
        </w:rPr>
        <w:t xml:space="preserve">In disability studies they have a distinction between disability and impairment. So impairment would be my body, my embodiment right now, the fact that I was born with arthrogryposis, or what the medical world has labeled as arthrogryposis, that basically my joints are fused, my muscles are weaker, I can't move in certain ways. </w:t>
      </w:r>
      <w:r w:rsidRPr="001641E7">
        <w:rPr>
          <w:rFonts w:eastAsia="Times New Roman"/>
          <w:sz w:val="14"/>
        </w:rPr>
        <w:t>* And this does affect my life in al</w:t>
      </w:r>
      <w:r w:rsidRPr="001641E7">
        <w:rPr>
          <w:sz w:val="14"/>
        </w:rPr>
        <w:t>l</w:t>
      </w:r>
      <w:r w:rsidRPr="001641E7">
        <w:rPr>
          <w:rFonts w:eastAsia="Times New Roman"/>
          <w:sz w:val="14"/>
        </w:rPr>
        <w:t xml:space="preserve"> sorts </w:t>
      </w:r>
      <w:r w:rsidRPr="001641E7">
        <w:rPr>
          <w:sz w:val="14"/>
        </w:rPr>
        <w:t>o</w:t>
      </w:r>
      <w:r w:rsidRPr="001641E7">
        <w:rPr>
          <w:rFonts w:eastAsia="Times New Roman"/>
          <w:sz w:val="14"/>
        </w:rPr>
        <w:t>f situations. For instance, there's a plum tree in my backyard and can't pick the plums off</w:t>
      </w:r>
      <w:r w:rsidRPr="001641E7">
        <w:rPr>
          <w:sz w:val="14"/>
        </w:rPr>
        <w:t xml:space="preserve"> </w:t>
      </w:r>
      <w:r w:rsidRPr="001641E7">
        <w:rPr>
          <w:rFonts w:eastAsia="Times New Roman"/>
          <w:sz w:val="14"/>
        </w:rPr>
        <w:t xml:space="preserve">of it. I have to wait for them to drop. And so there's that, there's that embodiment, our own unique embodiments. And </w:t>
      </w:r>
      <w:r w:rsidRPr="001641E7">
        <w:rPr>
          <w:rStyle w:val="StyleUnderline"/>
        </w:rPr>
        <w:t>then there's disability, which is basically the social repression of disabled people. The fact that disabled people have limited housing options, we don't have career opportunities, we're socially isolated, and in many ways there's a cultural aversion to disabled people.</w:t>
      </w:r>
      <w:r w:rsidRPr="001641E7">
        <w:t xml:space="preserve"> </w:t>
      </w:r>
      <w:r w:rsidRPr="001641E7">
        <w:rPr>
          <w:rFonts w:eastAsia="Times New Roman"/>
          <w:sz w:val="14"/>
        </w:rPr>
        <w:t xml:space="preserve">BUTLER: So would disability be the social organization of impairment?  </w:t>
      </w:r>
      <w:r w:rsidRPr="001641E7">
        <w:rPr>
          <w:sz w:val="14"/>
        </w:rPr>
        <w:t>[</w:t>
      </w:r>
      <w:r w:rsidRPr="001641E7">
        <w:rPr>
          <w:rFonts w:eastAsia="Times New Roman"/>
          <w:sz w:val="14"/>
        </w:rPr>
        <w:t>The shot is momentarily interrupted as we clear the sidewalks for passersby. "Can you make us famous?" they ask.</w:t>
      </w:r>
      <w:r w:rsidRPr="001641E7">
        <w:rPr>
          <w:sz w:val="14"/>
        </w:rPr>
        <w:t>]</w:t>
      </w:r>
      <w:r w:rsidRPr="001641E7">
        <w:rPr>
          <w:rFonts w:eastAsia="Times New Roman"/>
          <w:sz w:val="14"/>
        </w:rPr>
        <w:t xml:space="preserve"> I was just trying to figure out what a good formulation for understanding the distinction between impairment and disability is. And would it be fair to say that </w:t>
      </w:r>
      <w:r w:rsidRPr="001641E7">
        <w:rPr>
          <w:rStyle w:val="StyleUnderline"/>
        </w:rPr>
        <w:t>disability is the social organization of impairment? The way impairment is addressed or fails to be addressed by social means?</w:t>
      </w:r>
      <w:r w:rsidRPr="001641E7">
        <w:t xml:space="preserve"> </w:t>
      </w:r>
      <w:r w:rsidRPr="001641E7">
        <w:rPr>
          <w:rFonts w:eastAsia="Times New Roman"/>
          <w:sz w:val="14"/>
        </w:rPr>
        <w:t xml:space="preserve">s. TAYLOR: Yes, yes. Exactly. </w:t>
      </w:r>
      <w:r w:rsidRPr="001641E7">
        <w:rPr>
          <w:rStyle w:val="StyleUnderline"/>
        </w:rPr>
        <w:t>The disabling effects</w:t>
      </w:r>
      <w:r w:rsidRPr="001641E7">
        <w:rPr>
          <w:rFonts w:eastAsia="Times New Roman"/>
          <w:sz w:val="20"/>
        </w:rPr>
        <w:t xml:space="preserve">, </w:t>
      </w:r>
      <w:r w:rsidRPr="001641E7">
        <w:rPr>
          <w:rFonts w:eastAsia="Times New Roman"/>
          <w:sz w:val="14"/>
        </w:rPr>
        <w:t>basically,</w:t>
      </w:r>
      <w:r w:rsidRPr="001641E7">
        <w:rPr>
          <w:rFonts w:eastAsia="Times New Roman"/>
          <w:sz w:val="20"/>
          <w:u w:val="single"/>
        </w:rPr>
        <w:t xml:space="preserve"> </w:t>
      </w:r>
      <w:r w:rsidRPr="001641E7">
        <w:rPr>
          <w:rStyle w:val="StyleUnderline"/>
        </w:rPr>
        <w:t>of society</w:t>
      </w:r>
      <w:r w:rsidRPr="001641E7">
        <w:rPr>
          <w:rFonts w:eastAsia="Times New Roman"/>
          <w:sz w:val="14"/>
          <w:szCs w:val="14"/>
        </w:rPr>
        <w:t>.</w:t>
      </w:r>
      <w:r w:rsidRPr="001641E7">
        <w:rPr>
          <w:sz w:val="14"/>
          <w:szCs w:val="14"/>
        </w:rPr>
        <w:t xml:space="preserve"> </w:t>
      </w:r>
      <w:r w:rsidRPr="001641E7">
        <w:rPr>
          <w:rFonts w:eastAsia="Times New Roman"/>
          <w:sz w:val="14"/>
          <w:szCs w:val="14"/>
        </w:rPr>
        <w:t>That's what it would be.</w:t>
      </w:r>
      <w:r w:rsidRPr="001641E7">
        <w:rPr>
          <w:sz w:val="14"/>
          <w:szCs w:val="14"/>
        </w:rPr>
        <w:t xml:space="preserve"> </w:t>
      </w:r>
      <w:r w:rsidRPr="001641E7">
        <w:rPr>
          <w:rFonts w:eastAsia="Times New Roman"/>
          <w:sz w:val="14"/>
          <w:szCs w:val="14"/>
        </w:rPr>
        <w:t>BUTLER: That seems extremely important. So what happened when you realized that disability is a political issue? At what point did you recognize that and what facilitated your understanding?</w:t>
      </w:r>
      <w:r w:rsidRPr="001641E7">
        <w:rPr>
          <w:sz w:val="14"/>
          <w:szCs w:val="14"/>
        </w:rPr>
        <w:t xml:space="preserve"> </w:t>
      </w:r>
      <w:r w:rsidRPr="001641E7">
        <w:rPr>
          <w:rFonts w:eastAsia="Times New Roman"/>
          <w:sz w:val="14"/>
          <w:szCs w:val="14"/>
        </w:rPr>
        <w:t xml:space="preserve">s. TAYLOR: Well, I think </w:t>
      </w:r>
      <w:r w:rsidRPr="001641E7">
        <w:rPr>
          <w:rStyle w:val="StyleUnderline"/>
        </w:rPr>
        <w:t xml:space="preserve">all the feelings that I had grown up with— that my body was abnormal, that I was deformed, that it was a tragedy—all these sorts of things that I'd really sort of internalized being my own personal problem </w:t>
      </w:r>
      <w:r w:rsidRPr="001641E7">
        <w:rPr>
          <w:rFonts w:eastAsia="Times New Roman"/>
          <w:sz w:val="14"/>
        </w:rPr>
        <w:t xml:space="preserve">suddenly blasted open and then I just realized how much </w:t>
      </w:r>
      <w:r w:rsidRPr="001641E7">
        <w:rPr>
          <w:rStyle w:val="StyleUnderline"/>
        </w:rPr>
        <w:t>they’re political and they're civil rights issues, so it made me more determined to figure out a way of interacting physically with the world.</w:t>
      </w:r>
      <w:r w:rsidRPr="001641E7">
        <w:t xml:space="preserve"> </w:t>
      </w:r>
      <w:r w:rsidRPr="001641E7">
        <w:rPr>
          <w:rFonts w:eastAsia="Times New Roman"/>
          <w:sz w:val="14"/>
        </w:rPr>
        <w:t xml:space="preserve">BUTLER: </w:t>
      </w:r>
      <w:r w:rsidRPr="001641E7">
        <w:rPr>
          <w:sz w:val="14"/>
        </w:rPr>
        <w:t>Wh</w:t>
      </w:r>
      <w:r w:rsidRPr="001641E7">
        <w:rPr>
          <w:rFonts w:eastAsia="Times New Roman"/>
          <w:sz w:val="14"/>
        </w:rPr>
        <w:t>at happened? Did you come in contact with disability activists or did you read certain things?</w:t>
      </w:r>
      <w:r w:rsidRPr="001641E7">
        <w:rPr>
          <w:sz w:val="14"/>
        </w:rPr>
        <w:t xml:space="preserve"> </w:t>
      </w:r>
      <w:r w:rsidRPr="001641E7">
        <w:rPr>
          <w:rFonts w:eastAsia="Times New Roman"/>
          <w:sz w:val="14"/>
        </w:rPr>
        <w:t xml:space="preserve">s. TAYLOR: I read a book review, actually. But it was also definitely very hard because when that happened I lived in Brooklyn. And would really try to just go and order a coffee by myself. And I would sit for hours beforehand in the park just trying to get up the nerve to do that. Because </w:t>
      </w:r>
      <w:r w:rsidRPr="001641E7">
        <w:rPr>
          <w:rStyle w:val="StyleUnderline"/>
        </w:rPr>
        <w:t>it was a matter of asking for help, which in this society is just looked down upon.</w:t>
      </w:r>
      <w:r w:rsidRPr="001641E7">
        <w:t xml:space="preserve"> </w:t>
      </w:r>
      <w:r w:rsidRPr="001641E7">
        <w:rPr>
          <w:rFonts w:eastAsia="Times New Roman"/>
          <w:sz w:val="14"/>
        </w:rPr>
        <w:t>BUTLER: Well, and there's no guarantee that someone's going to help.</w:t>
      </w:r>
      <w:r w:rsidRPr="001641E7">
        <w:rPr>
          <w:sz w:val="14"/>
        </w:rPr>
        <w:t xml:space="preserve"> </w:t>
      </w:r>
      <w:r w:rsidRPr="001641E7">
        <w:rPr>
          <w:rFonts w:eastAsia="Times New Roman"/>
          <w:sz w:val="14"/>
        </w:rPr>
        <w:t>s. TAYLOR: That too! BUTLER: Or that they</w:t>
      </w:r>
      <w:r w:rsidRPr="001641E7">
        <w:rPr>
          <w:sz w:val="14"/>
        </w:rPr>
        <w:t>’</w:t>
      </w:r>
      <w:r w:rsidRPr="001641E7">
        <w:rPr>
          <w:rFonts w:eastAsia="Times New Roman"/>
          <w:sz w:val="14"/>
        </w:rPr>
        <w:t>re not going to disdain you for needing help.</w:t>
      </w:r>
      <w:r w:rsidRPr="001641E7">
        <w:rPr>
          <w:sz w:val="14"/>
        </w:rPr>
        <w:t xml:space="preserve"> </w:t>
      </w:r>
      <w:r w:rsidRPr="001641E7">
        <w:rPr>
          <w:rFonts w:eastAsia="Times New Roman"/>
          <w:sz w:val="14"/>
        </w:rPr>
        <w:t xml:space="preserve">s. TAYLOR: Yeah, yes. Or that it just won't be a very awkward moment. They won't know how to help you and you'll have to explain to them how to help . . . though it's never, never as awkward as one thinks it will be. But then I sort of had the epiphany that actually, in a </w:t>
      </w:r>
      <w:r w:rsidRPr="001641E7">
        <w:rPr>
          <w:sz w:val="14"/>
        </w:rPr>
        <w:t>w</w:t>
      </w:r>
      <w:r w:rsidRPr="001641E7">
        <w:rPr>
          <w:rFonts w:eastAsia="Times New Roman"/>
          <w:sz w:val="14"/>
        </w:rPr>
        <w:t xml:space="preserve">ay, </w:t>
      </w:r>
      <w:r w:rsidRPr="001641E7">
        <w:rPr>
          <w:rStyle w:val="StyleUnderline"/>
        </w:rPr>
        <w:t>it's a political protest for me to go in and order a coffee and demand help simply because, in my opinion, help is something we all need. And it's something that is looked down upon and not really taken care of in this society when we all need help, when we're all interdependent in all sorts of ways</w:t>
      </w:r>
      <w:r w:rsidRPr="001641E7">
        <w:rPr>
          <w:rFonts w:eastAsia="Times New Roman"/>
          <w:sz w:val="14"/>
        </w:rPr>
        <w:t>.</w:t>
      </w:r>
      <w:r w:rsidRPr="001641E7">
        <w:rPr>
          <w:sz w:val="14"/>
        </w:rPr>
        <w:t xml:space="preserve"> </w:t>
      </w:r>
      <w:r w:rsidRPr="001641E7">
        <w:rPr>
          <w:rFonts w:eastAsia="Times New Roman"/>
          <w:sz w:val="14"/>
        </w:rPr>
        <w:t xml:space="preserve">BUTLER: I think that's </w:t>
      </w:r>
      <w:r w:rsidRPr="001641E7">
        <w:rPr>
          <w:rFonts w:eastAsia="Times New Roman"/>
          <w:sz w:val="14"/>
        </w:rPr>
        <w:lastRenderedPageBreak/>
        <w:t xml:space="preserve">true and </w:t>
      </w:r>
      <w:r w:rsidRPr="001641E7">
        <w:rPr>
          <w:rStyle w:val="StyleUnderline"/>
        </w:rPr>
        <w:t>it is a political act to ask for coffee</w:t>
      </w:r>
      <w:r w:rsidRPr="001641E7">
        <w:rPr>
          <w:rFonts w:eastAsia="Times New Roman"/>
          <w:sz w:val="14"/>
        </w:rPr>
        <w:t xml:space="preserve">— </w:t>
      </w:r>
      <w:r w:rsidRPr="001641E7">
        <w:rPr>
          <w:noProof/>
          <w:sz w:val="14"/>
        </w:rPr>
        <w:t>I</w:t>
      </w:r>
      <w:r w:rsidRPr="001641E7">
        <w:rPr>
          <w:rFonts w:eastAsia="Times New Roman"/>
          <w:sz w:val="14"/>
        </w:rPr>
        <w:t xml:space="preserve"> mean, </w:t>
      </w:r>
      <w:r w:rsidRPr="001641E7">
        <w:rPr>
          <w:rStyle w:val="StyleUnderline"/>
        </w:rPr>
        <w:t>you are intervening in social space in a particular way, you're challenging the protocols through which certain kinds of items are asked for or help is asked for, and you're asking for that social world to open, not only to you personally, but to al] the people who are in your situation</w:t>
      </w:r>
      <w:r w:rsidRPr="001641E7">
        <w:rPr>
          <w:rFonts w:eastAsia="Times New Roman"/>
          <w:sz w:val="14"/>
        </w:rPr>
        <w:t>. And so I think your asking for coffee is</w:t>
      </w:r>
      <w:r w:rsidRPr="001641E7">
        <w:rPr>
          <w:sz w:val="14"/>
        </w:rPr>
        <w:t xml:space="preserve"> </w:t>
      </w:r>
      <w:r w:rsidRPr="001641E7">
        <w:rPr>
          <w:rFonts w:eastAsia="Times New Roman"/>
          <w:sz w:val="14"/>
        </w:rPr>
        <w:t>political.</w:t>
      </w:r>
      <w:r w:rsidRPr="001641E7">
        <w:rPr>
          <w:sz w:val="14"/>
        </w:rPr>
        <w:t xml:space="preserve"> </w:t>
      </w:r>
      <w:r w:rsidRPr="001641E7">
        <w:rPr>
          <w:rFonts w:eastAsia="Times New Roman"/>
          <w:sz w:val="14"/>
        </w:rPr>
        <w:t>s. TAYLOR: Yeah, I agree. And I think</w:t>
      </w:r>
      <w:r w:rsidRPr="001641E7">
        <w:rPr>
          <w:rFonts w:eastAsia="Times New Roman"/>
        </w:rPr>
        <w:t xml:space="preserve"> </w:t>
      </w:r>
      <w:r w:rsidRPr="001641E7">
        <w:rPr>
          <w:rStyle w:val="StyleUnderline"/>
        </w:rPr>
        <w:t xml:space="preserve">it becomes more political when it involves me actually showing the ways in which I do things. Or asking other people to interact with the different ways in which I do things. Because I think it can help make people aware of the ways in which they are entangled in this web of normalcy. </w:t>
      </w:r>
      <w:r w:rsidRPr="001641E7">
        <w:rPr>
          <w:rFonts w:eastAsia="Times New Roman"/>
          <w:sz w:val="14"/>
        </w:rPr>
        <w:t xml:space="preserve">BUTLER: Can we go back for a moment to moving or eating in public and what kind of challenge that is both for you and for able-bodied people who are around you or with you? I'm struck by the fact that the able-bodied population has certain feelings of anxiety and stigmatizes impairment precisely because there are things you are perceived not to be able to do, you are perceived as helpless or dependent. </w:t>
      </w:r>
    </w:p>
    <w:p xmlns:wp14="http://schemas.microsoft.com/office/word/2010/wordml" w:rsidRPr="001641E7" w:rsidR="001860AB" w:rsidP="001860AB" w:rsidRDefault="001860AB" w14:paraId="75F295E4" wp14:textId="77777777">
      <w:pPr>
        <w:pStyle w:val="Heading3"/>
        <w:rPr>
          <w:rFonts w:cs="Arial"/>
        </w:rPr>
      </w:pPr>
      <w:r w:rsidRPr="001641E7">
        <w:rPr>
          <w:rFonts w:cs="Arial"/>
        </w:rPr>
        <w:lastRenderedPageBreak/>
        <w:t>S: The Gesture</w:t>
      </w:r>
    </w:p>
    <w:p xmlns:wp14="http://schemas.microsoft.com/office/word/2010/wordml" w:rsidRPr="001641E7" w:rsidR="001860AB" w:rsidP="001860AB" w:rsidRDefault="001860AB" w14:paraId="1B50C6E5" wp14:textId="77777777">
      <w:pPr>
        <w:pStyle w:val="Heading4"/>
        <w:rPr>
          <w:rFonts w:cs="Arial"/>
        </w:rPr>
      </w:pPr>
      <w:r w:rsidRPr="001641E7">
        <w:rPr>
          <w:rFonts w:cs="Arial"/>
        </w:rPr>
        <w:t>Re-orientation challenges at the level of the gestural – the way in which our bodies are disciplined in ableist, racialized schemas</w:t>
      </w:r>
    </w:p>
    <w:p xmlns:wp14="http://schemas.microsoft.com/office/word/2010/wordml" w:rsidRPr="001641E7" w:rsidR="001860AB" w:rsidP="001860AB" w:rsidRDefault="001860AB" w14:paraId="074C2DEF" wp14:textId="77777777">
      <w:pPr>
        <w:rPr>
          <w:sz w:val="14"/>
        </w:rPr>
      </w:pPr>
      <w:r w:rsidRPr="001641E7">
        <w:rPr>
          <w:rStyle w:val="Style13ptBold"/>
        </w:rPr>
        <w:t>Butler, Taylor, Taylor 2010</w:t>
      </w:r>
      <w:r w:rsidRPr="001641E7">
        <w:rPr>
          <w:sz w:val="14"/>
        </w:rPr>
        <w:t xml:space="preserve"> [Butler, Judith, et al. “Interdependance.” Examined Life, 2010. Judith Butler is an American philosopher and </w:t>
      </w:r>
      <w:hyperlink w:tooltip="Gender studies" w:history="1" r:id="rId89">
        <w:r w:rsidRPr="001641E7">
          <w:rPr>
            <w:rStyle w:val="Hyperlink"/>
            <w:sz w:val="14"/>
          </w:rPr>
          <w:t>gender theorist</w:t>
        </w:r>
      </w:hyperlink>
      <w:r w:rsidRPr="001641E7">
        <w:rPr>
          <w:sz w:val="14"/>
        </w:rPr>
        <w:t xml:space="preserve"> whose work has influenced </w:t>
      </w:r>
      <w:hyperlink w:tooltip="Political philosophy" w:history="1" r:id="rId90">
        <w:r w:rsidRPr="001641E7">
          <w:rPr>
            <w:rStyle w:val="Hyperlink"/>
            <w:sz w:val="14"/>
          </w:rPr>
          <w:t>political philosophy</w:t>
        </w:r>
      </w:hyperlink>
      <w:r w:rsidRPr="001641E7">
        <w:rPr>
          <w:sz w:val="14"/>
        </w:rPr>
        <w:t xml:space="preserve">, </w:t>
      </w:r>
      <w:hyperlink w:tooltip="Ethics" w:history="1" r:id="rId91">
        <w:r w:rsidRPr="001641E7">
          <w:rPr>
            <w:rStyle w:val="Hyperlink"/>
            <w:sz w:val="14"/>
          </w:rPr>
          <w:t>ethics</w:t>
        </w:r>
      </w:hyperlink>
      <w:r w:rsidRPr="001641E7">
        <w:rPr>
          <w:sz w:val="14"/>
        </w:rPr>
        <w:t xml:space="preserve"> and the fields of </w:t>
      </w:r>
      <w:hyperlink w:tooltip="Third-wave feminism" w:history="1" r:id="rId92">
        <w:r w:rsidRPr="001641E7">
          <w:rPr>
            <w:rStyle w:val="Hyperlink"/>
            <w:sz w:val="14"/>
          </w:rPr>
          <w:t>third-wave feminist</w:t>
        </w:r>
      </w:hyperlink>
      <w:r w:rsidRPr="001641E7">
        <w:rPr>
          <w:sz w:val="14"/>
        </w:rPr>
        <w:t xml:space="preserve">, </w:t>
      </w:r>
      <w:hyperlink w:tooltip="Queer theory" w:history="1" r:id="rId93">
        <w:r w:rsidRPr="001641E7">
          <w:rPr>
            <w:rStyle w:val="Hyperlink"/>
            <w:sz w:val="14"/>
          </w:rPr>
          <w:t>queer</w:t>
        </w:r>
      </w:hyperlink>
      <w:r w:rsidRPr="001641E7">
        <w:rPr>
          <w:sz w:val="14"/>
        </w:rPr>
        <w:t xml:space="preserve"> and </w:t>
      </w:r>
      <w:hyperlink w:tooltip="Literary theory" w:history="1" r:id="rId94">
        <w:r w:rsidRPr="001641E7">
          <w:rPr>
            <w:rStyle w:val="Hyperlink"/>
            <w:sz w:val="14"/>
          </w:rPr>
          <w:t>literary theory</w:t>
        </w:r>
      </w:hyperlink>
      <w:r w:rsidRPr="001641E7">
        <w:rPr>
          <w:sz w:val="14"/>
        </w:rPr>
        <w:t xml:space="preserve">. Since 1993, she has taught at the </w:t>
      </w:r>
      <w:hyperlink w:tooltip="University of California, Berkeley" w:history="1" r:id="rId95">
        <w:r w:rsidRPr="001641E7">
          <w:rPr>
            <w:rStyle w:val="Hyperlink"/>
            <w:sz w:val="14"/>
          </w:rPr>
          <w:t>University of California, Berkeley</w:t>
        </w:r>
      </w:hyperlink>
      <w:r w:rsidRPr="001641E7">
        <w:rPr>
          <w:sz w:val="14"/>
        </w:rPr>
        <w:t xml:space="preserve">, where she is now Maxine Elliot Professor in the Department of Comparative Literature and the Program of Critical Theory. She is also the </w:t>
      </w:r>
      <w:hyperlink w:tooltip="Hannah Arendt" w:history="1" r:id="rId96">
        <w:r w:rsidRPr="001641E7">
          <w:rPr>
            <w:rStyle w:val="Hyperlink"/>
            <w:sz w:val="14"/>
          </w:rPr>
          <w:t>Hannah Arendt</w:t>
        </w:r>
      </w:hyperlink>
      <w:r w:rsidRPr="001641E7">
        <w:rPr>
          <w:sz w:val="14"/>
        </w:rPr>
        <w:t xml:space="preserve"> Chair at the </w:t>
      </w:r>
      <w:hyperlink w:tooltip="European Graduate School" w:history="1" r:id="rId97">
        <w:r w:rsidRPr="001641E7">
          <w:rPr>
            <w:rStyle w:val="Hyperlink"/>
            <w:sz w:val="14"/>
          </w:rPr>
          <w:t>European Graduate School</w:t>
        </w:r>
      </w:hyperlink>
      <w:r w:rsidRPr="001641E7">
        <w:rPr>
          <w:sz w:val="14"/>
        </w:rPr>
        <w:t xml:space="preserve">. Sunaura "Sunny" Taylor is an </w:t>
      </w:r>
      <w:hyperlink w:tooltip="United States" w:history="1" r:id="rId98">
        <w:r w:rsidRPr="001641E7">
          <w:rPr>
            <w:rStyle w:val="Hyperlink"/>
            <w:sz w:val="14"/>
          </w:rPr>
          <w:t>American</w:t>
        </w:r>
      </w:hyperlink>
      <w:r w:rsidRPr="001641E7">
        <w:rPr>
          <w:sz w:val="14"/>
        </w:rPr>
        <w:t xml:space="preserve"> painter and activist for </w:t>
      </w:r>
      <w:hyperlink w:tooltip="Disability rights movement" w:history="1" r:id="rId99">
        <w:r w:rsidRPr="001641E7">
          <w:rPr>
            <w:rStyle w:val="Hyperlink"/>
            <w:sz w:val="14"/>
          </w:rPr>
          <w:t>disability</w:t>
        </w:r>
      </w:hyperlink>
      <w:r w:rsidRPr="001641E7">
        <w:rPr>
          <w:sz w:val="14"/>
        </w:rPr>
        <w:t xml:space="preserve"> and </w:t>
      </w:r>
      <w:hyperlink w:tooltip="Animal rights" w:history="1" r:id="rId100">
        <w:r w:rsidRPr="001641E7">
          <w:rPr>
            <w:rStyle w:val="Hyperlink"/>
            <w:sz w:val="14"/>
          </w:rPr>
          <w:t>animal rights</w:t>
        </w:r>
      </w:hyperlink>
      <w:r w:rsidRPr="001641E7">
        <w:rPr>
          <w:sz w:val="14"/>
        </w:rPr>
        <w:t xml:space="preserve">. She uses a wheelchair because of a congenital physical disability.  She currently resides in </w:t>
      </w:r>
      <w:hyperlink w:tooltip="Oakland, California" w:history="1" r:id="rId101">
        <w:r w:rsidRPr="001641E7">
          <w:rPr>
            <w:rStyle w:val="Hyperlink"/>
            <w:sz w:val="14"/>
          </w:rPr>
          <w:t>Oakland</w:t>
        </w:r>
      </w:hyperlink>
      <w:r w:rsidRPr="001641E7">
        <w:rPr>
          <w:sz w:val="14"/>
        </w:rPr>
        <w:t xml:space="preserve">, </w:t>
      </w:r>
      <w:hyperlink w:tooltip="California" w:history="1" r:id="rId102">
        <w:r w:rsidRPr="001641E7">
          <w:rPr>
            <w:rStyle w:val="Hyperlink"/>
            <w:sz w:val="14"/>
          </w:rPr>
          <w:t>California</w:t>
        </w:r>
      </w:hyperlink>
      <w:r w:rsidRPr="001641E7">
        <w:rPr>
          <w:sz w:val="14"/>
        </w:rPr>
        <w:t xml:space="preserve">, and has taught classes at the </w:t>
      </w:r>
      <w:hyperlink w:tooltip="University of California, Berkeley" w:history="1" r:id="rId103">
        <w:r w:rsidRPr="001641E7">
          <w:rPr>
            <w:rStyle w:val="Hyperlink"/>
            <w:sz w:val="14"/>
          </w:rPr>
          <w:t>University of California, Berkeley</w:t>
        </w:r>
      </w:hyperlink>
      <w:r w:rsidRPr="001641E7">
        <w:rPr>
          <w:sz w:val="14"/>
        </w:rPr>
        <w:t xml:space="preserve">.] //MMS </w:t>
      </w:r>
    </w:p>
    <w:p xmlns:wp14="http://schemas.microsoft.com/office/word/2010/wordml" w:rsidRPr="001641E7" w:rsidR="001860AB" w:rsidP="001860AB" w:rsidRDefault="001860AB" w14:paraId="6DA87449" wp14:textId="77777777">
      <w:pPr>
        <w:spacing w:after="301" w:line="308" w:lineRule="auto"/>
        <w:ind w:left="14" w:right="125" w:firstLine="9"/>
        <w:jc w:val="both"/>
        <w:rPr>
          <w:rFonts w:eastAsia="Times New Roman"/>
          <w:sz w:val="6"/>
        </w:rPr>
      </w:pPr>
      <w:r w:rsidRPr="001641E7">
        <w:rPr>
          <w:rFonts w:eastAsia="Times New Roman"/>
          <w:sz w:val="14"/>
        </w:rPr>
        <w:t>But, in fact, it seems to me that when you do things in the way that you want to or can—</w:t>
      </w:r>
      <w:r w:rsidRPr="001641E7">
        <w:rPr>
          <w:rStyle w:val="StyleUnderline"/>
        </w:rPr>
        <w:t>if you move in the way that you want to, if you needed to move on the floor or if you needed to eat something or drink something or move something with your mouth or paint with your mouth,</w:t>
      </w:r>
      <w:r w:rsidRPr="001641E7">
        <w:rPr>
          <w:rFonts w:eastAsia="Times New Roman"/>
          <w:sz w:val="14"/>
        </w:rPr>
        <w:t xml:space="preserve"> and you do paint with your mouth—</w:t>
      </w:r>
      <w:r w:rsidRPr="001641E7">
        <w:rPr>
          <w:rStyle w:val="StyleUnderline"/>
        </w:rPr>
        <w:t>then it's the form your ability takes that is stigmatized at that moment</w:t>
      </w:r>
      <w:r w:rsidRPr="001641E7">
        <w:rPr>
          <w:rFonts w:eastAsia="Times New Roman"/>
          <w:sz w:val="14"/>
        </w:rPr>
        <w:t xml:space="preserve">. It's very peculiar. </w:t>
      </w:r>
      <w:r w:rsidRPr="001641E7">
        <w:rPr>
          <w:rFonts w:eastAsia="Times New Roman"/>
          <w:sz w:val="14"/>
          <w:szCs w:val="14"/>
        </w:rPr>
        <w:t>s. TAYLOR: It is very peculiar.</w:t>
      </w:r>
      <w:r w:rsidRPr="001641E7">
        <w:rPr>
          <w:rFonts w:eastAsia="Times New Roman"/>
          <w:sz w:val="14"/>
        </w:rPr>
        <w:t xml:space="preserve"> </w:t>
      </w:r>
      <w:r w:rsidRPr="001641E7">
        <w:rPr>
          <w:rFonts w:eastAsia="Times New Roman"/>
          <w:sz w:val="14"/>
          <w:szCs w:val="14"/>
        </w:rPr>
        <w:t>BUTLER: If you're disabled, you're not supposed to be able to do those things, but your means of doing them, instead of being applauded and being understood us kind of the creative acts that they are—</w:t>
      </w:r>
      <w:r w:rsidRPr="001641E7">
        <w:rPr>
          <w:rFonts w:eastAsia="Times New Roman"/>
          <w:sz w:val="14"/>
        </w:rPr>
        <w:t xml:space="preserve"> </w:t>
      </w:r>
      <w:r w:rsidRPr="001641E7">
        <w:rPr>
          <w:rFonts w:eastAsia="Times New Roman"/>
          <w:sz w:val="14"/>
          <w:szCs w:val="14"/>
        </w:rPr>
        <w:t>s. TAYLOR: They freak people out. BUTLER: They freak people out.</w:t>
      </w:r>
      <w:r w:rsidRPr="001641E7">
        <w:rPr>
          <w:rFonts w:eastAsia="Times New Roman"/>
          <w:sz w:val="14"/>
        </w:rPr>
        <w:t xml:space="preserve"> </w:t>
      </w:r>
      <w:r w:rsidRPr="001641E7">
        <w:rPr>
          <w:rFonts w:eastAsia="Times New Roman"/>
          <w:sz w:val="14"/>
          <w:szCs w:val="14"/>
        </w:rPr>
        <w:t>s. TAYLOR: They totally freak people out. And that's why I've been thinking a lot about how</w:t>
      </w:r>
      <w:r w:rsidRPr="001641E7">
        <w:rPr>
          <w:rStyle w:val="StyleUnderline"/>
        </w:rPr>
        <w:t xml:space="preserve"> wheelchairs</w:t>
      </w:r>
      <w:r w:rsidRPr="001641E7">
        <w:rPr>
          <w:rFonts w:eastAsia="Times New Roman"/>
        </w:rPr>
        <w:t xml:space="preserve">, </w:t>
      </w:r>
      <w:r w:rsidRPr="001641E7">
        <w:rPr>
          <w:rFonts w:eastAsia="Times New Roman"/>
          <w:sz w:val="14"/>
        </w:rPr>
        <w:t xml:space="preserve">actually, </w:t>
      </w:r>
      <w:r w:rsidRPr="001641E7">
        <w:rPr>
          <w:rStyle w:val="StyleUnderline"/>
        </w:rPr>
        <w:t>as wonderful as they are, as liberating as they are, they are actually tools to keep my body in a certain acceptable space because I'm not moving. I'm not interacting with the world physically as much as I would if my body was moving naturally on the ground without a wheelchair. Without my wheelchair I would be walking, but in a very different way than you walk. I'd be scooting. Both are movements that would make people much more uncomfortable because</w:t>
      </w:r>
      <w:r w:rsidRPr="001641E7">
        <w:rPr>
          <w:rFonts w:eastAsia="Times New Roman"/>
          <w:sz w:val="14"/>
        </w:rPr>
        <w:t xml:space="preserve"> of—what would be the right word the transgressive nature or something of—</w:t>
      </w:r>
      <w:r w:rsidRPr="001641E7">
        <w:rPr>
          <w:rFonts w:eastAsia="Times New Roman"/>
          <w:sz w:val="6"/>
        </w:rPr>
        <w:t xml:space="preserve"> </w:t>
      </w:r>
      <w:r w:rsidRPr="001641E7">
        <w:rPr>
          <w:rFonts w:eastAsia="Times New Roman"/>
          <w:sz w:val="14"/>
        </w:rPr>
        <w:t>BUTLER: Your transgressive movements, yes.</w:t>
      </w:r>
      <w:r w:rsidRPr="001641E7">
        <w:rPr>
          <w:rFonts w:eastAsia="Times New Roman"/>
          <w:sz w:val="6"/>
        </w:rPr>
        <w:t xml:space="preserve"> </w:t>
      </w:r>
      <w:r w:rsidRPr="001641E7">
        <w:rPr>
          <w:rFonts w:eastAsia="Times New Roman"/>
          <w:sz w:val="14"/>
        </w:rPr>
        <w:t xml:space="preserve">s. TAYLOR: Yeah </w:t>
      </w:r>
      <w:r w:rsidRPr="001641E7">
        <w:rPr>
          <w:rStyle w:val="StyleUnderline"/>
        </w:rPr>
        <w:t>my transgressive movements would freak people out</w:t>
      </w:r>
      <w:r w:rsidRPr="001641E7">
        <w:rPr>
          <w:rFonts w:eastAsia="Times New Roman"/>
        </w:rPr>
        <w:t>.</w:t>
      </w:r>
      <w:r w:rsidRPr="001641E7">
        <w:rPr>
          <w:rFonts w:eastAsia="Times New Roman"/>
          <w:sz w:val="14"/>
        </w:rPr>
        <w:t xml:space="preserve"> BUTLER: Right, well, </w:t>
      </w:r>
      <w:r w:rsidRPr="001641E7">
        <w:rPr>
          <w:rStyle w:val="StyleUnderline"/>
        </w:rPr>
        <w:t>there's a norm of what</w:t>
      </w:r>
      <w:r w:rsidRPr="001641E7">
        <w:rPr>
          <w:rFonts w:eastAsia="Times New Roman"/>
          <w:sz w:val="14"/>
        </w:rPr>
        <w:t xml:space="preserve">—not even what the body should be like and look like, but what </w:t>
      </w:r>
      <w:r w:rsidRPr="001641E7">
        <w:rPr>
          <w:rStyle w:val="StyleUnderline"/>
        </w:rPr>
        <w:t>parts should move and what those movements should be like</w:t>
      </w:r>
      <w:r w:rsidRPr="001641E7">
        <w:rPr>
          <w:rFonts w:eastAsia="Times New Roman"/>
        </w:rPr>
        <w:t xml:space="preserve">. </w:t>
      </w:r>
      <w:r w:rsidRPr="001641E7">
        <w:rPr>
          <w:rFonts w:eastAsia="Times New Roman"/>
          <w:sz w:val="14"/>
        </w:rPr>
        <w:t xml:space="preserve">But you see, I guess I would maybe gently contest you a little bit because you're in a chair— you're moving in a chair, you are moving. And I wonder, sometimes </w:t>
      </w:r>
      <w:r w:rsidRPr="001641E7">
        <w:rPr>
          <w:rStyle w:val="StyleUnderline"/>
        </w:rPr>
        <w:t>when we say, "I move" or "I'm moving by myself," we imagine completely self-generated movement, as if the body is completely independent of an apparatus, of a machine, of even nutrition, of all kinds of things that one needs to move. So I guess I want to go back, you know, remind us that maybe that idea of the self-sufficient body, moving by itself</w:t>
      </w:r>
      <w:r w:rsidRPr="001641E7">
        <w:rPr>
          <w:rFonts w:eastAsia="Times New Roman"/>
          <w:sz w:val="14"/>
        </w:rPr>
        <w:t>—</w:t>
      </w:r>
      <w:r w:rsidRPr="001641E7">
        <w:rPr>
          <w:rFonts w:eastAsia="Times New Roman"/>
          <w:sz w:val="6"/>
        </w:rPr>
        <w:t xml:space="preserve"> </w:t>
      </w:r>
      <w:r w:rsidRPr="001641E7">
        <w:rPr>
          <w:rFonts w:eastAsia="Times New Roman"/>
          <w:sz w:val="14"/>
        </w:rPr>
        <w:t xml:space="preserve">s. TAYLOR: </w:t>
      </w:r>
      <w:r w:rsidRPr="001641E7">
        <w:rPr>
          <w:rStyle w:val="StyleUnderline"/>
        </w:rPr>
        <w:t>Doesn't exist</w:t>
      </w:r>
      <w:r w:rsidRPr="001641E7">
        <w:rPr>
          <w:rFonts w:eastAsia="Times New Roman"/>
        </w:rPr>
        <w:t>.</w:t>
      </w:r>
      <w:r w:rsidRPr="001641E7">
        <w:rPr>
          <w:rFonts w:eastAsia="Times New Roman"/>
          <w:sz w:val="14"/>
        </w:rPr>
        <w:t xml:space="preserve"> BUTLER: I don't think</w:t>
      </w:r>
      <w:r w:rsidRPr="001641E7">
        <w:rPr>
          <w:noProof/>
          <w:sz w:val="14"/>
        </w:rPr>
        <w:t xml:space="preserve"> so!</w:t>
      </w:r>
      <w:r w:rsidRPr="001641E7">
        <w:rPr>
          <w:rFonts w:eastAsia="Times New Roman"/>
          <w:sz w:val="6"/>
        </w:rPr>
        <w:t xml:space="preserve"> </w:t>
      </w:r>
      <w:r w:rsidRPr="001641E7">
        <w:rPr>
          <w:rFonts w:eastAsia="Times New Roman"/>
          <w:sz w:val="14"/>
        </w:rPr>
        <w:t xml:space="preserve">s. TAYLOR: Yeah. But I do think, just </w:t>
      </w:r>
      <w:r w:rsidRPr="001641E7">
        <w:rPr>
          <w:rStyle w:val="StyleUnderline"/>
        </w:rPr>
        <w:t>in terms of wheelchairs, they are a signifier of what disabled people are supposed to be. They're supposed to be helpless. And we're not supposed to be able to do things. Because if we get out in the world, then the world will have to change to some extent. So I think it's easier for society to have us be helpless, to</w:t>
      </w:r>
      <w:r w:rsidRPr="001641E7">
        <w:rPr>
          <w:rFonts w:eastAsia="Times New Roman"/>
          <w:sz w:val="14"/>
        </w:rPr>
        <w:t xml:space="preserve">, you know, </w:t>
      </w:r>
      <w:r w:rsidRPr="001641E7">
        <w:rPr>
          <w:rStyle w:val="StyleUnderline"/>
        </w:rPr>
        <w:t>stick us in nursing homes.</w:t>
      </w:r>
      <w:r w:rsidRPr="001641E7">
        <w:rPr>
          <w:rFonts w:eastAsia="Times New Roman"/>
          <w:sz w:val="14"/>
        </w:rPr>
        <w:t xml:space="preserve"> [As we turn down an alley we notice a lone sneaker.</w:t>
      </w:r>
      <w:r w:rsidRPr="001641E7">
        <w:rPr>
          <w:noProof/>
          <w:sz w:val="14"/>
        </w:rPr>
        <w:drawing>
          <wp:inline xmlns:wp14="http://schemas.microsoft.com/office/word/2010/wordprocessingDrawing" distT="0" distB="0" distL="0" distR="0" wp14:anchorId="77C427A2" wp14:editId="3B316C6F">
            <wp:extent cx="24399" cy="115824"/>
            <wp:effectExtent l="0" t="0" r="0" b="0"/>
            <wp:docPr id="52046" name="Picture 52046"/>
            <wp:cNvGraphicFramePr/>
            <a:graphic xmlns:a="http://schemas.openxmlformats.org/drawingml/2006/main">
              <a:graphicData uri="http://schemas.openxmlformats.org/drawingml/2006/picture">
                <pic:pic xmlns:pic="http://schemas.openxmlformats.org/drawingml/2006/picture">
                  <pic:nvPicPr>
                    <pic:cNvPr id="52046" name="Picture 52046"/>
                    <pic:cNvPicPr/>
                  </pic:nvPicPr>
                  <pic:blipFill>
                    <a:blip r:embed="rId104"/>
                    <a:stretch>
                      <a:fillRect/>
                    </a:stretch>
                  </pic:blipFill>
                  <pic:spPr>
                    <a:xfrm>
                      <a:off x="0" y="0"/>
                      <a:ext cx="24399" cy="115824"/>
                    </a:xfrm>
                    <a:prstGeom prst="rect">
                      <a:avLst/>
                    </a:prstGeom>
                  </pic:spPr>
                </pic:pic>
              </a:graphicData>
            </a:graphic>
          </wp:inline>
        </w:drawing>
      </w:r>
      <w:r w:rsidRPr="001641E7">
        <w:rPr>
          <w:rFonts w:eastAsia="Times New Roman"/>
          <w:sz w:val="6"/>
        </w:rPr>
        <w:t xml:space="preserve"> </w:t>
      </w:r>
      <w:r w:rsidRPr="001641E7">
        <w:rPr>
          <w:rFonts w:eastAsia="Times New Roman"/>
          <w:sz w:val="14"/>
        </w:rPr>
        <w:t xml:space="preserve">BUTLER: Someone's missing their shoe. s. TAYLOR: I wonder if they can walk without it. BUTLER: I wonder! I think that as I'm listening to you I'm hearing several things at once. That, on the one hand, </w:t>
      </w:r>
      <w:r w:rsidRPr="001641E7">
        <w:rPr>
          <w:rStyle w:val="StyleUnderline"/>
        </w:rPr>
        <w:t>there's a social expectation that if you have an impairment, you should remain helpless. There is also anxiety and stigma that many able-bodied people have in relation to that helplessness; they get freaked out by it. They don't know what to do about it. So they require you to be helpless, but they're also freaked out about your helplessness.</w:t>
      </w:r>
      <w:r w:rsidRPr="001641E7">
        <w:rPr>
          <w:rFonts w:eastAsia="Times New Roman"/>
          <w:sz w:val="14"/>
        </w:rPr>
        <w:t xml:space="preserve"> s. TAYLOR: </w:t>
      </w:r>
      <w:r w:rsidRPr="001641E7">
        <w:rPr>
          <w:rStyle w:val="StyleUnderline"/>
        </w:rPr>
        <w:t>They also like it sometimes</w:t>
      </w:r>
      <w:r w:rsidRPr="001641E7">
        <w:rPr>
          <w:rFonts w:eastAsia="Times New Roman"/>
          <w:sz w:val="14"/>
          <w:u w:val="single"/>
        </w:rPr>
        <w:t>.</w:t>
      </w:r>
      <w:r w:rsidRPr="001641E7">
        <w:rPr>
          <w:rFonts w:eastAsia="Times New Roman"/>
          <w:sz w:val="6"/>
        </w:rPr>
        <w:t xml:space="preserve"> </w:t>
      </w:r>
      <w:r w:rsidRPr="001641E7">
        <w:rPr>
          <w:rFonts w:eastAsia="Times New Roman"/>
          <w:sz w:val="14"/>
        </w:rPr>
        <w:t xml:space="preserve">BUTLER: They also like it; </w:t>
      </w:r>
      <w:r w:rsidRPr="001641E7">
        <w:rPr>
          <w:rStyle w:val="StyleUnderline"/>
        </w:rPr>
        <w:t>it makes them feel virtuous</w:t>
      </w:r>
      <w:r w:rsidRPr="001641E7">
        <w:rPr>
          <w:rFonts w:eastAsia="Times New Roman"/>
        </w:rPr>
        <w:t xml:space="preserve">. </w:t>
      </w:r>
      <w:r w:rsidRPr="001641E7">
        <w:rPr>
          <w:rFonts w:eastAsia="Times New Roman"/>
          <w:sz w:val="14"/>
        </w:rPr>
        <w:t>I'm sure there's lots of virtue-tripping.</w:t>
      </w:r>
      <w:r w:rsidRPr="001641E7">
        <w:rPr>
          <w:rFonts w:eastAsia="Times New Roman"/>
          <w:sz w:val="6"/>
        </w:rPr>
        <w:t xml:space="preserve"> </w:t>
      </w:r>
      <w:r w:rsidRPr="001641E7">
        <w:rPr>
          <w:rFonts w:eastAsia="Times New Roman"/>
          <w:sz w:val="14"/>
        </w:rPr>
        <w:t>s. TAYLOR: Lots of virtue-tripping. Lots and lots of pity. BUTLER: Lots of pity and virtue-tripping. Just what we need. But the other thing I hear you saying is that when you can do things, and you do them in your own way, that that's also stigmatized, right? So the</w:t>
      </w:r>
      <w:r w:rsidRPr="001641E7">
        <w:rPr>
          <w:sz w:val="14"/>
        </w:rPr>
        <w:t xml:space="preserve"> </w:t>
      </w:r>
      <w:r w:rsidRPr="001641E7">
        <w:rPr>
          <w:rFonts w:eastAsia="Times New Roman"/>
          <w:sz w:val="14"/>
        </w:rPr>
        <w:t>use of your mouth, the use of</w:t>
      </w:r>
      <w:r w:rsidRPr="001641E7">
        <w:rPr>
          <w:sz w:val="14"/>
        </w:rPr>
        <w:t xml:space="preserve"> </w:t>
      </w:r>
      <w:r w:rsidRPr="001641E7">
        <w:rPr>
          <w:rFonts w:eastAsia="Times New Roman"/>
          <w:sz w:val="14"/>
        </w:rPr>
        <w:t xml:space="preserve">your body in ways that are not conventional, </w:t>
      </w:r>
      <w:r w:rsidRPr="001641E7">
        <w:rPr>
          <w:rFonts w:eastAsia="Times New Roman"/>
          <w:sz w:val="14"/>
        </w:rPr>
        <w:lastRenderedPageBreak/>
        <w:t xml:space="preserve">freak people out, which suggests that </w:t>
      </w:r>
      <w:r w:rsidRPr="001641E7">
        <w:rPr>
          <w:rStyle w:val="StyleUnderline"/>
        </w:rPr>
        <w:t>they would rather you not be able to do things than to do things in ways that challenge their idea of what human body parts, how human beings, move; what they look like when they move, what bodies are supposed to be like, how they’re supposed to appear in social space</w:t>
      </w:r>
      <w:r w:rsidRPr="001641E7">
        <w:rPr>
          <w:rFonts w:eastAsia="Times New Roman"/>
          <w:sz w:val="14"/>
          <w:u w:val="single"/>
        </w:rPr>
        <w:t>.</w:t>
      </w:r>
      <w:r w:rsidRPr="001641E7">
        <w:rPr>
          <w:rFonts w:eastAsia="Times New Roman"/>
          <w:sz w:val="6"/>
        </w:rPr>
        <w:t xml:space="preserve"> </w:t>
      </w:r>
      <w:r w:rsidRPr="001641E7">
        <w:rPr>
          <w:rFonts w:eastAsia="Times New Roman"/>
          <w:sz w:val="14"/>
        </w:rPr>
        <w:t xml:space="preserve">s. TAYLOR: I think </w:t>
      </w:r>
      <w:r w:rsidRPr="001641E7">
        <w:rPr>
          <w:rStyle w:val="StyleUnderline"/>
        </w:rPr>
        <w:t>we should add to that how people smell in social space and how people sound.</w:t>
      </w:r>
      <w:r w:rsidRPr="001641E7">
        <w:rPr>
          <w:rFonts w:eastAsia="Times New Roman"/>
        </w:rPr>
        <w:t xml:space="preserve"> </w:t>
      </w:r>
      <w:r w:rsidRPr="001641E7">
        <w:rPr>
          <w:rFonts w:eastAsia="Times New Roman"/>
          <w:sz w:val="14"/>
        </w:rPr>
        <w:t xml:space="preserve">Because I think that </w:t>
      </w:r>
      <w:r w:rsidRPr="001641E7">
        <w:rPr>
          <w:rStyle w:val="StyleUnderline"/>
        </w:rPr>
        <w:t>both of those things have a lot to do with disability too, the random noises people make or random smells disabled people might emit</w:t>
      </w:r>
      <w:r w:rsidRPr="001641E7">
        <w:rPr>
          <w:rFonts w:eastAsia="Times New Roman"/>
          <w:sz w:val="14"/>
        </w:rPr>
        <w:t>. So there's many different levels of perception.</w:t>
      </w:r>
      <w:r w:rsidRPr="001641E7">
        <w:rPr>
          <w:rFonts w:eastAsia="Times New Roman"/>
          <w:sz w:val="6"/>
        </w:rPr>
        <w:t xml:space="preserve"> </w:t>
      </w:r>
      <w:r w:rsidRPr="001641E7">
        <w:rPr>
          <w:rFonts w:eastAsia="Times New Roman"/>
          <w:sz w:val="14"/>
        </w:rPr>
        <w:t>BUTLER: That's right. We've been talking about mobility, morphology; vocalization is clearly huge. So that just makes me think about what kind of norms people live with regarding what their body</w:t>
      </w:r>
      <w:r w:rsidRPr="001641E7">
        <w:rPr>
          <w:sz w:val="14"/>
        </w:rPr>
        <w:t xml:space="preserve"> </w:t>
      </w:r>
      <w:r w:rsidRPr="001641E7">
        <w:rPr>
          <w:rFonts w:eastAsia="Times New Roman"/>
          <w:sz w:val="14"/>
        </w:rPr>
        <w:t xml:space="preserve">parts are for. Like, what do you use your mouth for? What's the proper use of your mouth? And it just strikes me that </w:t>
      </w:r>
      <w:r w:rsidRPr="001641E7">
        <w:rPr>
          <w:rStyle w:val="StyleUnderline"/>
        </w:rPr>
        <w:t>there's a broader kind of morphological politics that we could talk about that would include gender, people who live with intersex conditions, disability, race</w:t>
      </w:r>
      <w:r w:rsidRPr="001641E7">
        <w:rPr>
          <w:rFonts w:eastAsia="Times New Roman"/>
        </w:rPr>
        <w:t xml:space="preserve"> </w:t>
      </w:r>
      <w:r w:rsidRPr="001641E7">
        <w:rPr>
          <w:rFonts w:eastAsia="Times New Roman"/>
          <w:sz w:val="14"/>
        </w:rPr>
        <w:t>. . .</w:t>
      </w:r>
      <w:r w:rsidRPr="001641E7">
        <w:rPr>
          <w:rFonts w:eastAsia="Times New Roman"/>
          <w:sz w:val="6"/>
        </w:rPr>
        <w:t xml:space="preserve"> </w:t>
      </w:r>
      <w:r w:rsidRPr="001641E7">
        <w:rPr>
          <w:rFonts w:eastAsia="Times New Roman"/>
          <w:sz w:val="14"/>
        </w:rPr>
        <w:t>s. TAYLOR: Even just different cultures. Yeah.</w:t>
      </w:r>
      <w:r w:rsidRPr="001641E7">
        <w:rPr>
          <w:rFonts w:eastAsia="Times New Roman"/>
          <w:sz w:val="6"/>
        </w:rPr>
        <w:t xml:space="preserve"> </w:t>
      </w:r>
      <w:r w:rsidRPr="001641E7">
        <w:rPr>
          <w:rFonts w:eastAsia="Times New Roman"/>
          <w:sz w:val="14"/>
        </w:rPr>
        <w:t xml:space="preserve">BUTLER: </w:t>
      </w:r>
      <w:r w:rsidRPr="001641E7">
        <w:rPr>
          <w:rStyle w:val="StyleUnderline"/>
        </w:rPr>
        <w:t>Racialized ways of walking, speaking, gesturing. All the ways in which we have very restrictive ideas about what body parts are for and how they should appear. So when you can use a body part to paint, since you paint with your mouth, that challenges people to think what the mouth is and what the mouth can do . . . or what painting is! What the act of painting or drawing is. All of those ideas have to be rethought</w:t>
      </w:r>
      <w:r w:rsidRPr="001641E7">
        <w:rPr>
          <w:rFonts w:eastAsia="Times New Roman"/>
        </w:rPr>
        <w:t xml:space="preserve">, </w:t>
      </w:r>
      <w:r w:rsidRPr="001641E7">
        <w:rPr>
          <w:rFonts w:eastAsia="Times New Roman"/>
          <w:sz w:val="14"/>
        </w:rPr>
        <w:t xml:space="preserve">but it's amazing what the resistance is. But I think </w:t>
      </w:r>
      <w:r w:rsidRPr="001641E7">
        <w:rPr>
          <w:rStyle w:val="StyleUnderline"/>
        </w:rPr>
        <w:t>we could find similar kinds of resistances to gender and to morphological issues that merge with gender. You know, the biological females for whom a certain kind of walk is obligatory. If they don't walk in that way, their femaleness is called into question.</w:t>
      </w:r>
      <w:r w:rsidRPr="001641E7">
        <w:rPr>
          <w:rFonts w:eastAsia="Times New Roman"/>
          <w:sz w:val="6"/>
        </w:rPr>
        <w:t xml:space="preserve"> </w:t>
      </w:r>
      <w:r w:rsidRPr="001641E7">
        <w:rPr>
          <w:rFonts w:eastAsia="Times New Roman"/>
          <w:sz w:val="14"/>
        </w:rPr>
        <w:t xml:space="preserve">s. TAYLOR: Yeah. Or their able-bodiedness BUTLER: </w:t>
      </w:r>
      <w:r w:rsidRPr="001641E7">
        <w:rPr>
          <w:rStyle w:val="StyleUnderline"/>
        </w:rPr>
        <w:t>Or their able-bodiedness is called into question. And both can be called into question at the same time,</w:t>
      </w:r>
      <w:r w:rsidRPr="001641E7">
        <w:rPr>
          <w:rFonts w:eastAsia="Times New Roman"/>
        </w:rPr>
        <w:t xml:space="preserve"> </w:t>
      </w:r>
      <w:r w:rsidRPr="001641E7">
        <w:rPr>
          <w:rFonts w:eastAsia="Times New Roman"/>
          <w:sz w:val="14"/>
        </w:rPr>
        <w:t xml:space="preserve">right? I mean, if </w:t>
      </w:r>
      <w:r w:rsidRPr="001641E7">
        <w:rPr>
          <w:rStyle w:val="StyleUnderline"/>
        </w:rPr>
        <w:t>there are dimorphic ideals of what a man is like or what a woman is like, there are also able-bodied ideals</w:t>
      </w:r>
      <w:r w:rsidRPr="001641E7">
        <w:rPr>
          <w:rFonts w:eastAsia="Times New Roman"/>
        </w:rPr>
        <w:t xml:space="preserve">, </w:t>
      </w:r>
      <w:r w:rsidRPr="001641E7">
        <w:rPr>
          <w:rFonts w:eastAsia="Times New Roman"/>
          <w:sz w:val="14"/>
        </w:rPr>
        <w:t xml:space="preserve">right? So </w:t>
      </w:r>
      <w:r w:rsidRPr="001641E7">
        <w:rPr>
          <w:rStyle w:val="StyleUnderline"/>
        </w:rPr>
        <w:t>able-bodiedness is a presupposition of gender norms.</w:t>
      </w:r>
      <w:r w:rsidRPr="001641E7">
        <w:rPr>
          <w:rFonts w:eastAsia="Times New Roman"/>
          <w:sz w:val="6"/>
        </w:rPr>
        <w:t xml:space="preserve"> </w:t>
      </w:r>
      <w:r w:rsidRPr="001641E7">
        <w:rPr>
          <w:rFonts w:eastAsia="Times New Roman"/>
          <w:sz w:val="14"/>
        </w:rPr>
        <w:t xml:space="preserve">s. TAYLOR: And I think just the words "strength" and "weakness" have a lot to do with this too. </w:t>
      </w:r>
      <w:r w:rsidRPr="001641E7">
        <w:rPr>
          <w:rStyle w:val="StyleUnderline"/>
        </w:rPr>
        <w:t>The idea of being weak or of looking weak seems definitely to be associated with the idea of being feminine. So those words, "weak" and "strong," also</w:t>
      </w:r>
      <w:r w:rsidRPr="001641E7">
        <w:rPr>
          <w:rFonts w:eastAsia="Times New Roman"/>
        </w:rPr>
        <w:t xml:space="preserve"> </w:t>
      </w:r>
      <w:r w:rsidRPr="001641E7">
        <w:rPr>
          <w:rFonts w:eastAsia="Times New Roman"/>
          <w:sz w:val="14"/>
        </w:rPr>
        <w:t xml:space="preserve">sort of </w:t>
      </w:r>
      <w:r w:rsidRPr="001641E7">
        <w:rPr>
          <w:rStyle w:val="StyleUnderline"/>
        </w:rPr>
        <w:t>link gender and disability.</w:t>
      </w:r>
      <w:r w:rsidRPr="001641E7">
        <w:rPr>
          <w:rFonts w:eastAsia="Times New Roman"/>
          <w:sz w:val="6"/>
        </w:rPr>
        <w:t xml:space="preserve"> </w:t>
      </w:r>
      <w:r w:rsidRPr="001641E7">
        <w:rPr>
          <w:rFonts w:eastAsia="Times New Roman"/>
          <w:sz w:val="14"/>
        </w:rPr>
        <w:t xml:space="preserve">BUTLER: Right. So you'd say </w:t>
      </w:r>
      <w:r w:rsidRPr="001641E7">
        <w:rPr>
          <w:rStyle w:val="StyleUnderline"/>
        </w:rPr>
        <w:t>there's kind of an extrafeminization of the disabled body, if weakness is associated with feminization</w:t>
      </w:r>
      <w:r w:rsidRPr="001641E7">
        <w:rPr>
          <w:rFonts w:eastAsia="Times New Roman"/>
        </w:rPr>
        <w:t>?</w:t>
      </w:r>
      <w:r w:rsidRPr="001641E7">
        <w:rPr>
          <w:rFonts w:eastAsia="Times New Roman"/>
          <w:sz w:val="6"/>
        </w:rPr>
        <w:t xml:space="preserve"> </w:t>
      </w:r>
      <w:r w:rsidRPr="001641E7">
        <w:rPr>
          <w:rFonts w:eastAsia="Times New Roman"/>
          <w:sz w:val="14"/>
        </w:rPr>
        <w:t>s. TAYLOR: For males, definitely. There's been a lot of research and work on what it means to lose strength if you're a disabled male. But then, for a disabled female, what does it mean to not be able to walk in that way that you were just saying the ideal female should walk or women in general are supposed to walk? [The weather has suddenly become chilly. We pass by vintage clothing store, I Should we stop and get me something warm?</w:t>
      </w:r>
    </w:p>
    <w:p xmlns:wp14="http://schemas.microsoft.com/office/word/2010/wordml" w:rsidRPr="001641E7" w:rsidR="001860AB" w:rsidP="001860AB" w:rsidRDefault="001860AB" w14:paraId="4A243E27" wp14:textId="77777777">
      <w:pPr>
        <w:pStyle w:val="Heading3"/>
        <w:rPr>
          <w:rFonts w:cs="Arial"/>
        </w:rPr>
      </w:pPr>
      <w:r w:rsidRPr="001641E7">
        <w:rPr>
          <w:rFonts w:cs="Arial"/>
        </w:rPr>
        <w:lastRenderedPageBreak/>
        <w:t>S: Everyday Violence</w:t>
      </w:r>
    </w:p>
    <w:p xmlns:wp14="http://schemas.microsoft.com/office/word/2010/wordml" w:rsidRPr="001641E7" w:rsidR="001860AB" w:rsidP="001860AB" w:rsidRDefault="001860AB" w14:paraId="4ACB3586" wp14:textId="77777777">
      <w:pPr>
        <w:pStyle w:val="Heading4"/>
        <w:rPr>
          <w:rFonts w:eastAsia="Times New Roman" w:cs="Arial"/>
        </w:rPr>
      </w:pPr>
      <w:r w:rsidRPr="001641E7">
        <w:rPr>
          <w:rFonts w:eastAsia="Times New Roman" w:cs="Arial"/>
        </w:rPr>
        <w:t>Discipline of the body must be challenged in the everyday</w:t>
      </w:r>
    </w:p>
    <w:p xmlns:wp14="http://schemas.microsoft.com/office/word/2010/wordml" w:rsidRPr="00440DDD" w:rsidR="001860AB" w:rsidP="001860AB" w:rsidRDefault="001860AB" w14:paraId="0C8F91DE" wp14:textId="77777777">
      <w:pPr>
        <w:rPr>
          <w:sz w:val="14"/>
        </w:rPr>
      </w:pPr>
      <w:r w:rsidRPr="001641E7">
        <w:rPr>
          <w:rStyle w:val="Style13ptBold"/>
        </w:rPr>
        <w:t>Butler, Taylor, Taylor 2010</w:t>
      </w:r>
      <w:r w:rsidRPr="00440DDD">
        <w:rPr>
          <w:sz w:val="14"/>
        </w:rPr>
        <w:t xml:space="preserve"> [Butler, Judith, et al. “Interdependance.” Examined Life, 2010. Judith Butler is an American philosopher and </w:t>
      </w:r>
      <w:hyperlink w:tooltip="Gender studies" w:history="1" r:id="rId105">
        <w:r w:rsidRPr="00440DDD">
          <w:rPr>
            <w:rStyle w:val="Hyperlink"/>
            <w:sz w:val="14"/>
          </w:rPr>
          <w:t>gender theorist</w:t>
        </w:r>
      </w:hyperlink>
      <w:r w:rsidRPr="00440DDD">
        <w:rPr>
          <w:sz w:val="14"/>
        </w:rPr>
        <w:t xml:space="preserve"> whose work has influenced </w:t>
      </w:r>
      <w:hyperlink w:tooltip="Political philosophy" w:history="1" r:id="rId106">
        <w:r w:rsidRPr="00440DDD">
          <w:rPr>
            <w:rStyle w:val="Hyperlink"/>
            <w:sz w:val="14"/>
          </w:rPr>
          <w:t>political philosophy</w:t>
        </w:r>
      </w:hyperlink>
      <w:r w:rsidRPr="00440DDD">
        <w:rPr>
          <w:sz w:val="14"/>
        </w:rPr>
        <w:t xml:space="preserve">, </w:t>
      </w:r>
      <w:hyperlink w:tooltip="Ethics" w:history="1" r:id="rId107">
        <w:r w:rsidRPr="00440DDD">
          <w:rPr>
            <w:rStyle w:val="Hyperlink"/>
            <w:sz w:val="14"/>
          </w:rPr>
          <w:t>ethics</w:t>
        </w:r>
      </w:hyperlink>
      <w:r w:rsidRPr="00440DDD">
        <w:rPr>
          <w:sz w:val="14"/>
        </w:rPr>
        <w:t xml:space="preserve"> and the fields of </w:t>
      </w:r>
      <w:hyperlink w:tooltip="Third-wave feminism" w:history="1" r:id="rId108">
        <w:r w:rsidRPr="00440DDD">
          <w:rPr>
            <w:rStyle w:val="Hyperlink"/>
            <w:sz w:val="14"/>
          </w:rPr>
          <w:t>third-wave feminist</w:t>
        </w:r>
      </w:hyperlink>
      <w:r w:rsidRPr="00440DDD">
        <w:rPr>
          <w:sz w:val="14"/>
        </w:rPr>
        <w:t xml:space="preserve">, </w:t>
      </w:r>
      <w:hyperlink w:tooltip="Queer theory" w:history="1" r:id="rId109">
        <w:r w:rsidRPr="00440DDD">
          <w:rPr>
            <w:rStyle w:val="Hyperlink"/>
            <w:sz w:val="14"/>
          </w:rPr>
          <w:t>queer</w:t>
        </w:r>
      </w:hyperlink>
      <w:r w:rsidRPr="00440DDD">
        <w:rPr>
          <w:sz w:val="14"/>
        </w:rPr>
        <w:t xml:space="preserve"> and </w:t>
      </w:r>
      <w:hyperlink w:tooltip="Literary theory" w:history="1" r:id="rId110">
        <w:r w:rsidRPr="00440DDD">
          <w:rPr>
            <w:rStyle w:val="Hyperlink"/>
            <w:sz w:val="14"/>
          </w:rPr>
          <w:t>literary theory</w:t>
        </w:r>
      </w:hyperlink>
      <w:r w:rsidRPr="00440DDD">
        <w:rPr>
          <w:sz w:val="14"/>
        </w:rPr>
        <w:t xml:space="preserve">. Since 1993, she has taught at the </w:t>
      </w:r>
      <w:hyperlink w:tooltip="University of California, Berkeley" w:history="1" r:id="rId111">
        <w:r w:rsidRPr="00440DDD">
          <w:rPr>
            <w:rStyle w:val="Hyperlink"/>
            <w:sz w:val="14"/>
          </w:rPr>
          <w:t>University of California, Berkeley</w:t>
        </w:r>
      </w:hyperlink>
      <w:r w:rsidRPr="00440DDD">
        <w:rPr>
          <w:sz w:val="14"/>
        </w:rPr>
        <w:t xml:space="preserve">, where she is now Maxine Elliot Professor in the Department of Comparative Literature and the Program of Critical Theory. She is also the </w:t>
      </w:r>
      <w:hyperlink w:tooltip="Hannah Arendt" w:history="1" r:id="rId112">
        <w:r w:rsidRPr="00440DDD">
          <w:rPr>
            <w:rStyle w:val="Hyperlink"/>
            <w:sz w:val="14"/>
          </w:rPr>
          <w:t>Hannah Arendt</w:t>
        </w:r>
      </w:hyperlink>
      <w:r w:rsidRPr="00440DDD">
        <w:rPr>
          <w:sz w:val="14"/>
        </w:rPr>
        <w:t xml:space="preserve"> Chair at the </w:t>
      </w:r>
      <w:hyperlink w:tooltip="European Graduate School" w:history="1" r:id="rId113">
        <w:r w:rsidRPr="00440DDD">
          <w:rPr>
            <w:rStyle w:val="Hyperlink"/>
            <w:sz w:val="14"/>
          </w:rPr>
          <w:t>European Graduate School</w:t>
        </w:r>
      </w:hyperlink>
      <w:r w:rsidRPr="00440DDD">
        <w:rPr>
          <w:sz w:val="14"/>
        </w:rPr>
        <w:t xml:space="preserve">. Sunaura "Sunny" Taylor is an </w:t>
      </w:r>
      <w:hyperlink w:tooltip="United States" w:history="1" r:id="rId114">
        <w:r w:rsidRPr="00440DDD">
          <w:rPr>
            <w:rStyle w:val="Hyperlink"/>
            <w:sz w:val="14"/>
          </w:rPr>
          <w:t>American</w:t>
        </w:r>
      </w:hyperlink>
      <w:r w:rsidRPr="00440DDD">
        <w:rPr>
          <w:sz w:val="14"/>
        </w:rPr>
        <w:t xml:space="preserve"> painter and activist for </w:t>
      </w:r>
      <w:hyperlink w:tooltip="Disability rights movement" w:history="1" r:id="rId115">
        <w:r w:rsidRPr="00440DDD">
          <w:rPr>
            <w:rStyle w:val="Hyperlink"/>
            <w:sz w:val="14"/>
          </w:rPr>
          <w:t>disability</w:t>
        </w:r>
      </w:hyperlink>
      <w:r w:rsidRPr="00440DDD">
        <w:rPr>
          <w:sz w:val="14"/>
        </w:rPr>
        <w:t xml:space="preserve"> and </w:t>
      </w:r>
      <w:hyperlink w:tooltip="Animal rights" w:history="1" r:id="rId116">
        <w:r w:rsidRPr="00440DDD">
          <w:rPr>
            <w:rStyle w:val="Hyperlink"/>
            <w:sz w:val="14"/>
          </w:rPr>
          <w:t>animal rights</w:t>
        </w:r>
      </w:hyperlink>
      <w:r w:rsidRPr="00440DDD">
        <w:rPr>
          <w:sz w:val="14"/>
        </w:rPr>
        <w:t xml:space="preserve">. She uses a wheelchair because of a congenital physical disability.  She currently resides in </w:t>
      </w:r>
      <w:hyperlink w:tooltip="Oakland, California" w:history="1" r:id="rId117">
        <w:r w:rsidRPr="00440DDD">
          <w:rPr>
            <w:rStyle w:val="Hyperlink"/>
            <w:sz w:val="14"/>
          </w:rPr>
          <w:t>Oakland</w:t>
        </w:r>
      </w:hyperlink>
      <w:r w:rsidRPr="00440DDD">
        <w:rPr>
          <w:sz w:val="14"/>
        </w:rPr>
        <w:t xml:space="preserve">, </w:t>
      </w:r>
      <w:hyperlink w:tooltip="California" w:history="1" r:id="rId118">
        <w:r w:rsidRPr="00440DDD">
          <w:rPr>
            <w:rStyle w:val="Hyperlink"/>
            <w:sz w:val="14"/>
          </w:rPr>
          <w:t>California</w:t>
        </w:r>
      </w:hyperlink>
      <w:r w:rsidRPr="00440DDD">
        <w:rPr>
          <w:sz w:val="14"/>
        </w:rPr>
        <w:t xml:space="preserve">, and has taught classes at the </w:t>
      </w:r>
      <w:hyperlink w:tooltip="University of California, Berkeley" w:history="1" r:id="rId119">
        <w:r w:rsidRPr="00440DDD">
          <w:rPr>
            <w:rStyle w:val="Hyperlink"/>
            <w:sz w:val="14"/>
          </w:rPr>
          <w:t>University of California, Berkeley</w:t>
        </w:r>
      </w:hyperlink>
      <w:r w:rsidRPr="00440DDD">
        <w:rPr>
          <w:sz w:val="14"/>
        </w:rPr>
        <w:t xml:space="preserve">.] //MMS </w:t>
      </w:r>
    </w:p>
    <w:p xmlns:wp14="http://schemas.microsoft.com/office/word/2010/wordml" w:rsidRPr="001641E7" w:rsidR="001860AB" w:rsidP="001860AB" w:rsidRDefault="001860AB" w14:paraId="7612B223" wp14:textId="77777777">
      <w:pPr>
        <w:spacing w:after="37"/>
        <w:ind w:left="14" w:right="115"/>
        <w:rPr>
          <w:sz w:val="14"/>
        </w:rPr>
      </w:pPr>
      <w:r w:rsidRPr="001641E7">
        <w:rPr>
          <w:rFonts w:eastAsia="Times New Roman"/>
          <w:sz w:val="14"/>
        </w:rPr>
        <w:t>BUTLER: There's an essay by the philosopher Gilles Deleuze on Spinoza, speaking to the question: What can a body do? And the question is supposed to challenge the traditional ways in which we think about bodies. We usually ask what is a body or what is the ideal form of a body or what's the difference between the body and the soul and that kind of thing. But what can a body do is a different question. . . It isolates a set of capacities and a set of instrumentalities or actions, and we are assemblages of those things. And I liked this idea becaus</w:t>
      </w:r>
      <w:r w:rsidRPr="001641E7">
        <w:rPr>
          <w:sz w:val="14"/>
        </w:rPr>
        <w:t xml:space="preserve">e </w:t>
      </w:r>
      <w:r w:rsidRPr="001641E7">
        <w:rPr>
          <w:rFonts w:eastAsia="Times New Roman"/>
          <w:sz w:val="14"/>
        </w:rPr>
        <w:t>it's not like there's an essence and there's an ideal form, but there are just different kinds of assemblages.</w:t>
      </w:r>
      <w:r w:rsidRPr="001641E7">
        <w:rPr>
          <w:sz w:val="14"/>
        </w:rPr>
        <w:t xml:space="preserve"> </w:t>
      </w:r>
      <w:r w:rsidRPr="001641E7">
        <w:rPr>
          <w:rFonts w:eastAsia="Times New Roman"/>
          <w:sz w:val="14"/>
        </w:rPr>
        <w:t>s. TAYLOR: So by assemblages do you mean ways in which we put together the use of our bodies?</w:t>
      </w:r>
      <w:r w:rsidRPr="001641E7">
        <w:rPr>
          <w:sz w:val="14"/>
        </w:rPr>
        <w:t xml:space="preserve"> </w:t>
      </w:r>
      <w:r w:rsidRPr="001641E7">
        <w:rPr>
          <w:rFonts w:eastAsia="Times New Roman"/>
          <w:sz w:val="14"/>
        </w:rPr>
        <w:t xml:space="preserve">BUTLER: Our capacities, our instrumentalities, also what we feel, what we respond to, zones of passivity, interdependency, and action. All those come together in some way or another. But what I mean I'm not really Deleuzean and I don't even know if I'm a Spinozist, maybe I am a little bit—but it seems to me that it goes against certain ideas of ideal morphology and what a body should look like. It's exactly not that question. Or what a body should move like. And one of the things that I found </w:t>
      </w:r>
      <w:r w:rsidRPr="001641E7">
        <w:rPr>
          <w:rStyle w:val="StyleUnderline"/>
        </w:rPr>
        <w:t>in thinking about gender and even violence against sexual minorities or gender minorities</w:t>
      </w:r>
      <w:r w:rsidRPr="001641E7">
        <w:rPr>
          <w:rFonts w:eastAsia="Times New Roman"/>
          <w:sz w:val="14"/>
        </w:rPr>
        <w:t>—people whose gender presentation doesn't conform with standard ideals of masculinity and femininity—is that</w:t>
      </w:r>
      <w:r w:rsidRPr="001641E7">
        <w:rPr>
          <w:rFonts w:eastAsia="Times New Roman"/>
        </w:rPr>
        <w:t xml:space="preserve"> </w:t>
      </w:r>
      <w:r w:rsidRPr="001641E7">
        <w:rPr>
          <w:rStyle w:val="StyleUnderline"/>
        </w:rPr>
        <w:t>very often it comes down to how people walk, how they use their hips, what they do with their body parts, what they use their mouth for, what they use their anus for or what they allow their anus to be used for, how they handle being in a relationship to other people's orifices, which orifices you can enter and how and which you cannot, which orifices can be used for certain actions, which cannot</w:t>
      </w:r>
      <w:r w:rsidRPr="001641E7">
        <w:rPr>
          <w:rFonts w:eastAsia="Times New Roman"/>
          <w:sz w:val="14"/>
        </w:rPr>
        <w:t>, right? All those things are very highly regulated. So I remember at the beginning of the queer movement, there were straight men who thought, well, if they enjoyed anal intercourse, no matter what the gender was of the person who was penetrating them, they were made gay by the act. Why are you "made gay" by the act? Why should that have to be just gay? But people got confused about acts and orifices and body surfaces and what they could be used for and if you used them one way or another, then your identity was called into question. So people, I think had to work against certain stigmas that body parts could only be used for certain purposes and that's how gender got constituted. So I'm interested in this. I think</w:t>
      </w:r>
      <w:r w:rsidRPr="001641E7">
        <w:rPr>
          <w:sz w:val="14"/>
        </w:rPr>
        <w:t xml:space="preserve"> </w:t>
      </w:r>
      <w:r w:rsidRPr="001641E7">
        <w:rPr>
          <w:rStyle w:val="StyleUnderline"/>
        </w:rPr>
        <w:t xml:space="preserve">gender and disability converge in a whole lot of different ways. And one thing I think both movements do is get us to rethink what the body can do—what are its abilities and what are its actions and what are its modes of receptivity—and free up our understanding of how we can make use of what we have and for what purposes. But it does mean challenging certain very entrenched ideas of how those things are supposed to line up. </w:t>
      </w:r>
      <w:r w:rsidRPr="001641E7">
        <w:rPr>
          <w:rFonts w:eastAsia="Times New Roman"/>
          <w:sz w:val="14"/>
        </w:rPr>
        <w:t xml:space="preserve">s. TAYLOR: </w:t>
      </w:r>
      <w:r w:rsidRPr="001641E7">
        <w:rPr>
          <w:rStyle w:val="StyleUnderline"/>
        </w:rPr>
        <w:t>I've always seen the body as a creative tool and that we're sort of taught how to use this tool in certain ways. And I think that's probably, really, one of the benefits of being disabled or of being born into a situation where you have to realize this creative capacity. Or else you won't be able to do anything</w:t>
      </w:r>
      <w:r w:rsidRPr="001641E7">
        <w:rPr>
          <w:rFonts w:eastAsia="Times New Roman"/>
          <w:sz w:val="14"/>
        </w:rPr>
        <w:t xml:space="preserve">, you know? </w:t>
      </w:r>
      <w:r w:rsidRPr="001641E7">
        <w:rPr>
          <w:rStyle w:val="StyleUnderline"/>
        </w:rPr>
        <w:t xml:space="preserve">Just to think about mouths, my mouth is put in all sorts of places—because I can't use my hands—that are just totally socially unacceptable. I put my mouth on doorknobs, which I know people think is highly disgusting! Or I put my mouth on pens. I'm constantly putting things in my mouth. </w:t>
      </w:r>
      <w:r w:rsidRPr="001641E7">
        <w:rPr>
          <w:rFonts w:eastAsia="Times New Roman"/>
          <w:sz w:val="14"/>
        </w:rPr>
        <w:t>A. TAYLOR: I want to interrupt you and see if Judith could talk about that young man who was killed because of his feminine walk. It seems related to what you were both just talking about.</w:t>
      </w:r>
      <w:r w:rsidRPr="001641E7">
        <w:rPr>
          <w:sz w:val="14"/>
        </w:rPr>
        <w:t xml:space="preserve"> </w:t>
      </w:r>
      <w:r w:rsidRPr="001641E7">
        <w:rPr>
          <w:rFonts w:eastAsia="Times New Roman"/>
          <w:sz w:val="14"/>
        </w:rPr>
        <w:t xml:space="preserve">BUTLER: </w:t>
      </w:r>
      <w:r w:rsidRPr="001641E7">
        <w:rPr>
          <w:sz w:val="14"/>
        </w:rPr>
        <w:t>I</w:t>
      </w:r>
      <w:r w:rsidRPr="001641E7">
        <w:rPr>
          <w:rFonts w:eastAsia="Times New Roman"/>
          <w:sz w:val="14"/>
        </w:rPr>
        <w:t xml:space="preserve"> tell this story, when I'm trying to explain gender violence to people, about </w:t>
      </w:r>
      <w:r w:rsidRPr="001641E7">
        <w:rPr>
          <w:rStyle w:val="StyleUnderline"/>
        </w:rPr>
        <w:t>a guy in Maine who</w:t>
      </w:r>
      <w:r w:rsidRPr="001641E7">
        <w:rPr>
          <w:rFonts w:eastAsia="Times New Roman"/>
          <w:sz w:val="14"/>
        </w:rPr>
        <w:t xml:space="preserve">, I guess he was around eighteen years old, and he </w:t>
      </w:r>
      <w:r w:rsidRPr="001641E7">
        <w:rPr>
          <w:rStyle w:val="StyleUnderline"/>
        </w:rPr>
        <w:t>walked with a very distinct swish, hips going one way or another, a very feminine walk</w:t>
      </w:r>
      <w:r w:rsidRPr="001641E7">
        <w:rPr>
          <w:rFonts w:eastAsia="Times New Roman"/>
        </w:rPr>
        <w:t xml:space="preserve"> </w:t>
      </w:r>
      <w:r w:rsidRPr="001641E7">
        <w:rPr>
          <w:rFonts w:eastAsia="Times New Roman"/>
          <w:sz w:val="14"/>
        </w:rPr>
        <w:t xml:space="preserve">a conventionally feminine walk—I would say not even conventionally feminine, I would say </w:t>
      </w:r>
      <w:r w:rsidRPr="001641E7">
        <w:rPr>
          <w:rStyle w:val="StyleUnderline"/>
        </w:rPr>
        <w:t>hyperbolically feminine. And he was teased by his classmates on the way to school and he got used to it and he just walked</w:t>
      </w:r>
      <w:r w:rsidRPr="001641E7">
        <w:rPr>
          <w:rFonts w:eastAsia="Times New Roman"/>
        </w:rPr>
        <w:t xml:space="preserve">, </w:t>
      </w:r>
      <w:r w:rsidRPr="001641E7">
        <w:rPr>
          <w:rFonts w:eastAsia="Times New Roman"/>
          <w:sz w:val="14"/>
        </w:rPr>
        <w:t xml:space="preserve">and I think </w:t>
      </w:r>
      <w:r w:rsidRPr="001641E7">
        <w:rPr>
          <w:rStyle w:val="StyleUnderline"/>
        </w:rPr>
        <w:t>he even walked a little more outrageously the more he was teased</w:t>
      </w:r>
      <w:r w:rsidRPr="001641E7">
        <w:rPr>
          <w:rFonts w:eastAsia="Times New Roman"/>
        </w:rPr>
        <w:t xml:space="preserve">. </w:t>
      </w:r>
      <w:r w:rsidRPr="001641E7">
        <w:rPr>
          <w:rFonts w:eastAsia="Times New Roman"/>
          <w:sz w:val="14"/>
        </w:rPr>
        <w:t xml:space="preserve">Maybe there was a little bit of a "fuck you" in the walk. But one day he </w:t>
      </w:r>
      <w:r w:rsidRPr="001641E7">
        <w:rPr>
          <w:sz w:val="14"/>
        </w:rPr>
        <w:t>w</w:t>
      </w:r>
      <w:r w:rsidRPr="001641E7">
        <w:rPr>
          <w:rFonts w:eastAsia="Times New Roman"/>
          <w:sz w:val="14"/>
        </w:rPr>
        <w:t xml:space="preserve">as walking to school and </w:t>
      </w:r>
      <w:r w:rsidRPr="001641E7">
        <w:rPr>
          <w:rStyle w:val="StyleUnderline"/>
        </w:rPr>
        <w:t>he was attacked by three of his classmates and he was thrown over a bridge and he was killed. And the question that community had to deal with</w:t>
      </w:r>
      <w:r w:rsidRPr="001641E7">
        <w:rPr>
          <w:rFonts w:eastAsia="Times New Roman"/>
          <w:sz w:val="14"/>
        </w:rPr>
        <w:t>—and, indeed, the entire media that covered this event—</w:t>
      </w:r>
      <w:r w:rsidRPr="001641E7">
        <w:rPr>
          <w:rStyle w:val="StyleUnderline"/>
        </w:rPr>
        <w:t>was how could it have been that somebody's gait, that somebody's style of walking, could engender the desire to kill that person</w:t>
      </w:r>
      <w:r w:rsidRPr="001641E7">
        <w:rPr>
          <w:rFonts w:eastAsia="Times New Roman"/>
          <w:sz w:val="14"/>
        </w:rPr>
        <w:t xml:space="preserve">? I mean, what is it that's so threatening in that social space? And I think, </w:t>
      </w:r>
      <w:r w:rsidRPr="001641E7">
        <w:rPr>
          <w:rStyle w:val="StyleUnderline"/>
        </w:rPr>
        <w:t xml:space="preserve">if that young man could show that gender was that </w:t>
      </w:r>
      <w:r w:rsidRPr="001641E7">
        <w:rPr>
          <w:rStyle w:val="StyleUnderline"/>
        </w:rPr>
        <w:lastRenderedPageBreak/>
        <w:t>variable or if he could cross over to another gender so effectively, it really raised the question for everybody else—and especially for those that attacked him—of whether their own genders were also perhaps not quite as stable or quite as fixed as they thought</w:t>
      </w:r>
      <w:r w:rsidRPr="001641E7">
        <w:rPr>
          <w:rFonts w:eastAsia="Times New Roman"/>
        </w:rPr>
        <w:t xml:space="preserve">. </w:t>
      </w:r>
      <w:r w:rsidRPr="001641E7">
        <w:rPr>
          <w:rFonts w:eastAsia="Times New Roman"/>
          <w:sz w:val="14"/>
        </w:rPr>
        <w:t xml:space="preserve">And I think </w:t>
      </w:r>
      <w:r w:rsidRPr="001641E7">
        <w:rPr>
          <w:rStyle w:val="StyleUnderline"/>
        </w:rPr>
        <w:t>it also evoked sexual panic</w:t>
      </w:r>
      <w:r w:rsidRPr="001641E7">
        <w:rPr>
          <w:rFonts w:eastAsia="Times New Roman"/>
        </w:rPr>
        <w:t xml:space="preserve"> </w:t>
      </w:r>
      <w:r w:rsidRPr="001641E7">
        <w:rPr>
          <w:rFonts w:eastAsia="Times New Roman"/>
          <w:sz w:val="14"/>
        </w:rPr>
        <w:t>because, if</w:t>
      </w:r>
      <w:r w:rsidRPr="001641E7">
        <w:rPr>
          <w:sz w:val="14"/>
        </w:rPr>
        <w:t xml:space="preserve"> </w:t>
      </w:r>
      <w:r w:rsidRPr="001641E7">
        <w:rPr>
          <w:rFonts w:eastAsia="Times New Roman"/>
          <w:sz w:val="14"/>
        </w:rPr>
        <w:t xml:space="preserve">he's a girl, if he's girling himself on the street, then, those boys in relationship to him, are they in a heterosexual encounter? Is this an encounter with a girl? And does that make them homosexual? Does that make them heterosexual? think the panic around all those issues </w:t>
      </w:r>
      <w:r w:rsidRPr="001641E7">
        <w:rPr>
          <w:rStyle w:val="StyleUnderline"/>
        </w:rPr>
        <w:t>led to a desire to obliterate this person from the face of the earth because they could not handle the challenge</w:t>
      </w:r>
      <w:r w:rsidRPr="001641E7">
        <w:rPr>
          <w:rFonts w:eastAsia="Times New Roman"/>
          <w:sz w:val="14"/>
        </w:rPr>
        <w:t>. And that makes me think about the walk in a different way. I mean, a walk can be a dangerous thing. If you go for a walk, you're also vulnerable socially. There's no question about that. You assert your rights of mobility and you take a certain risk in public space.</w:t>
      </w:r>
      <w:r w:rsidRPr="001641E7">
        <w:rPr>
          <w:sz w:val="14"/>
        </w:rPr>
        <w:t xml:space="preserve"> </w:t>
      </w:r>
      <w:r w:rsidRPr="001641E7">
        <w:rPr>
          <w:rFonts w:eastAsia="Times New Roman"/>
          <w:sz w:val="14"/>
        </w:rPr>
        <w:t xml:space="preserve">s. TAYLOR: I'm just remembering </w:t>
      </w:r>
      <w:r w:rsidRPr="001641E7">
        <w:rPr>
          <w:rStyle w:val="StyleUnderline"/>
        </w:rPr>
        <w:t>when I was little, when I did walk when would walk places, I would be told that I walked like a monkey</w:t>
      </w:r>
      <w:r w:rsidRPr="001641E7">
        <w:rPr>
          <w:rFonts w:eastAsia="Times New Roman"/>
        </w:rPr>
        <w:t xml:space="preserve">. </w:t>
      </w:r>
      <w:r w:rsidRPr="001641E7">
        <w:rPr>
          <w:rFonts w:eastAsia="Times New Roman"/>
          <w:sz w:val="14"/>
        </w:rPr>
        <w:t xml:space="preserve">And I think that for a lot of disabled people, </w:t>
      </w:r>
      <w:r w:rsidRPr="001641E7">
        <w:rPr>
          <w:rStyle w:val="StyleUnderline"/>
        </w:rPr>
        <w:t>the violence and the sort of hatred exists a lot in this reminding of people that our bodies are going to age and are going to die</w:t>
      </w:r>
      <w:r w:rsidRPr="001641E7">
        <w:rPr>
          <w:rFonts w:eastAsia="Times New Roman"/>
        </w:rPr>
        <w:t xml:space="preserve">. </w:t>
      </w:r>
      <w:r w:rsidRPr="001641E7">
        <w:rPr>
          <w:rFonts w:eastAsia="Times New Roman"/>
          <w:sz w:val="14"/>
        </w:rPr>
        <w:t>And in some ways I wonder also, just thinking about the monkey comment, that it is also—and this is just a thought off the top of my head right now—where our boundaries lie as a human and what becomes nonhuman. You know?</w:t>
      </w:r>
      <w:r w:rsidRPr="001641E7">
        <w:rPr>
          <w:sz w:val="14"/>
        </w:rPr>
        <w:t xml:space="preserve"> </w:t>
      </w:r>
      <w:r w:rsidRPr="001641E7">
        <w:rPr>
          <w:rFonts w:eastAsia="Times New Roman"/>
          <w:sz w:val="14"/>
        </w:rPr>
        <w:t>BUTLER: Well, it makes me wonder whether the person was antievolutionary? Maybe the</w:t>
      </w:r>
      <w:r w:rsidRPr="001641E7">
        <w:rPr>
          <w:sz w:val="14"/>
        </w:rPr>
        <w:t>y’</w:t>
      </w:r>
      <w:r w:rsidRPr="001641E7">
        <w:rPr>
          <w:rFonts w:eastAsia="Times New Roman"/>
          <w:sz w:val="14"/>
        </w:rPr>
        <w:t>re creationists. It's like, why shouldn't we have some resemblance to the monkey? [Laughs.</w:t>
      </w:r>
      <w:r w:rsidRPr="001641E7">
        <w:rPr>
          <w:noProof/>
          <w:sz w:val="14"/>
        </w:rPr>
        <w:t xml:space="preserve">] </w:t>
      </w:r>
      <w:r w:rsidRPr="001641E7">
        <w:rPr>
          <w:rFonts w:eastAsia="Times New Roman"/>
          <w:sz w:val="14"/>
        </w:rPr>
        <w:t>s. TAYLOR: Well, the monkey's always been my favorite animal, so, actually, quite a lot of the time I was flattered.</w:t>
      </w:r>
      <w:r w:rsidRPr="001641E7">
        <w:rPr>
          <w:sz w:val="14"/>
        </w:rPr>
        <w:t xml:space="preserve"> </w:t>
      </w:r>
      <w:r w:rsidRPr="001641E7">
        <w:rPr>
          <w:rFonts w:eastAsia="Times New Roman"/>
          <w:sz w:val="14"/>
        </w:rPr>
        <w:t>BUTLER: Exactly!</w:t>
      </w:r>
      <w:r w:rsidRPr="001641E7">
        <w:rPr>
          <w:sz w:val="14"/>
        </w:rPr>
        <w:t xml:space="preserve"> </w:t>
      </w:r>
      <w:r w:rsidRPr="001641E7">
        <w:rPr>
          <w:rFonts w:eastAsia="Times New Roman"/>
          <w:sz w:val="14"/>
        </w:rPr>
        <w:t>s. TAYLOR: But when in those in-between moments of in between male and female or in between death and health do you still count as a human?</w:t>
      </w:r>
      <w:r w:rsidRPr="001641E7">
        <w:rPr>
          <w:sz w:val="14"/>
        </w:rPr>
        <w:t xml:space="preserve"> </w:t>
      </w:r>
      <w:r w:rsidRPr="001641E7">
        <w:rPr>
          <w:rFonts w:eastAsia="Times New Roman"/>
          <w:sz w:val="14"/>
        </w:rPr>
        <w:t>BUTLER: Right—or animal-human-machine. Right? Animal-human</w:t>
      </w:r>
      <w:r w:rsidRPr="001641E7">
        <w:rPr>
          <w:sz w:val="14"/>
        </w:rPr>
        <w:t xml:space="preserve"> </w:t>
      </w:r>
      <w:r w:rsidRPr="001641E7">
        <w:rPr>
          <w:rFonts w:eastAsia="Times New Roman"/>
          <w:sz w:val="14"/>
        </w:rPr>
        <w:t>machine. You know, those boundaries, they make up the complex environment for all of our lives. There's no way that we can distill the human out of</w:t>
      </w:r>
      <w:r w:rsidRPr="001641E7">
        <w:rPr>
          <w:sz w:val="14"/>
        </w:rPr>
        <w:t xml:space="preserve"> </w:t>
      </w:r>
      <w:r w:rsidRPr="001641E7">
        <w:rPr>
          <w:rFonts w:eastAsia="Times New Roman"/>
          <w:sz w:val="14"/>
        </w:rPr>
        <w:t>those relationships.</w:t>
      </w:r>
      <w:r w:rsidRPr="001641E7">
        <w:rPr>
          <w:sz w:val="14"/>
        </w:rPr>
        <w:t xml:space="preserve"> </w:t>
      </w:r>
      <w:r w:rsidRPr="001641E7">
        <w:rPr>
          <w:rFonts w:eastAsia="Times New Roman"/>
          <w:sz w:val="14"/>
        </w:rPr>
        <w:t>s. TAYLOR: And I think</w:t>
      </w:r>
      <w:r w:rsidRPr="001641E7">
        <w:rPr>
          <w:rFonts w:eastAsia="Times New Roman"/>
        </w:rPr>
        <w:t xml:space="preserve"> </w:t>
      </w:r>
      <w:r w:rsidRPr="001641E7">
        <w:rPr>
          <w:rStyle w:val="StyleUnderline"/>
        </w:rPr>
        <w:t>what's ultimately threatening about it</w:t>
      </w:r>
      <w:r w:rsidRPr="001641E7">
        <w:rPr>
          <w:rFonts w:eastAsia="Times New Roman"/>
          <w:sz w:val="14"/>
        </w:rPr>
        <w:t xml:space="preserve">, about all these things, </w:t>
      </w:r>
      <w:r w:rsidRPr="001641E7">
        <w:rPr>
          <w:rStyle w:val="StyleUnderline"/>
        </w:rPr>
        <w:t>about the way in which someone moves or the way in which someone uses their bodies or the way in which someone speaks differently, is that it's a threat to our most basic categories that we've built our systems of power on</w:t>
      </w:r>
      <w:r w:rsidRPr="001641E7">
        <w:rPr>
          <w:rFonts w:eastAsia="Times New Roman"/>
        </w:rPr>
        <w:t xml:space="preserve">. </w:t>
      </w:r>
      <w:r w:rsidRPr="001641E7">
        <w:rPr>
          <w:rFonts w:eastAsia="Times New Roman"/>
          <w:sz w:val="14"/>
        </w:rPr>
        <w:t>And maybe that's why it hits people at such an emotionally uncontrollable level.</w:t>
      </w:r>
      <w:r w:rsidRPr="001641E7">
        <w:rPr>
          <w:sz w:val="14"/>
        </w:rPr>
        <w:t xml:space="preserve"> </w:t>
      </w:r>
      <w:r w:rsidRPr="001641E7">
        <w:rPr>
          <w:rFonts w:eastAsia="Times New Roman"/>
          <w:sz w:val="14"/>
        </w:rPr>
        <w:t>BUTLER: I think so. And</w:t>
      </w:r>
      <w:r w:rsidRPr="001641E7">
        <w:rPr>
          <w:rFonts w:eastAsia="Times New Roman"/>
        </w:rPr>
        <w:t xml:space="preserve"> </w:t>
      </w:r>
      <w:r w:rsidRPr="001641E7">
        <w:rPr>
          <w:rStyle w:val="StyleUnderline"/>
        </w:rPr>
        <w:t xml:space="preserve">these are really restrictive ideas about what the human is. I have to have a fixed gender in order to be a recognizable human, have to be able to be human and not animal, or to be human and not motorized by metal, I have to be somehow extracted from all these things and stabilized, able-bodied, fully capable according to various standards. </w:t>
      </w:r>
      <w:r w:rsidRPr="001641E7">
        <w:rPr>
          <w:rFonts w:eastAsia="Times New Roman"/>
          <w:sz w:val="14"/>
        </w:rPr>
        <w:t xml:space="preserve">s. TAYLOR: I'm just thinking about </w:t>
      </w:r>
      <w:r w:rsidRPr="001641E7">
        <w:rPr>
          <w:rStyle w:val="StyleUnderline"/>
        </w:rPr>
        <w:t>the eugenics movement</w:t>
      </w:r>
      <w:r w:rsidRPr="001641E7">
        <w:rPr>
          <w:rFonts w:eastAsia="Times New Roman"/>
        </w:rPr>
        <w:t xml:space="preserve">. </w:t>
      </w:r>
      <w:r w:rsidRPr="001641E7">
        <w:rPr>
          <w:rFonts w:eastAsia="Times New Roman"/>
          <w:sz w:val="14"/>
        </w:rPr>
        <w:t xml:space="preserve">I mean, that </w:t>
      </w:r>
      <w:r w:rsidRPr="001641E7">
        <w:rPr>
          <w:rStyle w:val="StyleUnderline"/>
        </w:rPr>
        <w:t>is a very clear, physical thing that happened very recently in history where it was: this human doesn't count enough as a human to be allowed to breathe</w:t>
      </w:r>
      <w:r w:rsidRPr="001641E7">
        <w:rPr>
          <w:rFonts w:eastAsia="Times New Roman"/>
          <w:sz w:val="14"/>
        </w:rPr>
        <w:t xml:space="preserve">, basically. BUTLER: Well, I think </w:t>
      </w:r>
      <w:r w:rsidRPr="001641E7">
        <w:rPr>
          <w:rStyle w:val="StyleUnderline"/>
        </w:rPr>
        <w:t xml:space="preserve">this leads to the question of how we conceive of human lives that are worth protecting, worth sheltering, worth supporting in their capacity to flourish, however they might flourish, and I think that's also true in our contemporary war effort. For example, the way Iraqi civilians are consistently presented by the media—theirs are lives not worth preserving. They're not even human lives that we've destroyed. They're threats to the human. They don't look human enough to protect from war. I think that we’re all very confused and cruel when it comes to thinking about the category of who is human. </w:t>
      </w:r>
      <w:r w:rsidRPr="001641E7">
        <w:rPr>
          <w:rFonts w:eastAsia="Times New Roman"/>
          <w:sz w:val="14"/>
        </w:rPr>
        <w:t>A. TAYLOR</w:t>
      </w:r>
      <w:r w:rsidRPr="001641E7">
        <w:rPr>
          <w:sz w:val="14"/>
        </w:rPr>
        <w:t>:</w:t>
      </w:r>
      <w:r w:rsidRPr="001641E7">
        <w:rPr>
          <w:rFonts w:eastAsia="Times New Roman"/>
          <w:sz w:val="14"/>
        </w:rPr>
        <w:t xml:space="preserve"> Can we dig even deeper into the perceived threat that the populations you are discussing pose? the aggression and fear towards them?</w:t>
      </w:r>
      <w:r w:rsidRPr="001641E7">
        <w:rPr>
          <w:sz w:val="14"/>
        </w:rPr>
        <w:t xml:space="preserve"> </w:t>
      </w:r>
      <w:r w:rsidRPr="001641E7">
        <w:rPr>
          <w:rFonts w:eastAsia="Times New Roman"/>
          <w:sz w:val="14"/>
        </w:rPr>
        <w:t xml:space="preserve">BUTLER: Well, I think </w:t>
      </w:r>
      <w:r w:rsidRPr="001641E7">
        <w:rPr>
          <w:rStyle w:val="StyleUnderline"/>
        </w:rPr>
        <w:t xml:space="preserve">there are a lot of different reasons for social violence toward people who are perceived to be on the margins of gender, the margins of able-bodiedness, the margins of racial normativity, and a lot of it has to do with fear of contact and contagion, that maybe somebody else's vulnerability will become one's own. I think the thought of another person in a state of dependency, in a state of social marginalization, makes some people want to assert their centrality and their power as a way of evading any feelings they might have of their own limitations or dependency or permeability otherwise. So in a world in which we are all subject to violence, where we could be violently impinged upon against our will, people manage that sense of precariousness. They want other people to embody it for them so they can feel protected or immunized from it. </w:t>
      </w:r>
      <w:r w:rsidRPr="001641E7">
        <w:rPr>
          <w:rFonts w:eastAsia="Times New Roman"/>
          <w:sz w:val="14"/>
        </w:rPr>
        <w:t>But, in fact, my own sense is that a lot of what we've been talking about brings us to a recognition that lives are precarious, fragile, dependent, but also capable in very specific kinds of ways. And that gets organized differently for different people. But I don't think that there's any evading either side of that territory. I guess the main point</w:t>
      </w:r>
      <w:r w:rsidRPr="001641E7">
        <w:rPr>
          <w:sz w:val="14"/>
        </w:rPr>
        <w:t xml:space="preserve"> </w:t>
      </w:r>
      <w:r w:rsidRPr="001641E7">
        <w:rPr>
          <w:rFonts w:eastAsia="Times New Roman"/>
          <w:sz w:val="14"/>
        </w:rPr>
        <w:t xml:space="preserve">that I want to make is that, </w:t>
      </w:r>
      <w:r w:rsidRPr="001641E7">
        <w:rPr>
          <w:rStyle w:val="StyleUnderline"/>
        </w:rPr>
        <w:t xml:space="preserve">as bodies, we're vulnerable. I mean, that's the thing about bodies. They’re not just self-motored, they're not just self-suffcient, they're always vulnerable to being </w:t>
      </w:r>
      <w:r w:rsidRPr="001641E7">
        <w:rPr>
          <w:rStyle w:val="StyleUnderline"/>
        </w:rPr>
        <w:lastRenderedPageBreak/>
        <w:t xml:space="preserve">looked to being called, to being touched. They're also capable of touching or sexual love or intimacy, to other forms of physical contact, right? And none of us get to fully control the way in which that happens. So I would say one feature of human bodies is permeability. We can be contacted, we can be impinged upon by others, and sometimes that's great and welcome and sometimes it's horrific. But there's no way to get rid of that aspect of the body. And I sometimes think that the social violence that affects people who look more permeable, who look more dependent, who look less defended, is a way in which impermeability on the side of the people who are violent is managed: you be the permeability of the body, you stand for the vulnerability of the body, and I will be the impermeable. So it's a way of managing and allocating that permeability so others stand for it and one gets to feel through one's violent acts that one's exempt. But no one's exempt </w:t>
      </w:r>
      <w:r w:rsidRPr="001641E7">
        <w:rPr>
          <w:rFonts w:eastAsia="Times New Roman"/>
          <w:sz w:val="14"/>
        </w:rPr>
        <w:t>[ We take a short break and move to a different part of</w:t>
      </w:r>
      <w:r w:rsidRPr="001641E7">
        <w:rPr>
          <w:sz w:val="14"/>
        </w:rPr>
        <w:t xml:space="preserve"> </w:t>
      </w:r>
      <w:r w:rsidRPr="001641E7">
        <w:rPr>
          <w:rFonts w:eastAsia="Times New Roman"/>
          <w:sz w:val="14"/>
        </w:rPr>
        <w:t>the Mission District.</w:t>
      </w:r>
      <w:r w:rsidRPr="001641E7">
        <w:rPr>
          <w:sz w:val="14"/>
        </w:rPr>
        <w:t xml:space="preserve">] </w:t>
      </w:r>
      <w:r w:rsidRPr="001641E7">
        <w:rPr>
          <w:rFonts w:eastAsia="Times New Roman"/>
          <w:sz w:val="14"/>
        </w:rPr>
        <w:t>I was thinking about these ideals of self-suffciency that people have about bodies: that bodies should be self-sufficient, that we worry when the</w:t>
      </w:r>
      <w:r w:rsidRPr="001641E7">
        <w:rPr>
          <w:sz w:val="14"/>
        </w:rPr>
        <w:t>y’</w:t>
      </w:r>
      <w:r w:rsidRPr="001641E7">
        <w:rPr>
          <w:rFonts w:eastAsia="Times New Roman"/>
          <w:sz w:val="14"/>
        </w:rPr>
        <w:t xml:space="preserve">re not. And one thought that I've had about gender, for instance, is that nobody has their own gender. That is to say, no one gets to have a gender all on their own. </w:t>
      </w:r>
      <w:r w:rsidRPr="001641E7">
        <w:rPr>
          <w:rStyle w:val="StyleUnderline"/>
        </w:rPr>
        <w:t>That's because we're embodied; we fundamentally depend on other people to recognize who we are and to help us figure out who we are in a social world. We can't—we don't, actually—make radical or self-sufficient decisions about who we want to be or how we are perceived or recognized. I mean, one of the struggles for gender and sexual minorities has been to get recognition for who one is. And if one doesn't have recognition for one's gender presentation or one's gender identification, then there's a certain kind of suffering—one doesn't get fully constituted socially, one doesn't get a place in the social order. So that's a kind of dependency</w:t>
      </w:r>
      <w:r w:rsidRPr="001641E7">
        <w:rPr>
          <w:rFonts w:eastAsia="Times New Roman"/>
        </w:rPr>
        <w:t xml:space="preserve">, </w:t>
      </w:r>
      <w:r w:rsidRPr="001641E7">
        <w:rPr>
          <w:rFonts w:eastAsia="Times New Roman"/>
          <w:sz w:val="14"/>
        </w:rPr>
        <w:t>right?</w:t>
      </w:r>
      <w:r w:rsidRPr="001641E7">
        <w:rPr>
          <w:rFonts w:eastAsia="Times New Roman"/>
        </w:rPr>
        <w:t xml:space="preserve"> </w:t>
      </w:r>
      <w:r w:rsidRPr="001641E7">
        <w:rPr>
          <w:rStyle w:val="StyleUnderline"/>
        </w:rPr>
        <w:t>If I need someone else or some group of people or a social world to recognize me in my gendered reality, then I'm going to petition the law or I'm going to petition medical establishments or I'm going to petition educational establishments to allow me to be whatever gender it is I'm petitioning to be. But I can't really do it on my own. In other words, we're all dependent on social vocabularies, on the availability of recognition, on institutions that will give us the acknowledgment we need in order to live the lives that we have to have</w:t>
      </w:r>
      <w:r w:rsidRPr="001641E7">
        <w:rPr>
          <w:rFonts w:eastAsia="Times New Roman"/>
        </w:rPr>
        <w:t xml:space="preserve">. </w:t>
      </w:r>
      <w:r w:rsidRPr="001641E7">
        <w:rPr>
          <w:rFonts w:eastAsia="Times New Roman"/>
          <w:sz w:val="14"/>
        </w:rPr>
        <w:t>So, in my view, none of us simply makes up our gender on our own or lives it as a radical individual, self-</w:t>
      </w:r>
      <w:r w:rsidRPr="001641E7">
        <w:rPr>
          <w:sz w:val="14"/>
        </w:rPr>
        <w:t>sufficiently</w:t>
      </w:r>
      <w:r w:rsidRPr="001641E7">
        <w:rPr>
          <w:rFonts w:eastAsia="Times New Roman"/>
          <w:sz w:val="14"/>
        </w:rPr>
        <w:t xml:space="preserve">. </w:t>
      </w:r>
      <w:r w:rsidRPr="001641E7">
        <w:rPr>
          <w:rStyle w:val="StyleUnderline"/>
        </w:rPr>
        <w:t>We're constantly negotiating to gain certain kinds of recognition or to produce the social world in which we can live</w:t>
      </w:r>
      <w:r w:rsidRPr="001641E7">
        <w:rPr>
          <w:rFonts w:eastAsia="Times New Roman"/>
        </w:rPr>
        <w:t xml:space="preserve">. </w:t>
      </w:r>
      <w:r w:rsidRPr="001641E7">
        <w:rPr>
          <w:rFonts w:eastAsia="Times New Roman"/>
          <w:sz w:val="14"/>
        </w:rPr>
        <w:t xml:space="preserve">And that means gender is kind of constituted socially, interrelationally. It doesn't generate from me, it's not an expression </w:t>
      </w:r>
      <w:r w:rsidRPr="001641E7">
        <w:rPr>
          <w:sz w:val="14"/>
        </w:rPr>
        <w:t>o</w:t>
      </w:r>
      <w:r w:rsidRPr="001641E7">
        <w:rPr>
          <w:rFonts w:eastAsia="Times New Roman"/>
          <w:sz w:val="14"/>
        </w:rPr>
        <w:t>f my individual personhood; it's my effort to negotiate a social world on which I'm radically dependent.</w:t>
      </w:r>
      <w:r w:rsidRPr="001641E7">
        <w:rPr>
          <w:sz w:val="14"/>
        </w:rPr>
        <w:t xml:space="preserve"> </w:t>
      </w:r>
      <w:r w:rsidRPr="001641E7">
        <w:rPr>
          <w:rFonts w:eastAsia="Times New Roman"/>
          <w:sz w:val="14"/>
        </w:rPr>
        <w:t>[At this point we realize that we're stranded on a stretch of</w:t>
      </w:r>
      <w:r w:rsidRPr="001641E7">
        <w:rPr>
          <w:sz w:val="14"/>
        </w:rPr>
        <w:t xml:space="preserve"> </w:t>
      </w:r>
      <w:r w:rsidRPr="001641E7">
        <w:rPr>
          <w:rFonts w:eastAsia="Times New Roman"/>
          <w:sz w:val="14"/>
        </w:rPr>
        <w:t xml:space="preserve">sidewalk that has no curb cuts. </w:t>
      </w:r>
      <w:r w:rsidRPr="001641E7">
        <w:rPr>
          <w:sz w:val="14"/>
        </w:rPr>
        <w:t>We</w:t>
      </w:r>
      <w:r w:rsidRPr="001641E7">
        <w:rPr>
          <w:rFonts w:eastAsia="Times New Roman"/>
          <w:sz w:val="14"/>
        </w:rPr>
        <w:t xml:space="preserve"> have to stop</w:t>
      </w:r>
      <w:r w:rsidRPr="001641E7">
        <w:rPr>
          <w:sz w:val="14"/>
        </w:rPr>
        <w:t xml:space="preserve"> </w:t>
      </w:r>
      <w:r w:rsidRPr="001641E7">
        <w:rPr>
          <w:rFonts w:eastAsia="Times New Roman"/>
          <w:sz w:val="14"/>
        </w:rPr>
        <w:t>filming</w:t>
      </w:r>
      <w:r w:rsidRPr="001641E7">
        <w:rPr>
          <w:sz w:val="14"/>
        </w:rPr>
        <w:t xml:space="preserve"> </w:t>
      </w:r>
      <w:r w:rsidRPr="001641E7">
        <w:rPr>
          <w:rFonts w:eastAsia="Times New Roman"/>
          <w:sz w:val="14"/>
        </w:rPr>
        <w:t>as Sunaura's chair and the camera, which is mounted o</w:t>
      </w:r>
      <w:r w:rsidRPr="001641E7">
        <w:rPr>
          <w:sz w:val="14"/>
        </w:rPr>
        <w:t>n</w:t>
      </w:r>
      <w:r w:rsidRPr="001641E7">
        <w:rPr>
          <w:rFonts w:eastAsia="Times New Roman"/>
          <w:sz w:val="14"/>
        </w:rPr>
        <w:t xml:space="preserve"> a dolly, are lifted onto the street.</w:t>
      </w:r>
      <w:r w:rsidRPr="001641E7">
        <w:rPr>
          <w:sz w:val="14"/>
        </w:rPr>
        <w:t>]</w:t>
      </w:r>
    </w:p>
    <w:p xmlns:wp14="http://schemas.microsoft.com/office/word/2010/wordml" w:rsidRPr="001641E7" w:rsidR="001860AB" w:rsidP="001860AB" w:rsidRDefault="001860AB" w14:paraId="3A0FF5F2" wp14:textId="77777777"/>
    <w:p xmlns:wp14="http://schemas.microsoft.com/office/word/2010/wordml" w:rsidRPr="001641E7" w:rsidR="001860AB" w:rsidP="00FF011C" w:rsidRDefault="001860AB" w14:paraId="435EC413" wp14:textId="77777777">
      <w:pPr>
        <w:pStyle w:val="Heading2"/>
      </w:pPr>
      <w:r w:rsidRPr="001641E7">
        <w:lastRenderedPageBreak/>
        <w:t>AFF Answers</w:t>
      </w:r>
    </w:p>
    <w:p xmlns:wp14="http://schemas.microsoft.com/office/word/2010/wordml" w:rsidRPr="001641E7" w:rsidR="001860AB" w:rsidP="001860AB" w:rsidRDefault="001860AB" w14:paraId="0C22F88E" wp14:textId="77777777">
      <w:pPr>
        <w:pStyle w:val="Heading3"/>
      </w:pPr>
      <w:r w:rsidRPr="001641E7">
        <w:lastRenderedPageBreak/>
        <w:t>A2: You fetishize otherness</w:t>
      </w:r>
    </w:p>
    <w:p xmlns:wp14="http://schemas.microsoft.com/office/word/2010/wordml" w:rsidRPr="001641E7" w:rsidR="001860AB" w:rsidP="001860AB" w:rsidRDefault="001860AB" w14:paraId="44A4F229" wp14:textId="77777777">
      <w:pPr>
        <w:pStyle w:val="Heading4"/>
        <w:rPr>
          <w:rFonts w:cs="Arial"/>
        </w:rPr>
      </w:pPr>
      <w:r w:rsidRPr="001641E7">
        <w:rPr>
          <w:rFonts w:cs="Arial"/>
        </w:rPr>
        <w:t>Our politics reverses ableist hierarchies without fetishizing disability by embracing practices that realize a world of non-exploitative corporeality</w:t>
      </w:r>
    </w:p>
    <w:p xmlns:wp14="http://schemas.microsoft.com/office/word/2010/wordml" w:rsidRPr="001641E7" w:rsidR="001860AB" w:rsidP="001860AB" w:rsidRDefault="001860AB" w14:paraId="26D6FDCD" wp14:textId="77777777">
      <w:r w:rsidRPr="001641E7">
        <w:rPr>
          <w:rStyle w:val="Style13ptBold"/>
        </w:rPr>
        <w:t>Chen 12</w:t>
      </w:r>
      <w:r w:rsidRPr="001641E7">
        <w:t xml:space="preserve"> [Mel, Assoc. Prof. Gender and Women’s Studies and Vice Chair for Research, Dir. of the Center for the Study of Sexual Culture @ UC Berkeley, Animacies: Biopolitical Racial Mattering and Queer Affect, pp. 215]</w:t>
      </w:r>
    </w:p>
    <w:p xmlns:wp14="http://schemas.microsoft.com/office/word/2010/wordml" w:rsidRPr="001641E7" w:rsidR="001860AB" w:rsidP="001860AB" w:rsidRDefault="001860AB" w14:paraId="735CB1A1" wp14:textId="77777777">
      <w:r w:rsidRPr="001641E7">
        <w:t xml:space="preserve">But I also draw—perhaps surprisingly—from the affective politics of Ann Cvetkovich’s important work on lesbian cultures of trauma. Writing about therapeutic work on incest and its tendency to carefully disavow any possible relationship between incest and lesbianism, she asks, </w:t>
      </w:r>
      <w:r w:rsidRPr="001641E7">
        <w:rPr>
          <w:rStyle w:val="StyleUnderline"/>
        </w:rPr>
        <w:t>“</w:t>
      </w:r>
      <w:r w:rsidRPr="001641E7">
        <w:t xml:space="preserve">But why can’t saying that ‘sexual abuse causes homosexuality’ just as easily be based on the assumption that there’s something right, rather than something wrong, with being lesbian or gay?”47 I do not mean to conflate incest, queerness, or disability so much as to use this moment to think about the </w:t>
      </w:r>
      <w:r w:rsidRPr="001641E7">
        <w:rPr>
          <w:rStyle w:val="StyleUnderline"/>
        </w:rPr>
        <w:t>affective politics</w:t>
      </w:r>
      <w:r w:rsidRPr="001641E7">
        <w:t>—within and without scholarship—</w:t>
      </w:r>
      <w:r w:rsidRPr="001641E7">
        <w:rPr>
          <w:rStyle w:val="StyleUnderline"/>
        </w:rPr>
        <w:t>of desiring the canonically undesired: desiring disability, desiring queerness, desiring objects.</w:t>
      </w:r>
      <w:r w:rsidRPr="001641E7">
        <w:t xml:space="preserve"> As Robert McRuer and Abby Wilkerson write, </w:t>
      </w:r>
      <w:r w:rsidRPr="001641E7">
        <w:rPr>
          <w:rStyle w:val="StyleUnderline"/>
        </w:rPr>
        <w:t>there is a special resistant sense of “desiring disability,” unlike fetishizations of disability, that embraces “practices that would work to realize a world of multiple (desiring and desirable) corporealities interacting in nonexploitative ways.”</w:t>
      </w:r>
      <w:r w:rsidRPr="001641E7">
        <w:t xml:space="preserve">48 Ultimately, Baggs makes </w:t>
      </w:r>
      <w:r w:rsidRPr="001641E7">
        <w:rPr>
          <w:rStyle w:val="StyleUnderline"/>
        </w:rPr>
        <w:t>desiring disability</w:t>
      </w:r>
      <w:r w:rsidRPr="001641E7">
        <w:t xml:space="preserve"> possible not only by articulating such relatedness through a visual modality that </w:t>
      </w:r>
      <w:r w:rsidRPr="001641E7">
        <w:rPr>
          <w:rStyle w:val="StyleUnderline"/>
        </w:rPr>
        <w:t>disidentifies with the gestural tropes of “severe disability,”</w:t>
      </w:r>
      <w:r w:rsidRPr="001641E7">
        <w:t xml:space="preserve"> but </w:t>
      </w:r>
      <w:r w:rsidRPr="001641E7">
        <w:rPr>
          <w:rStyle w:val="StyleUnderline"/>
        </w:rPr>
        <w:t>by</w:t>
      </w:r>
      <w:r w:rsidRPr="001641E7">
        <w:t xml:space="preserve"> simultaneously </w:t>
      </w:r>
      <w:r w:rsidRPr="001641E7">
        <w:rPr>
          <w:rStyle w:val="StyleUnderline"/>
        </w:rPr>
        <w:t>releasing the hold of an ableist language fully dependent on strict animacy hierarchies that are assimilated and are reasonably legitimate only for a very specific set of people.</w:t>
      </w:r>
      <w:r w:rsidRPr="001641E7">
        <w:t xml:space="preserve">49 </w:t>
      </w:r>
      <w:r w:rsidRPr="001641E7">
        <w:rPr>
          <w:rStyle w:val="StyleUnderline"/>
        </w:rPr>
        <w:t>It is a crip- theoretical text.</w:t>
      </w:r>
      <w:r w:rsidRPr="001641E7">
        <w:t>50</w:t>
      </w:r>
    </w:p>
    <w:p xmlns:wp14="http://schemas.microsoft.com/office/word/2010/wordml" w:rsidR="001860AB" w:rsidP="001860AB" w:rsidRDefault="001860AB" w14:paraId="1B958D37" wp14:textId="77777777">
      <w:pPr>
        <w:pStyle w:val="Heading3"/>
      </w:pPr>
      <w:r>
        <w:lastRenderedPageBreak/>
        <w:t>A2: Pragmatism/You ignore real people</w:t>
      </w:r>
    </w:p>
    <w:p xmlns:wp14="http://schemas.microsoft.com/office/word/2010/wordml" w:rsidR="001860AB" w:rsidP="001860AB" w:rsidRDefault="001860AB" w14:paraId="12FBB949" wp14:textId="77777777">
      <w:pPr>
        <w:pStyle w:val="Heading4"/>
      </w:pPr>
      <w:r>
        <w:t>Biopolitics of debilitation is a necessary impact to analyze the asymmetrical distribution of violence that conditions real actual existences of oppressed peoples.  We do not ignore embodiment but rather seek to examine the conditions that connect debility to people who debilitated as a starting point for developing pragmatic politics</w:t>
      </w:r>
    </w:p>
    <w:p xmlns:wp14="http://schemas.microsoft.com/office/word/2010/wordml" w:rsidRPr="00A95E8C" w:rsidR="001860AB" w:rsidP="001860AB" w:rsidRDefault="001860AB" w14:paraId="0942FDAC" wp14:textId="77777777">
      <w:pPr>
        <w:rPr>
          <w:sz w:val="16"/>
        </w:rPr>
      </w:pPr>
      <w:r w:rsidRPr="005D76D0">
        <w:rPr>
          <w:rStyle w:val="Style13ptBold"/>
        </w:rPr>
        <w:t>Puar 18</w:t>
      </w:r>
      <w:r w:rsidRPr="00A95E8C">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72-4]</w:t>
      </w:r>
    </w:p>
    <w:p xmlns:wp14="http://schemas.microsoft.com/office/word/2010/wordml" w:rsidRPr="00450CF8" w:rsidR="001860AB" w:rsidP="001860AB" w:rsidRDefault="001860AB" w14:paraId="4524038C" wp14:textId="77777777">
      <w:pPr>
        <w:rPr>
          <w:sz w:val="14"/>
        </w:rPr>
      </w:pPr>
      <w:r w:rsidRPr="00450CF8">
        <w:rPr>
          <w:sz w:val="14"/>
        </w:rPr>
        <w:t xml:space="preserve">To encapsulate, </w:t>
      </w:r>
      <w:r w:rsidRPr="0038734E">
        <w:rPr>
          <w:rStyle w:val="StyleUnderline"/>
        </w:rPr>
        <w:t>the biopolitics of debilitation is an analytic that allows us to see the assemblage relations of disability, debility, and capacity, noting that Euro-American rights frames, often centralizing individuals extracted from populations, operates through forms of capacitation in relation to that which it must sublimate: the material conditions of deliberate population debilitation</w:t>
      </w:r>
      <w:r w:rsidRPr="00450CF8">
        <w:rPr>
          <w:rStyle w:val="StyleUnderline"/>
        </w:rPr>
        <w:t>. This assemblage thus not only deindividualizes disability, a move that many disability scholars have pushed for. It also shifts from positing disability as a collective experience</w:t>
      </w:r>
      <w:r w:rsidRPr="00450CF8">
        <w:rPr>
          <w:sz w:val="14"/>
        </w:rPr>
        <w:t xml:space="preserve"> (of aging, of inevitable frailty and illness) </w:t>
      </w:r>
      <w:r w:rsidRPr="00450CF8">
        <w:rPr>
          <w:rStyle w:val="StyleUnderline"/>
        </w:rPr>
        <w:t>to nuancing that observation through attention to populations and their differential and uneven precarity. Rethinking disability through the precarity of populations not only acknowledges that there is more disability within disenfranchised and precarious populations, but also insists that debilitation is a tactical practice deployed in order to create and precaritize populations and maintain them as such. The biopolitics of debilitation thus situates disability within formulations of risk,</w:t>
      </w:r>
      <w:r w:rsidRPr="00450CF8">
        <w:rPr>
          <w:sz w:val="14"/>
        </w:rPr>
        <w:t xml:space="preserve"> calculation, prognosis, and statistical probability, </w:t>
      </w:r>
      <w:r w:rsidRPr="00450CF8">
        <w:rPr>
          <w:rStyle w:val="StyleUnderline"/>
        </w:rPr>
        <w:t>whereby disability is understood not as phenomenological essence</w:t>
      </w:r>
      <w:r w:rsidRPr="00450CF8">
        <w:rPr>
          <w:sz w:val="14"/>
        </w:rPr>
        <w:t xml:space="preserve">, identity, or a personal attribute, </w:t>
      </w:r>
      <w:r w:rsidRPr="00450CF8">
        <w:rPr>
          <w:rStyle w:val="StyleUnderline"/>
        </w:rPr>
        <w:t>but as risk coding, as an embedded aspect of biopolitical population management.</w:t>
      </w:r>
      <w:r w:rsidRPr="00450CF8">
        <w:rPr>
          <w:sz w:val="14"/>
        </w:rPr>
        <w:t xml:space="preserve">28 Public health practitioners, for example, understand racism as a risk factor. Race is “a marker of risk for racism-related exposures. Race is useful in that it enables the identification of persons at risk for exposures that vary by racial category (e.g., discrimination).”29 Thus the biopolitics of debilitation informs the biopolitics of disability with the understanding that the frame of inclusion and exclusion is already infused with economies of risk. Such frames are therefore foundational to the regulation of the categories of disability and ability that delimit an acknowledgment of debilitation as a distribution of risk. Debility is thus understood as a process rather than an identity or attribute, a verb and a doing rather than a happening or happening to or done to. It complicates the notion of a workplace injury or accident by understanding the statistical likelihood by which certain populations are expected to yield themselves to bodily debilitation, deterioration, and outright harm. Relevant considerations that Meekosha centralizes in a southern theory of disability bracket momentarily the adherence to the binary production of the non-disabled versus the disabled body, so often used to determine and evaluate who is “actually disabled.” </w:t>
      </w:r>
      <w:r w:rsidRPr="00450CF8">
        <w:rPr>
          <w:rStyle w:val="StyleUnderline"/>
        </w:rPr>
        <w:t>Addressed immediately is the social justice question of what is access to health? What does it mean to have access to health, or to access health, and to access health care? This formulation centralizes the connections between poverty, debt, and disability.</w:t>
      </w:r>
      <w:r w:rsidRPr="00450CF8">
        <w:rPr>
          <w:sz w:val="14"/>
        </w:rPr>
        <w:t xml:space="preserve">30 Poverty itself may well be thought of as a form of debilitation; debt and austerity are increasingly linked to the collapse of health care systems and the inability to access medical care. Tropes of disability are used to describe the past as well as the future of capitalism, such that debt functions as debility. </w:t>
      </w:r>
      <w:r w:rsidRPr="00450CF8">
        <w:rPr>
          <w:rStyle w:val="StyleUnderline"/>
        </w:rPr>
        <w:t>The concept of “crippling debt,” for example, reveals the ways in which fiscal “health” is a form of capacitation or capacity. Theorizing debt as bodily vulnerability recognizes the historical and structural relationships between poverty and disability—engendered by colonization</w:t>
      </w:r>
      <w:r w:rsidRPr="00450CF8">
        <w:rPr>
          <w:sz w:val="14"/>
        </w:rPr>
        <w:t xml:space="preserve">, occupation, environmental degradation, war, biomedicine, </w:t>
      </w:r>
      <w:r w:rsidRPr="00450CF8">
        <w:rPr>
          <w:rStyle w:val="StyleUnderline"/>
        </w:rPr>
        <w:t>and labor exploitation. It also highlights that disability can be negotiated through access to medical care only for the very few.</w:t>
      </w:r>
      <w:r w:rsidRPr="00450CF8">
        <w:rPr>
          <w:sz w:val="14"/>
        </w:rPr>
        <w:t xml:space="preserve"> More important, within the context of the financial expropriation endemic to the lack of socialized health care in the United States, and given the high rates of bankruptcy due to medical bills, theorizing debt as debility entails mapping out a system of profit for capital that mines and multiplies debilitated bodies. </w:t>
      </w:r>
      <w:r w:rsidRPr="00450CF8">
        <w:rPr>
          <w:rStyle w:val="StyleUnderline"/>
        </w:rPr>
        <w:t>If one is against the neoliberal normativizing and micromanaging of health</w:t>
      </w:r>
      <w:r w:rsidRPr="00450CF8">
        <w:rPr>
          <w:sz w:val="14"/>
        </w:rPr>
        <w:t xml:space="preserve"> as a forever impossible ideal to reach, if one is indeed “against health,” to use a framing from Jonathan Metzl and Anna Kirkland, </w:t>
      </w:r>
      <w:r w:rsidRPr="00450CF8">
        <w:rPr>
          <w:rStyle w:val="StyleUnderline"/>
        </w:rPr>
        <w:t>how are populations who have little access to health situated in this formulation?</w:t>
      </w:r>
      <w:r w:rsidRPr="00450CF8">
        <w:rPr>
          <w:sz w:val="14"/>
        </w:rPr>
        <w:t xml:space="preserve">31 The social model of disability, elaborated at length, states that it is not the body that is impaired but the social that maintains ableist structures. </w:t>
      </w:r>
      <w:r w:rsidRPr="00450CF8">
        <w:rPr>
          <w:rStyle w:val="StyleUnderline"/>
        </w:rPr>
        <w:t xml:space="preserve">Warfare, exploitative laboring conditions, occupations, </w:t>
      </w:r>
      <w:r w:rsidRPr="00450CF8">
        <w:rPr>
          <w:rStyle w:val="StyleUnderline"/>
        </w:rPr>
        <w:lastRenderedPageBreak/>
        <w:t>incarceration count as a large component of these structures, part of an inaccessible ableist social, as much as buildings, curbs, ramps, elevators, service animals</w:t>
      </w:r>
      <w:r w:rsidRPr="00450CF8">
        <w:rPr>
          <w:sz w:val="14"/>
        </w:rPr>
        <w:t xml:space="preserve">, cognitive normativity, and chemical sensitivities. </w:t>
      </w:r>
      <w:r w:rsidRPr="00450CF8">
        <w:rPr>
          <w:rStyle w:val="StyleUnderline"/>
        </w:rPr>
        <w:t>When one asks, “Is it accessible?” the social model asks, “Accessible to what? What does an accessible health care infrastructure look like, and for whom?”</w:t>
      </w:r>
      <w:r w:rsidRPr="00450CF8">
        <w:rPr>
          <w:sz w:val="14"/>
        </w:rPr>
        <w:t xml:space="preserve"> Maintaining a construction of the social that revolves around built infrastructure and obstacles to them, rather than a social that includes work and warring as debilitating processes, is a function of racial, class, and locational privilege. </w:t>
      </w:r>
      <w:r w:rsidRPr="00450CF8">
        <w:rPr>
          <w:rStyle w:val="StyleUnderline"/>
        </w:rPr>
        <w:t>Is a young black man without a diagnosed disability living in the United States who is statistically much more likely than most to be imprisoned, shot at by police, or killed by the time of adulthood actually a referent for what it means to be able-bodied?</w:t>
      </w:r>
      <w:r w:rsidRPr="00450CF8">
        <w:rPr>
          <w:sz w:val="14"/>
        </w:rPr>
        <w:t xml:space="preserve"> 32 </w:t>
      </w:r>
      <w:r w:rsidRPr="00450CF8">
        <w:rPr>
          <w:rStyle w:val="StyleUnderline"/>
        </w:rPr>
        <w:t xml:space="preserve">What I am arguing would not diminish the specificity of disabled embodiment, nor necessarily expand what the term “disability” encompasses. Rather, this approach connects disability to those who are debilitated, to those whose bodily experiences challenge </w:t>
      </w:r>
      <w:r w:rsidRPr="00450CF8">
        <w:rPr>
          <w:sz w:val="14"/>
        </w:rPr>
        <w:t xml:space="preserve">a disaggregation of an us/them binary in terms of </w:t>
      </w:r>
      <w:r w:rsidRPr="00450CF8">
        <w:rPr>
          <w:rStyle w:val="StyleUnderline"/>
        </w:rPr>
        <w:t>who is seen as able-bodied</w:t>
      </w:r>
      <w:r w:rsidRPr="00450CF8">
        <w:rPr>
          <w:sz w:val="14"/>
        </w:rPr>
        <w:t>, and acknowledges the now-regulatory functions of the category of disability.</w:t>
      </w:r>
    </w:p>
    <w:p xmlns:wp14="http://schemas.microsoft.com/office/word/2010/wordml" w:rsidRPr="00C04E37" w:rsidR="001860AB" w:rsidP="001860AB" w:rsidRDefault="001860AB" w14:paraId="5630AD66" wp14:textId="77777777"/>
    <w:p xmlns:wp14="http://schemas.microsoft.com/office/word/2010/wordml" w:rsidRPr="001641E7" w:rsidR="001860AB" w:rsidP="00FF011C" w:rsidRDefault="00FF011C" w14:paraId="167801CB" wp14:textId="77777777">
      <w:pPr>
        <w:pStyle w:val="Heading3"/>
      </w:pPr>
      <w:r>
        <w:lastRenderedPageBreak/>
        <w:t xml:space="preserve">A2: </w:t>
      </w:r>
      <w:r w:rsidRPr="001641E7" w:rsidR="001860AB">
        <w:t>Trump Exceptionalism</w:t>
      </w:r>
    </w:p>
    <w:p xmlns:wp14="http://schemas.microsoft.com/office/word/2010/wordml" w:rsidRPr="001641E7" w:rsidR="001860AB" w:rsidP="001860AB" w:rsidRDefault="001860AB" w14:paraId="61829076" wp14:textId="77777777"/>
    <w:p xmlns:wp14="http://schemas.microsoft.com/office/word/2010/wordml" w:rsidRPr="001641E7" w:rsidR="001860AB" w:rsidP="001860AB" w:rsidRDefault="001860AB" w14:paraId="53BBEA00" wp14:textId="77777777">
      <w:pPr>
        <w:pStyle w:val="Heading4"/>
        <w:rPr>
          <w:rFonts w:cs="Arial"/>
        </w:rPr>
      </w:pPr>
      <w:r w:rsidRPr="001641E7">
        <w:rPr>
          <w:rFonts w:cs="Arial"/>
        </w:rPr>
        <w:t>Immigration debates by both the Right and the Left contest the figure of the good immigrant – progressive narratives of inclusions of hardworking and patriotic immigrants simultaneously spurs anti-immigrant resentment</w:t>
      </w:r>
    </w:p>
    <w:p xmlns:wp14="http://schemas.microsoft.com/office/word/2010/wordml" w:rsidRPr="001641E7" w:rsidR="001860AB" w:rsidP="001860AB" w:rsidRDefault="001860AB" w14:paraId="01A21A73" wp14:textId="77777777">
      <w:r w:rsidRPr="001641E7">
        <w:rPr>
          <w:rStyle w:val="Style13ptBold"/>
        </w:rPr>
        <w:t>Honig 98</w:t>
      </w:r>
      <w:r w:rsidRPr="001641E7">
        <w:t xml:space="preserve"> [Bonnie, “Immigrant America? How Foreignness "Solves" Democracy's Problems,” Social Text, No. 56 (Autumn, 1998), pp. 1-4]</w:t>
      </w:r>
    </w:p>
    <w:p xmlns:wp14="http://schemas.microsoft.com/office/word/2010/wordml" w:rsidRPr="001641E7" w:rsidR="001860AB" w:rsidP="001860AB" w:rsidRDefault="001860AB" w14:paraId="377B97ED" wp14:textId="77777777">
      <w:pPr>
        <w:rPr>
          <w:sz w:val="8"/>
        </w:rPr>
      </w:pPr>
      <w:r w:rsidRPr="001641E7">
        <w:rPr>
          <w:sz w:val="8"/>
        </w:rPr>
        <w:t>]Against the background of California's Proposition 187 and new U.S. federal legislation limiting the rights and benefits of legal and illegal immigrants,</w:t>
      </w:r>
      <w:r w:rsidRPr="001641E7">
        <w:rPr>
          <w:rStyle w:val="StyleUnderline"/>
        </w:rPr>
        <w:t xml:space="preserve"> </w:t>
      </w:r>
      <w:r w:rsidRPr="001641E7">
        <w:rPr>
          <w:rStyle w:val="StyleUnderline"/>
          <w:highlight w:val="green"/>
        </w:rPr>
        <w:t>Americans on both the Right and the Left have sought to recover the iconic immigrant who once helped build this nation</w:t>
      </w:r>
      <w:r w:rsidRPr="001641E7">
        <w:rPr>
          <w:sz w:val="8"/>
        </w:rPr>
        <w:t xml:space="preserve"> and whose heirs might contribute to the national future. Both political theorists and activists have responded to renewed anti-immigrant sentiment </w:t>
      </w:r>
      <w:r w:rsidRPr="001641E7">
        <w:rPr>
          <w:rStyle w:val="StyleUnderline"/>
          <w:highlight w:val="green"/>
        </w:rPr>
        <w:t>by stressing the gifts that foreigners have to offer receiving regimes.'</w:t>
      </w:r>
      <w:r w:rsidRPr="001641E7">
        <w:rPr>
          <w:rStyle w:val="StyleUnderline"/>
        </w:rPr>
        <w:t xml:space="preserve"> Their efforts have given new life to the myth of an immigrant America. Unfortunately, </w:t>
      </w:r>
      <w:r w:rsidRPr="001641E7">
        <w:rPr>
          <w:sz w:val="8"/>
        </w:rPr>
        <w:t xml:space="preserve">however, because their efforts are all fundamentally nationalist, their xenophilic embrace of foreigners tends also to feed and not only to combat the xenophobia they deplore.2 The myth of an immigrant America depicts the foreigner as a supplement to the nation, an agent of national reenchantment that might rescue the regime from corruption and return it to its first principles, whether capitalist, communal/familial, or consensual.3 In the capitalist version of the myth, </w:t>
      </w:r>
      <w:r w:rsidRPr="001641E7">
        <w:rPr>
          <w:rStyle w:val="StyleUnderline"/>
        </w:rPr>
        <w:t>the immigrant functions to reassure workers of the possibility of upward mobility in an economy that rarely delivers on that promise, while also disciplining the native-born poor, domestic minorities, and unsuccessful foreign laborers into believing that the economy fairly rewards dedication and hard work.</w:t>
      </w:r>
      <w:r w:rsidRPr="001641E7">
        <w:rPr>
          <w:sz w:val="8"/>
        </w:rPr>
        <w:t>4 The communitarian immigrant responds to the dissolution of family and community ties or the prevention of community formation that results in large part from a capitalist economy's unresisted need for a mobile labor force. Periodic infusions of community by way of immigration are said to soften the alienating effects of capitalism's mobilities and of the American liberal individualism that ease their way. Still others look hopefully to immigrants to restore traditional patriarchal family arrangements that have been variously attenuated by capitalist mobility and materialism, liberal individualism, and feminism. The patriarchal immigrant models proper gender roles and relations for a nation that has lost its sexual bearings. Finally, many</w:t>
      </w:r>
      <w:r w:rsidRPr="001641E7">
        <w:rPr>
          <w:rStyle w:val="StyleUnderline"/>
        </w:rPr>
        <w:t xml:space="preserve"> </w:t>
      </w:r>
      <w:r w:rsidRPr="001641E7">
        <w:rPr>
          <w:rStyle w:val="StyleUnderline"/>
          <w:highlight w:val="green"/>
        </w:rPr>
        <w:t>liberals depict immigrants as the sole bearers of a consent that is the phantom ground of American liberal democracy.</w:t>
      </w:r>
      <w:r w:rsidRPr="001641E7">
        <w:rPr>
          <w:rStyle w:val="StyleUnderline"/>
        </w:rPr>
        <w:t xml:space="preserve"> </w:t>
      </w:r>
      <w:r w:rsidRPr="001641E7">
        <w:rPr>
          <w:sz w:val="8"/>
        </w:rPr>
        <w:t>The liberal consenting immigrant addresses the need of a disaffected citizenry to experience its regime as choice worthy, to see it through the eyes of still enchanted newcomers whose choice to come here also just happens to reenact liberalism's fictive foundation in an act of individual consent. Simultaneously,</w:t>
      </w:r>
      <w:r w:rsidRPr="001641E7">
        <w:rPr>
          <w:rStyle w:val="StyleUnderline"/>
        </w:rPr>
        <w:t xml:space="preserve"> </w:t>
      </w:r>
      <w:r w:rsidRPr="001641E7">
        <w:rPr>
          <w:rStyle w:val="StyleUnderline"/>
          <w:highlight w:val="green"/>
        </w:rPr>
        <w:t>the immigrant's decision to come here is seen as living proof of the supposed universality of America's liberal democratic principles.</w:t>
      </w:r>
      <w:r w:rsidRPr="001641E7">
        <w:rPr>
          <w:rStyle w:val="StyleUnderline"/>
        </w:rPr>
        <w:t xml:space="preserve"> </w:t>
      </w:r>
      <w:r w:rsidRPr="001641E7">
        <w:rPr>
          <w:sz w:val="8"/>
        </w:rPr>
        <w:t xml:space="preserve">These reliances on a foreigner to return a regime to itself-to its origins (whether entrepreneurial, communal, familial, consensual, or uni- versal)-are not unique to American political culture. From the Biblical heroine Ruth, the Moabite, to the lawgiver of Jean-Jacques Rousseau's Social Contract, aliens throughout Western culture have been depicted not only as the causes but also (though perhaps less famously) as the cures of political alienation and corruption.5 The myth of an immigrant America replays this theme in a typically gargantuan way. It recuperates foreignness en masse for a national project. The myth of an immigrant America draws on and shores up the pop- ular exceptionalist belief that America is a distinctively consent-based regime, founded on choice rather than inheritance, on civic rather than ethnic ties. The exceptionalists' America is anchored by rational, voluntarist faith in a creed, not by ascriptive bloodlines; by individualism, not organicism; by mobility, not landedness.6 The people who live here are people who once chose to come here, and, in this, America is supposedly unique. In short, the exceptionalist account normatively privileges one particular trajectory to citizenship: from immigrant to ethnic to citizen. </w:t>
      </w:r>
      <w:r w:rsidRPr="001641E7">
        <w:rPr>
          <w:rStyle w:val="StyleUnderline"/>
          <w:highlight w:val="green"/>
        </w:rPr>
        <w:t>The exceptionalist account captures something about American democracy while also missing</w:t>
      </w:r>
      <w:r w:rsidRPr="001641E7">
        <w:rPr>
          <w:rStyle w:val="StyleUnderline"/>
        </w:rPr>
        <w:t xml:space="preserve"> a great deal. </w:t>
      </w:r>
      <w:r w:rsidRPr="001641E7">
        <w:rPr>
          <w:rStyle w:val="StyleUnderline"/>
          <w:highlight w:val="green"/>
        </w:rPr>
        <w:t>America</w:t>
      </w:r>
      <w:r w:rsidRPr="001641E7">
        <w:rPr>
          <w:rStyle w:val="StyleUnderline"/>
        </w:rPr>
        <w:t xml:space="preserve">n democracy </w:t>
      </w:r>
      <w:r w:rsidRPr="001641E7">
        <w:rPr>
          <w:rStyle w:val="StyleUnderline"/>
          <w:highlight w:val="green"/>
        </w:rPr>
        <w:t>is founded</w:t>
      </w:r>
      <w:r w:rsidRPr="001641E7">
        <w:rPr>
          <w:rStyle w:val="StyleUnderline"/>
        </w:rPr>
        <w:t xml:space="preserve"> not only </w:t>
      </w:r>
      <w:r w:rsidRPr="001641E7">
        <w:rPr>
          <w:rStyle w:val="StyleUnderline"/>
          <w:highlight w:val="green"/>
        </w:rPr>
        <w:t>on</w:t>
      </w:r>
      <w:r w:rsidRPr="001641E7">
        <w:rPr>
          <w:rStyle w:val="StyleUnderline"/>
        </w:rPr>
        <w:t xml:space="preserve"> immigration but also on </w:t>
      </w:r>
      <w:r w:rsidRPr="001641E7">
        <w:rPr>
          <w:rStyle w:val="StyleUnderline"/>
          <w:highlight w:val="green"/>
        </w:rPr>
        <w:t>conquest</w:t>
      </w:r>
      <w:r w:rsidRPr="001641E7">
        <w:rPr>
          <w:rStyle w:val="StyleUnderline"/>
        </w:rPr>
        <w:t xml:space="preserve"> (Native Americans), </w:t>
      </w:r>
      <w:r w:rsidRPr="001641E7">
        <w:rPr>
          <w:rStyle w:val="StyleUnderline"/>
          <w:highlight w:val="green"/>
        </w:rPr>
        <w:t>slavery</w:t>
      </w:r>
      <w:r w:rsidRPr="001641E7">
        <w:rPr>
          <w:rStyle w:val="StyleUnderline"/>
        </w:rPr>
        <w:t xml:space="preserve"> (the forced importation of African slave labor), </w:t>
      </w:r>
      <w:r w:rsidRPr="001641E7">
        <w:rPr>
          <w:rStyle w:val="StyleUnderline"/>
          <w:highlight w:val="green"/>
        </w:rPr>
        <w:t>and,</w:t>
      </w:r>
      <w:r w:rsidRPr="001641E7">
        <w:rPr>
          <w:rStyle w:val="StyleUnderline"/>
        </w:rPr>
        <w:t xml:space="preserve"> in the postfounding era, on </w:t>
      </w:r>
      <w:r w:rsidRPr="001641E7">
        <w:rPr>
          <w:rStyle w:val="StyleUnderline"/>
          <w:highlight w:val="green"/>
        </w:rPr>
        <w:t>expansion</w:t>
      </w:r>
      <w:r w:rsidRPr="001641E7">
        <w:rPr>
          <w:rStyle w:val="StyleUnderline"/>
        </w:rPr>
        <w:t xml:space="preserve"> (Hawaii, Alaska, Puerto Rico, and so on), annexation (French settlements in Illinois, St. Louis, and New Orleans as well as a significant Spanish-speaking population in the Southwest as a result of the war with Mexico), and more slavery. </w:t>
      </w:r>
      <w:r w:rsidRPr="001641E7">
        <w:rPr>
          <w:rStyle w:val="StyleUnderline"/>
          <w:highlight w:val="green"/>
        </w:rPr>
        <w:t>These other foundings are often obscured by the hegemonic myth of an immigrant America.</w:t>
      </w:r>
      <w:r w:rsidRPr="001641E7">
        <w:rPr>
          <w:sz w:val="8"/>
        </w:rPr>
        <w:t xml:space="preserve"> In Charleston, South Carolina, for example, a tourist pamphlet announces that Sullivan Island, off the coast of the city, is "America's Ellis Island for Black people."'7 </w:t>
      </w:r>
      <w:r w:rsidRPr="001641E7">
        <w:rPr>
          <w:rStyle w:val="StyleUnderline"/>
        </w:rPr>
        <w:t>In its favor, we might say that at least the myth generates an open and inclusive tolerance of diverse immigrants. But things are not so simple.</w:t>
      </w:r>
      <w:r w:rsidRPr="001641E7">
        <w:rPr>
          <w:sz w:val="8"/>
        </w:rPr>
        <w:t xml:space="preserve"> In fact, the myth generates a sense of quite anxious dependence on the kinness of strangers. </w:t>
      </w:r>
      <w:r w:rsidRPr="001641E7">
        <w:rPr>
          <w:rStyle w:val="StyleUnderline"/>
        </w:rPr>
        <w:t>The foreigners whose immigrations to the United States daily reinstall the regime's most beloved self-images are also looked on as threats to the regime.</w:t>
      </w:r>
      <w:r w:rsidRPr="001641E7">
        <w:rPr>
          <w:sz w:val="8"/>
        </w:rPr>
        <w:t xml:space="preserve"> And this is no accident. </w:t>
      </w:r>
      <w:r w:rsidRPr="001641E7">
        <w:rPr>
          <w:rStyle w:val="StyleUnderline"/>
          <w:highlight w:val="green"/>
        </w:rPr>
        <w:t>The play of xenophobia and xenophilia that marks American political culture is not caused simply by periodic power changes from nativists to</w:t>
      </w:r>
      <w:r w:rsidRPr="001641E7">
        <w:rPr>
          <w:rStyle w:val="StyleUnderline"/>
        </w:rPr>
        <w:t xml:space="preserve"> </w:t>
      </w:r>
      <w:r w:rsidRPr="001641E7">
        <w:rPr>
          <w:rStyle w:val="StyleUnderline"/>
          <w:highlight w:val="green"/>
        </w:rPr>
        <w:t>inclusionists</w:t>
      </w:r>
      <w:r w:rsidRPr="001641E7">
        <w:rPr>
          <w:rStyle w:val="StyleUnderline"/>
        </w:rPr>
        <w:t>,</w:t>
      </w:r>
      <w:r w:rsidRPr="001641E7">
        <w:rPr>
          <w:sz w:val="8"/>
        </w:rPr>
        <w:t xml:space="preserve"> as Michael Walzer and Rogers Smith both suggest.8 Nor is it merely a sign of changing economic "realities," from expanding to shrink- ing labor needs. These may be part of the story, but there is a deeper logic at work here. </w:t>
      </w:r>
      <w:r w:rsidRPr="001641E7">
        <w:rPr>
          <w:rStyle w:val="StyleUnderline"/>
        </w:rPr>
        <w:t>In the various versions of the myth of an immigrant America, the immigrant's foreignness positions him or her to enhance or reinvigorate the national democracy: our faith in a just economy, our notions of community or family, our consent-based sense of legitimacy,</w:t>
      </w:r>
      <w:r w:rsidRPr="001641E7">
        <w:rPr>
          <w:sz w:val="8"/>
        </w:rPr>
        <w:t xml:space="preserve"> and our voluntarist vigor are so moribund that only a foreigner could revive them. </w:t>
      </w:r>
      <w:r w:rsidRPr="001641E7">
        <w:rPr>
          <w:rStyle w:val="StyleUnderline"/>
        </w:rPr>
        <w:t xml:space="preserve">But </w:t>
      </w:r>
      <w:r w:rsidRPr="001641E7">
        <w:rPr>
          <w:rStyle w:val="StyleUnderline"/>
          <w:highlight w:val="green"/>
        </w:rPr>
        <w:t>the dream of a national home, helped</w:t>
      </w:r>
      <w:r w:rsidRPr="001641E7">
        <w:rPr>
          <w:rStyle w:val="StyleUnderline"/>
        </w:rPr>
        <w:t xml:space="preserve"> along </w:t>
      </w:r>
      <w:r w:rsidRPr="001641E7">
        <w:rPr>
          <w:rStyle w:val="StyleUnderline"/>
          <w:highlight w:val="green"/>
        </w:rPr>
        <w:t>by the symbolic foreigner, in turn animates a suspicion of immigrant foreignness</w:t>
      </w:r>
      <w:r w:rsidRPr="001641E7">
        <w:rPr>
          <w:rStyle w:val="StyleUnderline"/>
        </w:rPr>
        <w:t xml:space="preserve"> at the same time. "</w:t>
      </w:r>
      <w:r w:rsidRPr="001641E7">
        <w:rPr>
          <w:rStyle w:val="StyleUnderline"/>
          <w:highlight w:val="green"/>
        </w:rPr>
        <w:t xml:space="preserve">Their" admirable hard work and boundless acquisition put "us" out of jobs. "Their" good communities, admired </w:t>
      </w:r>
      <w:r w:rsidRPr="001641E7">
        <w:rPr>
          <w:rStyle w:val="StyleUnderline"/>
          <w:highlight w:val="green"/>
        </w:rPr>
        <w:lastRenderedPageBreak/>
        <w:t>by some, look like ethnic enclaves to others. "Their" voluntarist embrace of America reaffirms but also endangers "our" way of life. The foreigner who shores up and reinvigorates the regime also unsettles it at the same time.</w:t>
      </w:r>
      <w:r w:rsidRPr="001641E7">
        <w:rPr>
          <w:sz w:val="8"/>
        </w:rPr>
        <w:t xml:space="preserve"> Nationalist xenophilia tends to feed and (re)produce nationalist xenophobia as its partner. </w:t>
      </w:r>
      <w:r w:rsidRPr="001641E7">
        <w:rPr>
          <w:rStyle w:val="StyleUnderline"/>
          <w:highlight w:val="green"/>
        </w:rPr>
        <w:t>Since the presumed test of both a good and a bad foreigner is the measure of his or her contribution to the restoration of the nation</w:t>
      </w:r>
      <w:r w:rsidRPr="001641E7">
        <w:rPr>
          <w:sz w:val="8"/>
        </w:rPr>
        <w:t xml:space="preserve"> rather than, say, to the nation's transformation or attenuation, </w:t>
      </w:r>
      <w:r w:rsidRPr="001641E7">
        <w:rPr>
          <w:rStyle w:val="StyleUnderline"/>
          <w:highlight w:val="green"/>
        </w:rPr>
        <w:t>the myth</w:t>
      </w:r>
      <w:r w:rsidRPr="001641E7">
        <w:rPr>
          <w:rStyle w:val="StyleUnderline"/>
        </w:rPr>
        <w:t xml:space="preserve"> of an immigrant America </w:t>
      </w:r>
      <w:r w:rsidRPr="001641E7">
        <w:rPr>
          <w:rStyle w:val="StyleUnderline"/>
          <w:highlight w:val="green"/>
        </w:rPr>
        <w:t>serves to secure the very identification of democracy with the nation-state</w:t>
      </w:r>
      <w:r w:rsidRPr="001641E7">
        <w:rPr>
          <w:sz w:val="8"/>
        </w:rPr>
        <w:t xml:space="preserve"> that widespread immigration might otherwise usefully call into question.</w:t>
      </w:r>
    </w:p>
    <w:p xmlns:wp14="http://schemas.microsoft.com/office/word/2010/wordml" w:rsidR="00C84970" w:rsidP="00C84970" w:rsidRDefault="00C84970" w14:paraId="41EFFA02" wp14:textId="77777777">
      <w:pPr>
        <w:pStyle w:val="Heading3"/>
      </w:pPr>
      <w:r>
        <w:lastRenderedPageBreak/>
        <w:t>A2: Rights Good</w:t>
      </w:r>
    </w:p>
    <w:p xmlns:wp14="http://schemas.microsoft.com/office/word/2010/wordml" w:rsidR="00C84970" w:rsidP="00C84970" w:rsidRDefault="00C84970" w14:paraId="45C7A835" wp14:textId="77777777">
      <w:pPr>
        <w:pStyle w:val="Heading4"/>
      </w:pPr>
      <w:r>
        <w:t>Disability rights framework makes disability a commodity that functions for the ascendency of whiteness, reinforcing developed/developing demarcations of US ability exceptionalism</w:t>
      </w:r>
    </w:p>
    <w:p xmlns:wp14="http://schemas.microsoft.com/office/word/2010/wordml" w:rsidRPr="00D156A1" w:rsidR="00C84970" w:rsidP="00C84970" w:rsidRDefault="00C84970" w14:paraId="151F9D74" wp14:textId="77777777">
      <w:pPr>
        <w:rPr>
          <w:sz w:val="16"/>
        </w:rPr>
      </w:pPr>
      <w:r w:rsidRPr="005D76D0">
        <w:rPr>
          <w:rStyle w:val="Style13ptBold"/>
        </w:rPr>
        <w:t>Puar 18</w:t>
      </w:r>
      <w:r w:rsidRPr="00D156A1">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65-7]</w:t>
      </w:r>
    </w:p>
    <w:p xmlns:wp14="http://schemas.microsoft.com/office/word/2010/wordml" w:rsidRPr="00F46A22" w:rsidR="00C84970" w:rsidP="00C84970" w:rsidRDefault="00C84970" w14:paraId="5828C0E5" wp14:textId="77777777">
      <w:pPr>
        <w:rPr>
          <w:sz w:val="16"/>
        </w:rPr>
      </w:pPr>
      <w:r w:rsidRPr="00554064">
        <w:rPr>
          <w:rStyle w:val="StyleUnderline"/>
        </w:rPr>
        <w:t>When disability becomes fodder for life, when it is seen as not the fault of the body living that disability or of the population to which that body belongs, there is (limited) availability of a recapacitation of disability within the biopolitical vector of make live. When disability is instrumentalized necropolitically, when, as Nirmala Erevelles points out, “human variation (e.g. race) is itself deployed in the construction of disabled identities for purely oppressive purposes (e.g. slavery, colonialism, immigration law, etc.)” combined with the deliberate deprivation and dearth of avenues of support and recapacitation, disability then becomes a commodity that functions for what Rey Chow calls “the ascendency of whiteness.”</w:t>
      </w:r>
      <w:r w:rsidRPr="00F46A22">
        <w:rPr>
          <w:sz w:val="16"/>
        </w:rPr>
        <w:t xml:space="preserve">8 </w:t>
      </w:r>
      <w:r w:rsidRPr="00554064">
        <w:rPr>
          <w:rStyle w:val="StyleUnderline"/>
        </w:rPr>
        <w:t>That is not to claim that all uses of the category of disability are a capacitation of (not always literal) whiteness, but rather to note the explicit instances in which disability is biopolitically mobilized in the service of white supremacy, liberal racism, and nationalist projects of modernity. These Möbius strip–like enfoldings and divisions are modulated through global north/south and developed/ developing demarcations, whereby the global north holds the key to the liberalization of disability while the global south bears the brunt of its weaponization. They are also temporally demarcated through positing a eugenics-oriented past against a contemporary biopolitical incorporative mechanism of inclusion, which then creates a temporal drag of racialization between discipline and control. These divisions can be blurry, shifting, and unstable; they are folds, folding in and out, of the mechanism of biopolitical population racism.</w:t>
      </w:r>
      <w:r>
        <w:rPr>
          <w:rStyle w:val="StyleUnderline"/>
        </w:rPr>
        <w:t xml:space="preserve"> </w:t>
      </w:r>
      <w:r w:rsidRPr="00554064">
        <w:rPr>
          <w:rStyle w:val="StyleUnderline"/>
        </w:rPr>
        <w:t>The biopolitical distribution between disability as an exceptional accident or misfortune, and the proliferation of debilitation as war, as imperialism, as durational death, is largely maintained through disability rights frameworks.</w:t>
      </w:r>
      <w:r w:rsidRPr="00F46A22">
        <w:rPr>
          <w:sz w:val="16"/>
        </w:rPr>
        <w:t xml:space="preserve"> The liberalization of injury entails that disability created through imperial war is further depoliticized through frameworks that “include” disability “in other locations,” usually national locations, a problem already foregrounded by many critiques of disability models of inclusion.9 Efforts to diversify disability studies have resulted not only in welcoming people of color with disabilities into the field but also in theorizing racialization as a process of debilitation, of the mark of a defective body, of bodies that do not easily fall into either the non-disabled or the disabled body as the binary currently functions.10 How one comes to disability, whether it be through the exceptional accident—the loss of able-bodied whiteness, for example, the single-axis identity formation, the one thing that makes one different— or living racialization, and in fact racism as debilitation, profoundly shapes what disability is and what it can become. In turn, these distinctions drive political projects that are often divergent and in contradiction to one another.</w:t>
      </w:r>
    </w:p>
    <w:p xmlns:wp14="http://schemas.microsoft.com/office/word/2010/wordml" w:rsidR="00C84970" w:rsidP="00C84970" w:rsidRDefault="00C84970" w14:paraId="45906E2D" wp14:textId="77777777">
      <w:pPr>
        <w:pStyle w:val="Heading4"/>
      </w:pPr>
      <w:r>
        <w:t>K of ADA – disability rights politics fails – need to orient our politics against capitalism</w:t>
      </w:r>
    </w:p>
    <w:p xmlns:wp14="http://schemas.microsoft.com/office/word/2010/wordml" w:rsidRPr="001F3C7D" w:rsidR="00C84970" w:rsidP="00C84970" w:rsidRDefault="00C84970" w14:paraId="1D02EAD9" wp14:textId="77777777">
      <w:pPr>
        <w:rPr>
          <w:sz w:val="16"/>
        </w:rPr>
      </w:pPr>
      <w:r w:rsidRPr="005D76D0">
        <w:rPr>
          <w:rStyle w:val="Style13ptBold"/>
        </w:rPr>
        <w:t>Puar 18</w:t>
      </w:r>
      <w:r w:rsidRPr="001F3C7D">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74-6]</w:t>
      </w:r>
    </w:p>
    <w:p xmlns:wp14="http://schemas.microsoft.com/office/word/2010/wordml" w:rsidRPr="004B31D7" w:rsidR="00C84970" w:rsidP="00C84970" w:rsidRDefault="00C84970" w14:paraId="57788C6B" wp14:textId="77777777">
      <w:pPr>
        <w:rPr>
          <w:sz w:val="16"/>
        </w:rPr>
      </w:pPr>
      <w:r w:rsidRPr="004B31D7">
        <w:rPr>
          <w:sz w:val="16"/>
        </w:rPr>
        <w:t xml:space="preserve">One potential relation between the biopolitics of disability and the biopolitics of debilitation is that, </w:t>
      </w:r>
      <w:r w:rsidRPr="00E70A15">
        <w:rPr>
          <w:rStyle w:val="StyleUnderline"/>
        </w:rPr>
        <w:t>ironically, the sublimation of debilitation underpins the emergence of the modern rights-bearing subject of disability.</w:t>
      </w:r>
      <w:r w:rsidRPr="004B31D7">
        <w:rPr>
          <w:sz w:val="16"/>
        </w:rPr>
        <w:t>33 How does this elision of warring and working through the conjuncture of disability take hold? While this assessment is by no means definitive</w:t>
      </w:r>
      <w:r w:rsidRPr="00E70A15">
        <w:rPr>
          <w:rStyle w:val="StyleUnderline"/>
        </w:rPr>
        <w:t xml:space="preserve">, the passage of the Americans with Disabilities Act (ada) of </w:t>
      </w:r>
      <w:r w:rsidRPr="00E70A15">
        <w:rPr>
          <w:rStyle w:val="StyleUnderline"/>
        </w:rPr>
        <w:lastRenderedPageBreak/>
        <w:t>1990 is part of the modulation of disability and debility.</w:t>
      </w:r>
      <w:r w:rsidRPr="004B31D7">
        <w:rPr>
          <w:sz w:val="16"/>
        </w:rPr>
        <w:t xml:space="preserve"> It is beyond the purview of this chapter to delve into the history of activist organizing and political struggle that led to the passage of the landmark legislation, much of it driven by post–World War II veterans and the plight of war debilitation.34 Nevertheless, it is important to state that </w:t>
      </w:r>
      <w:r w:rsidRPr="00E70A15">
        <w:rPr>
          <w:rStyle w:val="StyleUnderline"/>
        </w:rPr>
        <w:t>this legislation represents the most wide-sweeping civil rights platform in the United States for people with disabilities and has been replicated as a blueprint in many national locations and in more recent United Nations human rights declarations.</w:t>
      </w:r>
      <w:r w:rsidRPr="004B31D7">
        <w:rPr>
          <w:sz w:val="16"/>
        </w:rPr>
        <w:t xml:space="preserve">35 The ada was tasked with three major goals: “elimination of arbitrary barriers faced by disabled persons; an end to the inequality of opportunity; and a reduction in unnecessary dependency and unrealized productivity.”36 A prime desired outcome, as signaled by the third goal, was the reduction of the unemployment of people with disabilities. </w:t>
      </w:r>
      <w:r w:rsidRPr="00E70A15">
        <w:rPr>
          <w:rStyle w:val="StyleUnderline"/>
        </w:rPr>
        <w:t>As many have noted, however, the ada failed in this regard, with no major shift in the widespread incorporation of people with disabilities into multiple vectors of the U.S. workforce.37 For example, Marta Russell and Jean Stewart claimed that in 2000, ten years after the passage of the ada, the unemployment rate of people with disabilities had not changed from 65–71 percent: “This appalling figure remains steadfast despite a growing U.S. economy, a low aggregate national official unemployment rate (4.2 percent), advances in technology which have expanded the range of jobs disabled workers can perform, and a poll showing that over 70 percent of working-age disabled persons say they would prefer to have a job.”38</w:t>
      </w:r>
      <w:r>
        <w:rPr>
          <w:rStyle w:val="StyleUnderline"/>
        </w:rPr>
        <w:t xml:space="preserve"> </w:t>
      </w:r>
      <w:r w:rsidRPr="00E70A15">
        <w:rPr>
          <w:rStyle w:val="StyleUnderline"/>
        </w:rPr>
        <w:t xml:space="preserve">In the more than twenty-five years since the passage and implementation of the ada, it has become evident that one of its shortcomings is that it uses capitalist logic to solve a problem largely created by capitalism. It mistakes the demands for greater incorporation into economic circuits of productivity as a tacit acceptance of current structures of laboring and workplace conditions, and transposes and thus dilutes a systemic critique of structures of employment into a liberal identity politics focused on inclusion and recognition. It ironically desires assimilation of people with disabilities into some of the very structures that debilitated them initially: potentially hazardous working conditions, not the least of which includes work in the military.39 The ada does not so much challenge prevalent constructions of the organization of labor that might be debilitating as it minoritizes the otherwise inadequate labor contributions of bodies deemed disabled by insisting on their incorporation into work spaces </w:t>
      </w:r>
      <w:r w:rsidRPr="004B31D7">
        <w:rPr>
          <w:sz w:val="16"/>
        </w:rPr>
        <w:t xml:space="preserve">that are modified especially for them. </w:t>
      </w:r>
      <w:r w:rsidRPr="00E70A15">
        <w:rPr>
          <w:rStyle w:val="StyleUnderline"/>
        </w:rPr>
        <w:t>The changes are to access to workplaces but not to workplaces in general, treating disability as another hindrance to social mobility that must be resolved, rather than a facet of life that might tell us something about failures of how time and labor and space are organized. Further, it should be noted that the ada does not address the practices of debilitation manifested by U.S. policy elsewhere.</w:t>
      </w:r>
      <w:r w:rsidRPr="004B31D7">
        <w:rPr>
          <w:sz w:val="16"/>
        </w:rPr>
        <w:t xml:space="preserve"> The convergence of the passage of the ada and the beginning of the first Gulf War in 1991 surely merits deeper consideration.40 The ada is in part the victory of the long-term activist efforts of war-injured veterans, only to be followed by more warring activities that debilitate populations of the U.S. military as well as civilians in Iraq. </w:t>
      </w:r>
      <w:r w:rsidRPr="003462AF">
        <w:rPr>
          <w:rStyle w:val="StyleUnderline"/>
        </w:rPr>
        <w:t>Countering accommodationist models, Marta Russell and Ravi Malhotra argue for an understanding of disability grounded in anticapitalist critique rather than in liberal models of recognition, rights, tolerance, and acceptance.</w:t>
      </w:r>
      <w:r w:rsidRPr="004B31D7">
        <w:rPr>
          <w:sz w:val="16"/>
        </w:rPr>
        <w:t xml:space="preserve"> Noting that the “ ‘minority’ model of disability . . . views it as the product of a disabling social and architectural environment,” they write: “In contrast, we take the view that </w:t>
      </w:r>
      <w:r w:rsidRPr="003462AF">
        <w:rPr>
          <w:rStyle w:val="StyleUnderline"/>
        </w:rPr>
        <w:t>disability is a socially-created category derived from labour relations, a product of the exploitative economic structure of capitalist society: one which creates (and then oppresses) the so-called ‘disabled’ body as one of the conditions that allow the capitalist class to accumulate wealth. Seen in this light, disability is an aspect of the central contradiction of capitalism.”</w:t>
      </w:r>
      <w:r w:rsidRPr="004B31D7">
        <w:rPr>
          <w:sz w:val="16"/>
        </w:rPr>
        <w:t>41</w:t>
      </w:r>
    </w:p>
    <w:p xmlns:wp14="http://schemas.microsoft.com/office/word/2010/wordml" w:rsidRPr="00C2398C" w:rsidR="00C84970" w:rsidP="00C84970" w:rsidRDefault="00C84970" w14:paraId="7199C4E3" wp14:textId="77777777">
      <w:pPr>
        <w:pStyle w:val="Heading4"/>
        <w:rPr>
          <w:rFonts w:cs="Arial"/>
        </w:rPr>
      </w:pPr>
      <w:r w:rsidRPr="00C2398C">
        <w:rPr>
          <w:rFonts w:cs="Arial"/>
        </w:rPr>
        <w:lastRenderedPageBreak/>
        <w:t>Disability reform exists in a constant antagonism of what is and what is not allowed to be included based on their ability to be incorporated into neoliberal futurity--- minor improvements for people with disabilities become celebratory moments that allow for the further exclusion of the majority of people with disabilities.</w:t>
      </w:r>
    </w:p>
    <w:p xmlns:wp14="http://schemas.microsoft.com/office/word/2010/wordml" w:rsidRPr="00C2398C" w:rsidR="00C84970" w:rsidP="00C84970" w:rsidRDefault="00C84970" w14:paraId="11090B30" wp14:textId="77777777">
      <w:pPr>
        <w:rPr>
          <w:sz w:val="16"/>
        </w:rPr>
      </w:pPr>
      <w:r w:rsidRPr="00C2398C">
        <w:rPr>
          <w:rStyle w:val="Style13ptBold"/>
        </w:rPr>
        <w:t xml:space="preserve">Puar 17 </w:t>
      </w:r>
      <w:r w:rsidRPr="00C2398C">
        <w:rPr>
          <w:sz w:val="16"/>
        </w:rPr>
        <w:t>[Jasbir K., Associate Professor of Women’s and Gender Studies @ Rutgers University, received Ph.D in Ethnic Studies from the University of California Berkeley and M.A. in  Women’s Studies from the University of York, England. The Right to Maim: Debility, Capacity, Disability. October 2017] Lhudson</w:t>
      </w:r>
    </w:p>
    <w:p xmlns:wp14="http://schemas.microsoft.com/office/word/2010/wordml" w:rsidRPr="00C2398C" w:rsidR="00C84970" w:rsidP="00C84970" w:rsidRDefault="00C84970" w14:paraId="2317C627" wp14:textId="77777777">
      <w:pPr>
        <w:rPr>
          <w:sz w:val="14"/>
        </w:rPr>
      </w:pPr>
      <w:r w:rsidRPr="00C2398C">
        <w:rPr>
          <w:sz w:val="14"/>
        </w:rPr>
        <w:t xml:space="preserve">Savage has also mastered, if we follow S. Lochlann Jain on the “politics of sympathy,” the technique of converting his injury into cultural capital not only through rhetorics of blame, guilt, and suffering but also through those of triumph, transgression, and success.34 </w:t>
      </w:r>
      <w:r w:rsidRPr="00C2398C">
        <w:rPr>
          <w:rStyle w:val="StyleUnderline"/>
        </w:rPr>
        <w:t>The subject of redress and grievance thus functions here as a recapacitation of a debilitated body</w:t>
      </w:r>
      <w:r w:rsidRPr="00C2398C">
        <w:rPr>
          <w:sz w:val="14"/>
        </w:rPr>
        <w:t>. The preceding sections recast the white queer/immigrant homophobe binary by distilling the event of queer suicide through ecologies of sensation, technics, and affect. Here I want to further shift the registers of this conversation from one about the pathologization versus normativization of sexual identity, to questions of bodily debility, capacity, disability. This is not at all to dismiss these queer suicides as privileged forms of death. I want to emphasize this: I am not making a critique about relative intersectional privilege. Rather, I am probing what kinds of slow deaths have been ongoing that a suicide might represent an escape from. In order to “slow down” the act of suicide—to offer a concomitant yet dif</w:t>
      </w:r>
      <w:r w:rsidRPr="00C2398C">
        <w:rPr>
          <w:sz w:val="14"/>
        </w:rPr>
        <w:softHyphen/>
        <w:t xml:space="preserve">ferent temporality of relating to living and dying—one must slow down the speed of encounter, as speed itself might be understood as debilitating. These temporalities of speed and slowness are thus convivial, not antagonistic. Berlant’s piece on slow death discusses the most prevalent health problem in the United States, that of obesity.35 I cannot do her formulation of temporality and living adequate justice here, but I would like to highlight the following aspects of her argument that I find compatible to—indeed generative for—my own thinking. Berlant moves us away from the event of trauma or catastrophe, proposing that “slow death occupies the temporalities of the endemic.”36 This echoes the transformation of the epidemic into the endemic whereby, for Michel Foucault, writing in Security, Territory, Population, “death becomes durational.”37 Displacing military encounters, genocides, and other discrete time frames of traumatic events (though later in this book I contest the formulation of these happenings as discrete), slow death occurs not within the time scale of the crisis, not of the event of the suicide or the epidemic, but in “a zone of temporality . . . of ongoingness, getting by, and living on, where the structural inequalities are dispersed, the pacing of their experience intermittent, often in phenomena not prone to capture by a consciousness organized by archives of memorable impact.”38 In this nonlinear temporality, for it starts and stops, redoubles and leaps ahead, </w:t>
      </w:r>
      <w:r w:rsidRPr="00C2398C">
        <w:rPr>
          <w:rStyle w:val="StyleUnderline"/>
        </w:rPr>
        <w:t>Berlant is not “defining a group of individuals merely afflicted with the same ailment, [rather] slow death describes populations marked out for wearing out</w:t>
      </w:r>
      <w:r w:rsidRPr="00C2398C">
        <w:rPr>
          <w:sz w:val="14"/>
        </w:rPr>
        <w:t xml:space="preserve">.”39 That is to say, </w:t>
      </w:r>
      <w:r w:rsidRPr="00C2398C">
        <w:rPr>
          <w:rStyle w:val="StyleUnderline"/>
        </w:rPr>
        <w:t>slow death is not about an orientation toward the death drive, nor is it morbid; rather, it is about the maintenance of living, the “ordinary work of living on</w:t>
      </w:r>
      <w:r w:rsidRPr="00C2398C">
        <w:rPr>
          <w:sz w:val="14"/>
        </w:rPr>
        <w:t xml:space="preserve">.”40 Slow death is, quite simply, “a condition of being worn out by the activity of reproducing life.”41 As Berlant notes, </w:t>
      </w:r>
      <w:r w:rsidRPr="00C2398C">
        <w:rPr>
          <w:rStyle w:val="StyleUnderline"/>
        </w:rPr>
        <w:t>this puts living and dying into a specific zone of proximity and precarity: “While death is usually deemed an event in contrast to life’s ‘extensivity,’ in this domain dying and the ordinary reproduction of life are coextensive.</w:t>
      </w:r>
      <w:r w:rsidRPr="00C2398C">
        <w:rPr>
          <w:sz w:val="14"/>
        </w:rPr>
        <w:t xml:space="preserve">”42 Queer suicide, in the context of slow death mediated by technocultural ecologies of sensation, reorganizes what is thought of as the event, distills the experience of trauma, and requires a turn to debility, capacity, and disability, concepts that give us alternative temporal frames for imagining the body in processes of de- and regeneration. David Mitchell’s moving invocation of disability “not as exception, but the basis upon which a decent and just social order is founded,” hinges upon a society that acknowledges, accepts, and even anticipates disability.43 This anticipatory disability has been the dominant temporal frame of disability rights activism—“you’re only able-bodied until you’re disabled,” or “temporarily able-bodied.” This statement is mobilized to defuse ableist fantasies of endless capacity, to challenge the presentation of life as an unlimited resource, and to collectivize a rights-based politics of disability. Disability is posited as the most common identity category because “we” will all belong to it “someday, if we live long enough.” Despite this purportedly inevitable communal fate, David Mitchell and Sharon Snyder argue that </w:t>
      </w:r>
      <w:r w:rsidRPr="00C2398C">
        <w:rPr>
          <w:rStyle w:val="StyleUnderline"/>
          <w:highlight w:val="yellow"/>
        </w:rPr>
        <w:t>disability is “reified as the true site of insufficiency</w:t>
      </w:r>
      <w:r w:rsidRPr="00C2398C">
        <w:rPr>
          <w:sz w:val="14"/>
        </w:rPr>
        <w:t xml:space="preserve">.”44 But </w:t>
      </w:r>
      <w:r w:rsidRPr="00C2398C">
        <w:rPr>
          <w:rStyle w:val="StyleUnderline"/>
        </w:rPr>
        <w:t xml:space="preserve">Berlant’s formulation of slow death implies that </w:t>
      </w:r>
      <w:r w:rsidRPr="00C2398C">
        <w:rPr>
          <w:rStyle w:val="StyleUnderline"/>
          <w:highlight w:val="yellow"/>
        </w:rPr>
        <w:t>we might not (only) be haunted by the disability to come, but also disavowing the debility that is already</w:t>
      </w:r>
      <w:r w:rsidRPr="00C2398C">
        <w:rPr>
          <w:rStyle w:val="StyleUnderline"/>
        </w:rPr>
        <w:t xml:space="preserve"> </w:t>
      </w:r>
      <w:r w:rsidRPr="00C2398C">
        <w:rPr>
          <w:rStyle w:val="StyleUnderline"/>
          <w:highlight w:val="yellow"/>
        </w:rPr>
        <w:t>here</w:t>
      </w:r>
      <w:r w:rsidRPr="00C2398C">
        <w:rPr>
          <w:sz w:val="14"/>
        </w:rPr>
        <w:t xml:space="preserve">. More trenchantly, </w:t>
      </w:r>
      <w:r w:rsidRPr="00C2398C">
        <w:rPr>
          <w:rStyle w:val="StyleUnderline"/>
          <w:highlight w:val="yellow"/>
        </w:rPr>
        <w:t>some are living the disability that does not get</w:t>
      </w:r>
      <w:r w:rsidRPr="00C2398C">
        <w:rPr>
          <w:rStyle w:val="StyleUnderline"/>
        </w:rPr>
        <w:t xml:space="preserve"> codified or </w:t>
      </w:r>
      <w:r w:rsidRPr="00C2398C">
        <w:rPr>
          <w:rStyle w:val="StyleUnderline"/>
          <w:highlight w:val="yellow"/>
        </w:rPr>
        <w:t>recognized as such</w:t>
      </w:r>
      <w:r w:rsidRPr="00C2398C">
        <w:rPr>
          <w:sz w:val="14"/>
        </w:rPr>
        <w:t xml:space="preserve">, </w:t>
      </w:r>
      <w:r w:rsidRPr="00C2398C">
        <w:rPr>
          <w:rStyle w:val="StyleUnderline"/>
        </w:rPr>
        <w:t>not only as a true site of insufficiency but as a mark</w:t>
      </w:r>
      <w:r w:rsidRPr="00C2398C">
        <w:rPr>
          <w:sz w:val="14"/>
        </w:rPr>
        <w:t xml:space="preserve"> or remainder or reminder </w:t>
      </w:r>
      <w:r w:rsidRPr="00C2398C">
        <w:rPr>
          <w:rStyle w:val="StyleUnderline"/>
        </w:rPr>
        <w:t>of that which is already constituted as insufficient</w:t>
      </w:r>
      <w:r w:rsidRPr="00C2398C">
        <w:rPr>
          <w:sz w:val="14"/>
        </w:rPr>
        <w:t xml:space="preserve">. There are two different progressive forms of temporality that are upended here. One, slow death neutralizes the descriptor “better” in “It Gets Better,” proposing that the pathways to getting better are limned with precarity. Two, “We will all be disabled one day, if we live long enough”—the disability to come—is already built on an entitled hope and expectation for a certain longevity. Berlant argues that “health itself can then be seen as a side effect of successful normativity.”45 Therefore, in order to honor the complexity of these suicides, they must be placed within the broader context of neoliberal demands for bodily capacity (what are often constituted as neoliberal “opportunities” or “choices” for the body) as well as the profitability of debility, both functioning as central routes through which finance capital seeks to sustain itself. Capacity and debility are, on the one hand, seeming opposites generated by increasingly demanding neoliberal formulations of health, agency, and choice—what I call a liberal eugenics of lifestyle programming—that produce, along with biotechnologies and bioinformatics, population aggregates. Those “folded” into life are seen as more capacious or on the side of capacity, while those targeted for premature or slow death are figured as on the side of debility. Such an analysis reposes the question: Which bodies are made to pay for “progress”? Which debilitated bodies can be reinvigorated for neoliberalism, available and valuable enough for rehabilitation, and which cannot be? In this regard, Savage’s project refigures queers, along with other bodies heretofore construed as excessive and/or erroneous, as capacity-laden, demanding that queerness operates as a machine of capacity.46 Even though poststructuralist queer theory critically deploys registers of negativity (and increasingly negative affect) in reading practices primarily </w:t>
      </w:r>
      <w:r w:rsidRPr="00C2398C">
        <w:rPr>
          <w:sz w:val="14"/>
        </w:rPr>
        <w:lastRenderedPageBreak/>
        <w:t xml:space="preserve">deconstructive in their orientation, such a figuration of queer theory has emerged from a homeostatic framework: </w:t>
      </w:r>
      <w:r w:rsidRPr="00C2398C">
        <w:rPr>
          <w:rStyle w:val="StyleUnderline"/>
        </w:rPr>
        <w:t>queer theory is already also a machine of capacity in and after the cybernetic turn</w:t>
      </w:r>
      <w:r w:rsidRPr="00C2398C">
        <w:rPr>
          <w:sz w:val="14"/>
        </w:rPr>
        <w:t xml:space="preserve">. (This is important because what is being hailed as the antisocial turn in queer theory and its opposite, a focus on hope, optimism, and utopia, are rebounding within a dialectic that misses the implication of the capacity machine that is queer theory).47 Furthermore, bioinformatic frames—in which bodies figure not as identities or subjects but as data—entail that there is no such thing as nonproductive excess but only emergent forms of new information.48 This revaluing of excess is potent because, simply put, </w:t>
      </w:r>
      <w:r w:rsidRPr="00C2398C">
        <w:rPr>
          <w:rStyle w:val="StyleUnderline"/>
          <w:highlight w:val="yellow"/>
        </w:rPr>
        <w:t>debility is profitable for capitalism</w:t>
      </w:r>
      <w:r w:rsidRPr="00C2398C">
        <w:rPr>
          <w:sz w:val="14"/>
        </w:rPr>
        <w:t>. In neoliberal, biomedical, and biotechnological terms</w:t>
      </w:r>
      <w:r w:rsidRPr="00C2398C">
        <w:rPr>
          <w:rStyle w:val="StyleUnderline"/>
        </w:rPr>
        <w:t xml:space="preserve">, </w:t>
      </w:r>
      <w:r w:rsidRPr="00C2398C">
        <w:rPr>
          <w:rStyle w:val="StyleUnderline"/>
          <w:highlight w:val="yellow"/>
        </w:rPr>
        <w:t>the body is always debilitated in relation to its ever-expanding potentiality</w:t>
      </w:r>
      <w:r w:rsidRPr="00C2398C">
        <w:rPr>
          <w:sz w:val="14"/>
        </w:rPr>
        <w:t xml:space="preserve">. This is precisely what Foucault presciently outlined in his 1978–79 lectures, now translated into English as The Birth of Biopolitics. Foucault writes that the “theory of human capital”49—a breakdown of labor into capital and income that builds on the Marxian conception of labor power—is one of “capital ability” where “the worker himself appears as a sort of enterprise for himself.”50 This formulation of human capital Foucault calls an “abilities machine”: “being for himself, his own capital, being for himself his own producer, being for himself, the source of (his) earnings.”51 He continues: “The wage is nothing other than the remuneration, the income allowed to a certain capital, a capital we will call human capital inasmuch as the ability-machine of which it is the income cannot be separated from the human individual who is its bearer.”52 What composes the assemblage of the abilities machine? With a brief nod to hereditary differences, Foucault turns to educational investments, quality of parenting, affective attention, mobility, migration, health care, public hygiene, and any number of related elements that create a “whole environmental analysis.”53 Here in Foucault are the eerie echoes of Dan Savage’s exhortations to live in “It Gets Better.” The body as an ability-machine takes its place among other forms of for-profit capital. One might wonder, given Foucault’s formulation, what body is not an ability-machine? Or, more succinctly, what body is not striving toward becoming an ability-machine? Margrit Shildrick writes, “The binary of disabled and non-disabled undoubtedly lingers . . . but it is increasingly destabilized by the intimation that all forms of embodiment are subject to reconstruction, extension, and transformation, regardless of the conventionally identified vectors of change and decay.”54 Even as the demands of able-body-ism weigh heavily and have been challenged by disability scholars and activists, attachments to the difference of disabled bodies may reify an (human) exceptionalism that only certain privileged disabled bodies can occupy.55 Efforts to “diversify” and multiply the subjects of study of disability have led to an impasse as the notion of the subject itself is already revealed to be a disciplinary construct of ableism, especially in the realm of cognition, agency, and “voice”—all challenges to any political platform that is fueled predominantly through representational mandates. Nicole Markotic and Robert McRuer caution against what they term “disability culturalism”—a dominant focus on representational politics—along with variants of “barbarism” and “crip nationalism” that reinscribe the centrality of prevailing discourses on race, national identity, gender, and region, producing privileged disabled bodies in distinction to various “others.” In sum, the particular binary categorization of dis/abled subjectivity is one that has many parallels to as well as intersects with other kinds of binary categorizations propagated—in fact, demanded—by neoliberal constructions of failed and capacitated bodies. Therefore, we cannot see this binary production as specific only to the distinction of disabled versus non-disabled subjects— all bodies are being evaluated in relation to their success or failure in terms of health, wealth, progressive productivity, upward mobility, enhanced capacity. And, there is no such thing as an “adequately abled” body anymore. How does the study of capacity and debility complicate the terms of disability rights paradigms? </w:t>
      </w:r>
      <w:r w:rsidRPr="00C2398C">
        <w:rPr>
          <w:rStyle w:val="StyleUnderline"/>
          <w:highlight w:val="yellow"/>
        </w:rPr>
        <w:t>While the disability rights movement</w:t>
      </w:r>
      <w:r w:rsidRPr="00C2398C">
        <w:rPr>
          <w:sz w:val="14"/>
        </w:rPr>
        <w:t xml:space="preserve"> in large part </w:t>
      </w:r>
      <w:r w:rsidRPr="00C2398C">
        <w:rPr>
          <w:rStyle w:val="StyleUnderline"/>
          <w:highlight w:val="yellow"/>
        </w:rPr>
        <w:t>understands disability as a form of nonnormativity that deserves to be depathologized, disability justice activists seek to move beyond access issues foregrounded by the A</w:t>
      </w:r>
      <w:r w:rsidRPr="00C2398C">
        <w:rPr>
          <w:sz w:val="14"/>
        </w:rPr>
        <w:t xml:space="preserve">mericans with </w:t>
      </w:r>
      <w:r w:rsidRPr="00C2398C">
        <w:rPr>
          <w:rStyle w:val="StyleUnderline"/>
          <w:highlight w:val="yellow"/>
        </w:rPr>
        <w:t>D</w:t>
      </w:r>
      <w:r w:rsidRPr="00C2398C">
        <w:rPr>
          <w:sz w:val="14"/>
        </w:rPr>
        <w:t xml:space="preserve">isabilities </w:t>
      </w:r>
      <w:r w:rsidRPr="00C2398C">
        <w:rPr>
          <w:rStyle w:val="StyleUnderline"/>
          <w:highlight w:val="yellow"/>
        </w:rPr>
        <w:t>A</w:t>
      </w:r>
      <w:r w:rsidRPr="00C2398C">
        <w:rPr>
          <w:sz w:val="14"/>
        </w:rPr>
        <w:t xml:space="preserve">ct </w:t>
      </w:r>
      <w:r w:rsidRPr="00C2398C">
        <w:rPr>
          <w:rStyle w:val="StyleUnderline"/>
          <w:highlight w:val="yellow"/>
        </w:rPr>
        <w:t>as well as global human rights frames that standardize definitions of disability</w:t>
      </w:r>
      <w:r w:rsidRPr="00C2398C">
        <w:rPr>
          <w:rStyle w:val="StyleUnderline"/>
        </w:rPr>
        <w:t xml:space="preserve"> and the terms of their legal redress across national locations</w:t>
      </w:r>
      <w:r w:rsidRPr="00C2398C">
        <w:rPr>
          <w:sz w:val="14"/>
        </w:rPr>
        <w:t xml:space="preserve">. </w:t>
      </w:r>
      <w:r w:rsidRPr="00C2398C">
        <w:rPr>
          <w:rStyle w:val="StyleUnderline"/>
          <w:highlight w:val="yellow"/>
        </w:rPr>
        <w:t>Rights discourses produce human beings in order to give them rights</w:t>
      </w:r>
      <w:r w:rsidRPr="00C2398C">
        <w:rPr>
          <w:sz w:val="14"/>
        </w:rPr>
        <w:t xml:space="preserve">; they discriminate which bodies are vested with futurity, or more accurately, </w:t>
      </w:r>
      <w:r w:rsidRPr="00C2398C">
        <w:rPr>
          <w:rStyle w:val="StyleUnderline"/>
          <w:highlight w:val="yellow"/>
        </w:rPr>
        <w:t>they cultivate</w:t>
      </w:r>
      <w:r w:rsidRPr="00C2398C">
        <w:rPr>
          <w:sz w:val="14"/>
        </w:rPr>
        <w:t xml:space="preserve"> (some/ certain) </w:t>
      </w:r>
      <w:r w:rsidRPr="00C2398C">
        <w:rPr>
          <w:rStyle w:val="StyleUnderline"/>
          <w:highlight w:val="yellow"/>
        </w:rPr>
        <w:t>bodies that can be vested with futurity</w:t>
      </w:r>
      <w:r w:rsidRPr="00C2398C">
        <w:rPr>
          <w:sz w:val="14"/>
        </w:rPr>
        <w:t xml:space="preserve">. Critiquing the disability rights movement, disability justice activist Mia Mingus, who identifies as a “queer, physically disabled Korean woman transracial and transnational adoptee,” writes: “Most access right now is about inclusion and equality: how do we bring disabled people to our table? How do we make sure disabled people have access to what we have? How do we get disabled people access to the current system? Rather than thinking that the entire ‘table’ or ‘system’ might need to change or working to embrace difference. Justice does not have to equal sameness or assimilation; and justice and equality are not the same thing.”56 Mingus highlights populations (institutionalized, incarcerated, racialized) for whom claiming the term and identity of disability is difficult given many are already stigmatized as nonnormative, and deemed in need of fixing, by the medical-industrial complex. Claiming that the “disabled people who identify as ‘(politically) disabled’ are often white disabled people,” Mingus continues: “Over and over I meet disabled women of color who do not identify as disabled, even though they have the lived reality of being disabled. And this is for many complicated reasons around race, ability, gender, access. . . . It can be very dangerous to identify as disabled when your survival depends on you denying it.”57 </w:t>
      </w:r>
    </w:p>
    <w:p xmlns:wp14="http://schemas.microsoft.com/office/word/2010/wordml" w:rsidRPr="00D742F1" w:rsidR="00C84970" w:rsidP="00C84970" w:rsidRDefault="00C84970" w14:paraId="2BA226A1" wp14:textId="77777777"/>
    <w:p xmlns:wp14="http://schemas.microsoft.com/office/word/2010/wordml" w:rsidRPr="001641E7" w:rsidR="001860AB" w:rsidP="00DA28FA" w:rsidRDefault="001860AB" w14:paraId="7A9A3060" wp14:textId="77777777">
      <w:pPr>
        <w:pStyle w:val="Heading3"/>
      </w:pPr>
      <w:r w:rsidRPr="001641E7">
        <w:lastRenderedPageBreak/>
        <w:t>Sentimentality</w:t>
      </w:r>
      <w:r>
        <w:t xml:space="preserve"> K</w:t>
      </w:r>
    </w:p>
    <w:p xmlns:wp14="http://schemas.microsoft.com/office/word/2010/wordml" w:rsidRPr="001641E7" w:rsidR="001860AB" w:rsidP="001860AB" w:rsidRDefault="001860AB" w14:paraId="118B08A1" wp14:textId="77777777">
      <w:pPr>
        <w:pStyle w:val="Heading4"/>
        <w:rPr>
          <w:rFonts w:cs="Arial"/>
        </w:rPr>
      </w:pPr>
      <w:r w:rsidRPr="001641E7">
        <w:rPr>
          <w:rFonts w:cs="Arial"/>
        </w:rPr>
        <w:t>Toxic worlding challenges the promise of a neoliberal utopia by reorienting intimacy away from the traumatic toward intimacies and publics that are not bounded or determinable</w:t>
      </w:r>
    </w:p>
    <w:p xmlns:wp14="http://schemas.microsoft.com/office/word/2010/wordml" w:rsidRPr="001641E7" w:rsidR="001860AB" w:rsidP="001860AB" w:rsidRDefault="001860AB" w14:paraId="774F4A5D" wp14:textId="77777777">
      <w:r w:rsidRPr="001641E7">
        <w:rPr>
          <w:rStyle w:val="Style13ptBold"/>
        </w:rPr>
        <w:t>Chen 12</w:t>
      </w:r>
      <w:r w:rsidRPr="001641E7">
        <w:t xml:space="preserve"> [Mel, Assoc. Prof. Gender and Women’s Studies and Vice Chair for Research, Dir. of the Center for the Study of Sexual Culture @ UC Berkeley, Animacies: Biopolitical Racial Mattering and Queer Affect, pp. 196-7]</w:t>
      </w:r>
    </w:p>
    <w:p xmlns:wp14="http://schemas.microsoft.com/office/word/2010/wordml" w:rsidR="001860AB" w:rsidP="001860AB" w:rsidRDefault="001860AB" w14:paraId="00831A44" wp14:textId="77777777">
      <w:pPr>
        <w:rPr>
          <w:sz w:val="10"/>
        </w:rPr>
      </w:pPr>
      <w:r w:rsidRPr="001641E7">
        <w:rPr>
          <w:sz w:val="10"/>
        </w:rPr>
        <w:t xml:space="preserve">Recall that matters of life and death have arguably underlain queer theory from the early 1990s, when radical queer activism in relation to aids blended saliently with academic theorizing on politics of gender and sexuality. More recently, Lee Edelman takes up a psychoanalytic analysis of queerness’s figural deathly assignment in relation to a relentless “reproductive futurism.”20 Jasbir Puar points to life and death economies that place some queer subjects in the privileged realm of a biopolitically “optimized life,” while other perverse subjects are consigned to the realm of death, as a “result of the successes of queer incorporation into the domains of consumer markets and social recognition in the post–civil rights, late twentieth century.”21 Similar affective pulses of surging lifeliness or morbid resignation might reflect the legacy of the deathly impact of aids in queer scholarship. Suggesting </w:t>
      </w:r>
      <w:r w:rsidRPr="001641E7">
        <w:rPr>
          <w:rStyle w:val="StyleUnderline"/>
        </w:rPr>
        <w:t>a “horizonal” imagining whose terms are pointedly not foretold by a pragmatic limitation on the present</w:t>
      </w:r>
      <w:r w:rsidRPr="001641E7">
        <w:rPr>
          <w:sz w:val="10"/>
        </w:rPr>
        <w:t xml:space="preserve">, José Esteban Muñoz in Cruising Utopia </w:t>
      </w:r>
      <w:r w:rsidRPr="001641E7">
        <w:rPr>
          <w:rStyle w:val="StyleUnderline"/>
        </w:rPr>
        <w:t>offers a way around the false promise of a neoliberal, homonormative utopia whose major concerns are limited to gay marriage and gay service in the military: lifely for a few, deathly for others.</w:t>
      </w:r>
      <w:r w:rsidRPr="001641E7">
        <w:rPr>
          <w:sz w:val="10"/>
        </w:rPr>
        <w:t xml:space="preserve">22 </w:t>
      </w:r>
      <w:r w:rsidRPr="001641E7">
        <w:rPr>
          <w:rStyle w:val="StyleUnderline"/>
        </w:rPr>
        <w:t>To enact a method</w:t>
      </w:r>
      <w:r w:rsidRPr="001641E7">
        <w:rPr>
          <w:sz w:val="10"/>
        </w:rPr>
        <w:t xml:space="preserve"> that prioritizes a queer reach </w:t>
      </w:r>
      <w:r w:rsidRPr="001641E7">
        <w:rPr>
          <w:rStyle w:val="StyleUnderline"/>
        </w:rPr>
        <w:t>for toxicity’s “worlding,”</w:t>
      </w:r>
      <w:r w:rsidRPr="001641E7">
        <w:rPr>
          <w:sz w:val="10"/>
        </w:rPr>
        <w:t xml:space="preserve"> I want to interleave considerations of toxicity and intoxication with a “toxic sensorium”: a sense memory of objects and affects that was my felt orientation to the world when I was recently categorized as “ill.” It seems never a simple matter to discuss toxicity, to objectify it. It is yet another matter to experience something that seems by one measure or another to be categorized as a toxin, to undergo intoxication, intoxification. This difference raises questions about toxic methodology, which in some way inherits anthropology’s question about what can be done to respond to crises of objectivity. While no simple solution exists, it is my interest to attenuate the exceptionalisms that attain all too easily in, for instance, the previous chapter’s assessment of lead toxicity’s discursive range: it is possible for a reader to comfortably reside in a certain sense of integral, nontoxic security in that analysis. To intensify toxicity’s intuitive reach, </w:t>
      </w:r>
      <w:r w:rsidRPr="001641E7">
        <w:rPr>
          <w:rStyle w:val="StyleUnderline"/>
        </w:rPr>
        <w:t>I engage toxicity as a condition</w:t>
      </w:r>
      <w:r w:rsidRPr="001641E7">
        <w:rPr>
          <w:sz w:val="10"/>
        </w:rPr>
        <w:t xml:space="preserve">, one </w:t>
      </w:r>
      <w:r w:rsidRPr="001641E7">
        <w:rPr>
          <w:rStyle w:val="StyleUnderline"/>
        </w:rPr>
        <w:t>that is too complex to imagine as a property of one or another individual or group or something that could itself be so easily bounded. I would like to deemphasize the borders of the immune system and its concomitant attachments to “life” and “death,” such that the immune system’s aim is to realize and protect life. How can we think more broadly about synthesis and symbiosis, including toxic vapors, interspersals, intrinsic mixings, and alterations, favoring interabsorption over corporeal exceptionalism? I will not address these questions from a point of view of mythic health. Rather, I will tell a tale from the perspective of the existence</w:t>
      </w:r>
      <w:r w:rsidRPr="001641E7">
        <w:rPr>
          <w:sz w:val="10"/>
        </w:rPr>
        <w:t xml:space="preserve"> that I have recently claimed, one that has been quite accurately </w:t>
      </w:r>
      <w:r w:rsidRPr="001641E7">
        <w:rPr>
          <w:rStyle w:val="StyleUnderline"/>
        </w:rPr>
        <w:t>considered “toxic.”</w:t>
      </w:r>
      <w:r w:rsidRPr="001641E7">
        <w:rPr>
          <w:sz w:val="10"/>
        </w:rPr>
        <w:t xml:space="preserve"> In other words, I move now from a theoretical discussion of metaphors about threat into what feels, for me personally, like riskier terrain, the terrain of the autobiographical. As academics are often trained to avoid writing in anything resembling a confessional mode, such a turn is fraught with ambivalence. I theorize toxicity as it has profoundly impacted my own health, my own queerness, and my own ability to forge bonds, and in so doing, I offer a means to reapproach questions of animacy with a different lens. This theorization through the “personal” is not intended as a perfect subjectivity that opposes an idealized objectivity. Rather, it is meant as a complementary kind of knowledge production, one that in this context invites both the sympathetic ingestion (or intoxication) of what remains a marked experience, and the empathetic memory of past association. It centers on a set of states and experiences that have been diagnosed as “multiple chemical sensitivity” and “heavy metal poisoning,” and can be used to think more deeply about this condition and what it offers to thinking about bodies and affect. As such, my repository of </w:t>
      </w:r>
      <w:r w:rsidRPr="001641E7">
        <w:rPr>
          <w:rStyle w:val="StyleUnderline"/>
        </w:rPr>
        <w:t>thoughts, experiences, and theorizations while ill</w:t>
      </w:r>
      <w:r w:rsidRPr="001641E7">
        <w:rPr>
          <w:sz w:val="10"/>
        </w:rPr>
        <w:t xml:space="preserve">—ones </w:t>
      </w:r>
      <w:r w:rsidRPr="001641E7">
        <w:rPr>
          <w:rStyle w:val="StyleUnderline"/>
        </w:rPr>
        <w:t>that queerly and profoundly changed my relationship to intimacy—could be considered a kind of “archive of feelings</w:t>
      </w:r>
      <w:r w:rsidRPr="001641E7">
        <w:rPr>
          <w:sz w:val="10"/>
        </w:rPr>
        <w:t xml:space="preserve">,” to use Ann Cvetkovich’s important terminology. 23 </w:t>
      </w:r>
      <w:r w:rsidRPr="001641E7">
        <w:rPr>
          <w:rStyle w:val="StyleUnderline"/>
        </w:rPr>
        <w:t>These are feelings that are neither exclusively traumatic, nor exclusively private, nor a social archive proper to certain groups: they are feelings whose publics and intimacies are not clearly bounded or determinable. Such feelings</w:t>
      </w:r>
      <w:r w:rsidRPr="001641E7">
        <w:rPr>
          <w:sz w:val="10"/>
        </w:rPr>
        <w:t>—</w:t>
      </w:r>
      <w:r w:rsidRPr="001641E7">
        <w:rPr>
          <w:rStyle w:val="StyleUnderline"/>
        </w:rPr>
        <w:t>and their intimacies</w:t>
      </w:r>
      <w:r w:rsidRPr="001641E7">
        <w:rPr>
          <w:sz w:val="10"/>
        </w:rPr>
        <w:t>—</w:t>
      </w:r>
      <w:r w:rsidRPr="001641E7">
        <w:rPr>
          <w:rStyle w:val="StyleUnderline"/>
        </w:rPr>
        <w:t>offer a way to come at normative affect’s margins. Where Lauren Berlant notes, of less institutionalized interactions, that “intimacy names the enigma of this range of attachments . . . and it poses a question of scale that links the instability of individual lives to the trajectories of the collective,” I mean to destabilize where the toxic and its affects can be located.</w:t>
      </w:r>
      <w:r w:rsidRPr="001641E7">
        <w:rPr>
          <w:sz w:val="10"/>
        </w:rPr>
        <w:t>24</w:t>
      </w:r>
    </w:p>
    <w:p xmlns:wp14="http://schemas.microsoft.com/office/word/2010/wordml" w:rsidRPr="00C2398C" w:rsidR="001860AB" w:rsidP="001860AB" w:rsidRDefault="001860AB" w14:paraId="32F4ED28" wp14:textId="77777777">
      <w:pPr>
        <w:pStyle w:val="Heading4"/>
        <w:rPr>
          <w:rFonts w:cs="Arial"/>
        </w:rPr>
      </w:pPr>
      <w:r>
        <w:rPr>
          <w:rFonts w:cs="Arial"/>
        </w:rPr>
        <w:t>Focusing on suffering in the context of the aff is a good political strategy to challenge neoliberal capacitation and debilitation</w:t>
      </w:r>
    </w:p>
    <w:p xmlns:wp14="http://schemas.microsoft.com/office/word/2010/wordml" w:rsidRPr="00C2398C" w:rsidR="001860AB" w:rsidP="001860AB" w:rsidRDefault="001860AB" w14:paraId="22666F5A" wp14:textId="77777777">
      <w:r w:rsidRPr="00415E97">
        <w:rPr>
          <w:rStyle w:val="Style13ptBold"/>
        </w:rPr>
        <w:t>Fritsch</w:t>
      </w:r>
      <w:r>
        <w:rPr>
          <w:rStyle w:val="Style13ptBold"/>
        </w:rPr>
        <w:t xml:space="preserve"> 16</w:t>
      </w:r>
      <w:r w:rsidRPr="00C2398C">
        <w:rPr>
          <w:b/>
        </w:rPr>
        <w:t xml:space="preserve"> </w:t>
      </w:r>
      <w:r w:rsidRPr="00C2398C">
        <w:t>(Kelly. Ph.D in Social and Political Thought from York University. Research fields include: Disability studies, feminist theory, queer, and accessibility. Feral Feminism U</w:t>
      </w:r>
      <w:r>
        <w:t>n</w:t>
      </w:r>
      <w:r w:rsidRPr="00C2398C">
        <w:t>timely Bodies: Futurity, Resistance, and non-normative embodiment: Cripping Neoliberal Futurity: Marking the Elsewhere and Elsewhen of Desiring Otherwise.) //ONW</w:t>
      </w:r>
    </w:p>
    <w:p xmlns:wp14="http://schemas.microsoft.com/office/word/2010/wordml" w:rsidRPr="00C2398C" w:rsidR="001860AB" w:rsidP="001860AB" w:rsidRDefault="001860AB" w14:paraId="6223C1F1" wp14:textId="77777777">
      <w:pPr>
        <w:rPr>
          <w:b/>
          <w:u w:val="single"/>
        </w:rPr>
      </w:pPr>
      <w:r w:rsidRPr="00C2398C">
        <w:rPr>
          <w:sz w:val="16"/>
        </w:rPr>
        <w:lastRenderedPageBreak/>
        <w:t xml:space="preserve">There are compelling reasons to follow Edelman towards negating the Child and the future when thinking through the forms of neoliberal futurity open to disability. Consider, for example, if embracing the withering of Paige opens possibilities that are not readily apparent when advocating for a future, especially a future that is entrenched in cure and enhancement? Is there a way to read Paige as failure, dysfunction, loss, tragedy, or suffering so as to avoid turning her into a form of difference that can be capacitated or simply left to wither? There are good reasons to embrace Paige’s suffering as a way of affirming that the tractable futures available to some disabled adults are not enough. </w:t>
      </w:r>
      <w:r w:rsidRPr="00C2398C">
        <w:rPr>
          <w:b/>
          <w:u w:val="single"/>
        </w:rPr>
        <w:t>Suffering can be mobilized</w:t>
      </w:r>
      <w:r w:rsidRPr="008D3941">
        <w:rPr>
          <w:rStyle w:val="StyleUnderline"/>
        </w:rPr>
        <w:t xml:space="preserve"> as a way </w:t>
      </w:r>
      <w:r w:rsidRPr="00C2398C">
        <w:rPr>
          <w:b/>
          <w:u w:val="single"/>
        </w:rPr>
        <w:t>to highlight the ways in which not all forms of disability can be easily accommodated or adapted by neoliberal forms of capacitation</w:t>
      </w:r>
      <w:r w:rsidRPr="008D3941">
        <w:rPr>
          <w:rStyle w:val="StyleUnderline"/>
        </w:rPr>
        <w:t xml:space="preserve">. </w:t>
      </w:r>
      <w:r w:rsidRPr="00C2398C">
        <w:rPr>
          <w:b/>
          <w:u w:val="single"/>
        </w:rPr>
        <w:t>Using suffering to draw attention to forms of withering</w:t>
      </w:r>
      <w:r w:rsidRPr="008D3941">
        <w:rPr>
          <w:rStyle w:val="StyleUnderline"/>
        </w:rPr>
        <w:t xml:space="preserve"> that some disabled people experience </w:t>
      </w:r>
      <w:r w:rsidRPr="00C2398C">
        <w:rPr>
          <w:b/>
          <w:u w:val="single"/>
        </w:rPr>
        <w:t>can be a helpful political strategy,</w:t>
      </w:r>
      <w:r w:rsidRPr="008D3941">
        <w:rPr>
          <w:rStyle w:val="StyleUnderline"/>
        </w:rPr>
        <w:t xml:space="preserve"> but must be used with caution given the historical mobilization of suffering as a way to mark disabled lives as those not worth living. </w:t>
      </w:r>
      <w:r w:rsidRPr="00C2398C">
        <w:rPr>
          <w:b/>
          <w:u w:val="single"/>
        </w:rPr>
        <w:t>A politics of suffering is one way to bridge queer and crip theory to highlight the differential ways in which not all disabled people suffer equally, thus exposing the structural forces at play in the capacitation and withering of disabled bodies. Some disabled people are capacitated in ways that are counterproductive to radically refiguring the world, whereas others are debilitated through violent processes that should not be celebrated</w:t>
      </w:r>
      <w:r w:rsidRPr="008D3941">
        <w:rPr>
          <w:rStyle w:val="StyleUnderline"/>
        </w:rPr>
        <w:t xml:space="preserve">. There is no one way to experience suffering, nor can we reduce or trivialize particular instances of suffering. </w:t>
      </w:r>
      <w:r w:rsidRPr="00C2398C">
        <w:rPr>
          <w:b/>
          <w:u w:val="single"/>
        </w:rPr>
        <w:t>Although it is not possible to entirely escape the frame in which disability-related suffering has been</w:t>
      </w:r>
      <w:r w:rsidRPr="008D3941">
        <w:rPr>
          <w:rStyle w:val="StyleUnderline"/>
        </w:rPr>
        <w:t xml:space="preserve"> historically </w:t>
      </w:r>
      <w:r w:rsidRPr="00C2398C">
        <w:rPr>
          <w:b/>
          <w:u w:val="single"/>
        </w:rPr>
        <w:t xml:space="preserve">shaped </w:t>
      </w:r>
      <w:r w:rsidRPr="008D3941">
        <w:rPr>
          <w:rStyle w:val="StyleUnderline"/>
        </w:rPr>
        <w:t xml:space="preserve">and mobilized to render lives as not worth living, </w:t>
      </w:r>
      <w:r w:rsidRPr="00C2398C">
        <w:rPr>
          <w:b/>
          <w:u w:val="single"/>
        </w:rPr>
        <w:t>shared social experiences of suffering can push us to think more critically about the ways in which suffering is mobilized and to whose benefit.</w:t>
      </w:r>
    </w:p>
    <w:p xmlns:wp14="http://schemas.microsoft.com/office/word/2010/wordml" w:rsidRPr="001641E7" w:rsidR="001860AB" w:rsidP="001860AB" w:rsidRDefault="001860AB" w14:paraId="17AD93B2" wp14:textId="77777777">
      <w:pPr>
        <w:rPr>
          <w:sz w:val="10"/>
        </w:rPr>
      </w:pPr>
    </w:p>
    <w:p xmlns:wp14="http://schemas.microsoft.com/office/word/2010/wordml" w:rsidRPr="001641E7" w:rsidR="001860AB" w:rsidP="001860AB" w:rsidRDefault="00DA28FA" w14:paraId="12EF01FD" wp14:textId="77777777">
      <w:pPr>
        <w:pStyle w:val="Heading3"/>
        <w:rPr>
          <w:rFonts w:cs="Arial"/>
        </w:rPr>
      </w:pPr>
      <w:r>
        <w:lastRenderedPageBreak/>
        <w:t>Sentimentality--</w:t>
      </w:r>
      <w:r>
        <w:rPr>
          <w:rFonts w:cs="Arial"/>
        </w:rPr>
        <w:t xml:space="preserve">L: </w:t>
      </w:r>
      <w:r w:rsidRPr="001641E7" w:rsidR="001860AB">
        <w:rPr>
          <w:rFonts w:cs="Arial"/>
        </w:rPr>
        <w:t xml:space="preserve">Ableism </w:t>
      </w:r>
      <w:r w:rsidR="001860AB">
        <w:rPr>
          <w:rFonts w:cs="Arial"/>
        </w:rPr>
        <w:t>is Cruel Optimism</w:t>
      </w:r>
    </w:p>
    <w:p xmlns:wp14="http://schemas.microsoft.com/office/word/2010/wordml" w:rsidRPr="001641E7" w:rsidR="001860AB" w:rsidP="001860AB" w:rsidRDefault="001860AB" w14:paraId="09192BF2" wp14:textId="77777777">
      <w:pPr>
        <w:pStyle w:val="Heading4"/>
        <w:rPr>
          <w:rFonts w:cs="Arial"/>
        </w:rPr>
      </w:pPr>
      <w:r w:rsidRPr="001641E7">
        <w:rPr>
          <w:rFonts w:cs="Arial"/>
        </w:rPr>
        <w:t>Ableism is the ultimate form of cruel optimism – it denies that there is no self-realization of a secured bodily integrity and supports neoliberalism</w:t>
      </w:r>
    </w:p>
    <w:p xmlns:wp14="http://schemas.microsoft.com/office/word/2010/wordml" w:rsidRPr="001641E7" w:rsidR="001860AB" w:rsidP="001860AB" w:rsidRDefault="001860AB" w14:paraId="63303D78" wp14:textId="77777777">
      <w:pPr>
        <w:rPr>
          <w:rStyle w:val="Style13ptBold"/>
          <w:rFonts w:eastAsia="Times New Roman"/>
          <w:b w:val="0"/>
          <w:bCs w:val="0"/>
          <w:sz w:val="24"/>
          <w:szCs w:val="24"/>
        </w:rPr>
      </w:pPr>
      <w:r w:rsidRPr="001641E7">
        <w:rPr>
          <w:rStyle w:val="Style13ptBold"/>
        </w:rPr>
        <w:t xml:space="preserve">Shildrick 2015 </w:t>
      </w:r>
      <w:r w:rsidRPr="001641E7">
        <w:rPr>
          <w:sz w:val="16"/>
        </w:rPr>
        <w:t>[Shildrick, Margrit. “Living on; Not Getting Better.” Feminist Review, vol. 111, no. 1, 2015, pp. 10–24., doi:10.1057/fr.2015.22. MARGRIT SHILDRICK is Reader in Gender Studies at Queen's University, Belfast, UK and Adjunct Professor of thenbsp;Critical Disability Studies program, York University, Toronto, Canada. She is the author of Leaky Bodies and Boundaries and Embodying the Monster , and co-editor of several books includi</w:t>
      </w:r>
      <w:r w:rsidRPr="001641E7">
        <w:rPr>
          <w:rStyle w:val="yzlgbd"/>
          <w:sz w:val="16"/>
        </w:rPr>
        <w:t>ng Ethics of the Body.]//MMS</w:t>
      </w:r>
    </w:p>
    <w:p xmlns:wp14="http://schemas.microsoft.com/office/word/2010/wordml" w:rsidRPr="001641E7" w:rsidR="001860AB" w:rsidP="001860AB" w:rsidRDefault="001860AB" w14:paraId="5D02144C" wp14:textId="77777777">
      <w:pPr>
        <w:autoSpaceDE w:val="0"/>
        <w:autoSpaceDN w:val="0"/>
        <w:adjustRightInd w:val="0"/>
        <w:spacing w:line="240" w:lineRule="auto"/>
        <w:rPr>
          <w:rStyle w:val="StyleUnderline"/>
        </w:rPr>
      </w:pPr>
      <w:r w:rsidRPr="001641E7">
        <w:rPr>
          <w:sz w:val="14"/>
        </w:rPr>
        <w:t xml:space="preserve">What does seem clear is that the concept of debility is working in at least two registers that have little to do with frailty—the other privileged term of this special issue—as such. It was surprising to see the conjunction of the two terms—frailty and debility—in the call for papers as it seems to suggest something coterminous, and I am not yet aware of work that entirely disrupts the negative connotations of frailty as implying at least ‘already on the way to failure’. One might well argue that frailty remains better grounded in lived experience, that it allows us to face the differences of ageing or ill-health head on. Stripped of its other haunting references, my own title for this paper, ‘Living on; not getting better’, might well describe a condition of frailty, but it is debility that opens up more expansive dimensions. In the first instance, </w:t>
      </w:r>
      <w:r w:rsidRPr="001641E7">
        <w:rPr>
          <w:rStyle w:val="StyleUnderline"/>
        </w:rPr>
        <w:t xml:space="preserve">debility—like vulnerability—seems to me to be an existential state that need not have any particular material referent in the body. In its current usage in critical cultural theory, it indicates that living on is always measured against an impossible scene of fulfilment, a fantasy of full capacity that is ever beyond reach. It invokes both an underlying ontological anxiety and a futile desire to resolve that anxiety through strategies of self-realisation directed towards happiness—a privileged trope of western neo-liberalism </w:t>
      </w:r>
      <w:r w:rsidRPr="001641E7">
        <w:rPr>
          <w:sz w:val="14"/>
        </w:rPr>
        <w:t>(Ferguson, 2007; Ahmed, 2010; Kingfisher, 2013) —</w:t>
      </w:r>
      <w:r w:rsidRPr="001641E7">
        <w:rPr>
          <w:rStyle w:val="StyleUnderline"/>
        </w:rPr>
        <w:t>and, more generally, well-being. To be debilitated—to never reach the putative security of corporeal, affective and cognitive standards of flourishing— just is the condition of life. I am</w:t>
      </w:r>
      <w:r w:rsidRPr="001641E7">
        <w:rPr>
          <w:sz w:val="14"/>
        </w:rPr>
        <w:t xml:space="preserve"> not </w:t>
      </w:r>
      <w:r w:rsidRPr="001641E7">
        <w:rPr>
          <w:rStyle w:val="StyleUnderline"/>
        </w:rPr>
        <w:t xml:space="preserve">thinking here of </w:t>
      </w:r>
      <w:r w:rsidRPr="001641E7">
        <w:rPr>
          <w:sz w:val="14"/>
        </w:rPr>
        <w:t xml:space="preserve">the horizons of aspiration, so beloved by poststructuralist-inflected theorists such as myself, for those are potentially transformative, but more of </w:t>
      </w:r>
      <w:r w:rsidRPr="001641E7">
        <w:rPr>
          <w:rStyle w:val="StyleUnderline"/>
        </w:rPr>
        <w:t>the cruel optimism of which Lauren Berlant writes</w:t>
      </w:r>
      <w:r w:rsidRPr="001641E7">
        <w:rPr>
          <w:sz w:val="14"/>
        </w:rPr>
        <w:t>. As she explains</w:t>
      </w:r>
      <w:r w:rsidRPr="001641E7">
        <w:t>, ‘</w:t>
      </w:r>
      <w:r w:rsidRPr="001641E7">
        <w:rPr>
          <w:rStyle w:val="StyleUnderline"/>
        </w:rPr>
        <w:t xml:space="preserve">A cruel optimistic relation exists when the objects of optimism are blockages to the achievement of the desire for which they stand in’ </w:t>
      </w:r>
      <w:r w:rsidRPr="001641E7">
        <w:rPr>
          <w:sz w:val="14"/>
        </w:rPr>
        <w:t xml:space="preserve">(Berlant and Prosser, 2011, p. 182). What matters is that </w:t>
      </w:r>
      <w:r w:rsidRPr="001641E7">
        <w:rPr>
          <w:rStyle w:val="StyleUnderline"/>
        </w:rPr>
        <w:t>the promise of getting better is sufficiently convincing to motivate behaviours that not only will fail to arrive at the anticipated goal but may even contribute to the impossibility of such an arrival. It is in this sense that the ontological dimension of debility segues into its second register, that of its political and socioeconomic utility.</w:t>
      </w:r>
    </w:p>
    <w:p xmlns:wp14="http://schemas.microsoft.com/office/word/2010/wordml" w:rsidRPr="001641E7" w:rsidR="001860AB" w:rsidP="001860AB" w:rsidRDefault="001860AB" w14:paraId="6901E1E0" wp14:textId="77777777">
      <w:pPr>
        <w:pStyle w:val="Heading4"/>
        <w:rPr>
          <w:rFonts w:cs="Arial"/>
        </w:rPr>
      </w:pPr>
      <w:r w:rsidRPr="001641E7">
        <w:rPr>
          <w:rFonts w:cs="Arial"/>
        </w:rPr>
        <w:t>Ableism enforces happy affects that asks us to settle for neoliberal capitalism instead of liberation – this is cruel optimism and compulsory able-bodiedness</w:t>
      </w:r>
    </w:p>
    <w:p xmlns:wp14="http://schemas.microsoft.com/office/word/2010/wordml" w:rsidRPr="001641E7" w:rsidR="001860AB" w:rsidP="001860AB" w:rsidRDefault="001860AB" w14:paraId="02C2B772" wp14:textId="77777777">
      <w:r w:rsidRPr="001641E7">
        <w:rPr>
          <w:rStyle w:val="Style13ptBold"/>
        </w:rPr>
        <w:t>Fritsch 2013</w:t>
      </w:r>
      <w:r w:rsidRPr="001641E7">
        <w:t xml:space="preserve"> [Fritsch, Kelly. “The Neoliberal Circulation of Affects: Happiness, Accessibility and the Capacitation of Disability as Wheelchair.” Health, Culture and Society, vol. 5, no. 1, 2013, pp. 135–149., doi:10.5195/hcs.2013.136.  Kelly Fritsch is an Assistant Professor in the Department of Sociology and Anthropology at Carleton University, Ottawa. Her research broadly engages crip, queer, and feminist theory to explore the politics of disability, health, technology, risk, and accessibility.]//MMS</w:t>
      </w:r>
    </w:p>
    <w:p xmlns:wp14="http://schemas.microsoft.com/office/word/2010/wordml" w:rsidRPr="001641E7" w:rsidR="001860AB" w:rsidP="001860AB" w:rsidRDefault="001860AB" w14:paraId="06D1E096" wp14:textId="77777777">
      <w:pPr>
        <w:pStyle w:val="Default"/>
        <w:rPr>
          <w:rStyle w:val="StyleUnderline"/>
          <w:rFonts w:ascii="Arial" w:hAnsi="Arial" w:cs="Arial"/>
          <w:szCs w:val="22"/>
        </w:rPr>
      </w:pPr>
      <w:r w:rsidRPr="001641E7">
        <w:rPr>
          <w:rFonts w:ascii="Arial" w:hAnsi="Arial" w:cs="Arial"/>
          <w:sz w:val="14"/>
          <w:szCs w:val="22"/>
        </w:rPr>
        <w:t xml:space="preserve">Indebted to the work of Henri- Bergson, Baruch Spinoza, Gilles Deleuze and Felix Guarttari, affect can be conceptualized as pre-individual forces that augment or diminish a body’s capacity to act, engage, or connect. For Ahmed (2010), happiness involves affects in order for the objects of happiness to become social goods. That is, she argues that feelings do not reside within individual subjects and then move outwards towards particular objects but rather, she contends, </w:t>
      </w:r>
      <w:r w:rsidRPr="001641E7">
        <w:rPr>
          <w:rStyle w:val="StyleUnderline"/>
          <w:rFonts w:ascii="Arial" w:hAnsi="Arial" w:cs="Arial"/>
          <w:szCs w:val="22"/>
        </w:rPr>
        <w:t>objects create impressions through feelings</w:t>
      </w:r>
      <w:r w:rsidRPr="001641E7">
        <w:rPr>
          <w:rFonts w:ascii="Arial" w:hAnsi="Arial" w:cs="Arial"/>
          <w:sz w:val="14"/>
          <w:szCs w:val="22"/>
        </w:rPr>
        <w:t xml:space="preserve"> (p. 14). To feel happiness “is to recognize that happiness starts from somewhere other than the subject who may use the word to describe a situation” (p. 21). And, as Ahmed continues, “If happiness creates its objects, then such objects are passed around, accumulating positive affective value as social goods” (p. 21). </w:t>
      </w:r>
      <w:r w:rsidRPr="001641E7">
        <w:rPr>
          <w:rStyle w:val="StyleUnderline"/>
          <w:rFonts w:ascii="Arial" w:hAnsi="Arial" w:cs="Arial"/>
          <w:szCs w:val="22"/>
        </w:rPr>
        <w:t>Through the production of happiness, objects become social goods that have positive affective qualities.</w:t>
      </w:r>
      <w:r w:rsidRPr="001641E7">
        <w:rPr>
          <w:rFonts w:ascii="Arial" w:hAnsi="Arial" w:cs="Arial"/>
          <w:sz w:val="14"/>
          <w:szCs w:val="22"/>
        </w:rPr>
        <w:t xml:space="preserve"> “To be affected ‘in a good way’ thus involves an orientation to something as being good” (p. 24). </w:t>
      </w:r>
      <w:r w:rsidRPr="001641E7">
        <w:rPr>
          <w:rFonts w:ascii="Arial" w:hAnsi="Arial" w:cs="Arial"/>
          <w:color w:val="auto"/>
          <w:sz w:val="14"/>
          <w:szCs w:val="22"/>
        </w:rPr>
        <w:t xml:space="preserve">Happiness is an affective economy that allows us to have contact with good objects. Since “we move toward and away from objects through how we are affected by them” (p. 24), happiness orients what objects we come into contact with. That objects are considered happy or are considered the cause of happiness “means they already circulate as social goods before we ‘happen’ upon them, which is why we might happen upon them in the first place” (p. 28). That is to say, </w:t>
      </w:r>
      <w:r w:rsidRPr="001641E7">
        <w:rPr>
          <w:rStyle w:val="StyleUnderline"/>
          <w:rFonts w:ascii="Arial" w:hAnsi="Arial" w:cs="Arial"/>
        </w:rPr>
        <w:t xml:space="preserve">the objects we encounter are never neutral. In order to happen upon an object, its affective value is already in place; the object is already invested with positive and </w:t>
      </w:r>
      <w:r w:rsidRPr="001641E7">
        <w:rPr>
          <w:rStyle w:val="StyleUnderline"/>
          <w:rFonts w:ascii="Arial" w:hAnsi="Arial" w:cs="Arial"/>
        </w:rPr>
        <w:lastRenderedPageBreak/>
        <w:t>negative value</w:t>
      </w:r>
      <w:r w:rsidRPr="001641E7">
        <w:rPr>
          <w:rFonts w:ascii="Arial" w:hAnsi="Arial" w:cs="Arial"/>
          <w:color w:val="auto"/>
          <w:sz w:val="14"/>
          <w:szCs w:val="22"/>
        </w:rPr>
        <w:t xml:space="preserve"> (p. 34). As happiness is a shared orientation toward what is good (p. 56), going along “with happiness scripts” is a way of getting along; “to get along is to be willing and able to express happiness in proximity to the right things” (p. 59). </w:t>
      </w:r>
      <w:r w:rsidRPr="001641E7">
        <w:rPr>
          <w:rStyle w:val="StyleUnderline"/>
          <w:rFonts w:ascii="Arial" w:hAnsi="Arial" w:cs="Arial"/>
        </w:rPr>
        <w:t>The ISA is a site of affective happiness within neoliberalism and functions in such a way as to hamper the conditions necessary to dismantle ableism and compulsory able-bodiedness</w:t>
      </w:r>
      <w:r w:rsidRPr="001641E7">
        <w:rPr>
          <w:rFonts w:ascii="Arial" w:hAnsi="Arial" w:cs="Arial"/>
          <w:color w:val="auto"/>
          <w:sz w:val="14"/>
          <w:szCs w:val="22"/>
        </w:rPr>
        <w:t xml:space="preserve">. In what follows, I trace the ways in which the production of disability has been built upon positive affects, and in turn, how the ISA is imbued with happy affects that capacitate certain forms of disability inclusion. I conclude by considering the cruel optimism of the ISA and the role of the transfigured crip to come. </w:t>
      </w:r>
      <w:r w:rsidRPr="001641E7">
        <w:rPr>
          <w:rStyle w:val="StyleUnderline"/>
          <w:rFonts w:ascii="Arial" w:hAnsi="Arial" w:cs="Arial"/>
        </w:rPr>
        <w:t>The contemporary production of disability has been built on positive affects. The circulation of positive affects in the production of disability does not replace other modes of producing disability, but rather is layered within them</w:t>
      </w:r>
      <w:r w:rsidRPr="001641E7">
        <w:rPr>
          <w:rFonts w:ascii="Arial" w:hAnsi="Arial" w:cs="Arial"/>
          <w:color w:val="auto"/>
          <w:sz w:val="14"/>
          <w:szCs w:val="22"/>
        </w:rPr>
        <w:t xml:space="preserve">. This is to say, the ways in which disability is produced through tragedy, pity, or disgust, are all tangled up with positive affects; all these forms of producing disability work together and re-enforce one another. From the demand to overcome shame and embody pride (Kolarova, 2012), to the medically driven imperative to overcome suffering and embody an expression of hope (Fritsch, 2013), the disabled have been positioned as the inspiring crip, the ones who will be cured through positive thinking, and as an individualized problem that is solvable. Disability is caught up in the ableist turn towards healthism and the imperative for everyone to have intensively enhanced bodies. </w:t>
      </w:r>
      <w:r w:rsidRPr="001641E7">
        <w:rPr>
          <w:rStyle w:val="StyleUnderline"/>
          <w:rFonts w:ascii="Arial" w:hAnsi="Arial" w:cs="Arial"/>
        </w:rPr>
        <w:t>From the oft-cited “Jerry’s Kids,” to culturally ubiquitous inspirational quotes that mark disability as something to conquer, happy affects of cure, overcoming, and progress are embedded in dominant conceptions of disability. Happy affects drive what Robert McRuer (2006) has termed “compulsory able-bodiedness,” not only because people are invested in the “happiness scripts” of biological cures, narratives of overcoming, and the allure of technological advances, but because compulsory able-bodiedness is always, already, a social good in neoliberal capitalism. As such, the happy affects circulating by way of pride, hope, cure, or progress, end up retrofitting disability as “a vector of neoliberal governance”</w:t>
      </w:r>
      <w:r w:rsidRPr="001641E7">
        <w:rPr>
          <w:rFonts w:ascii="Arial" w:hAnsi="Arial" w:cs="Arial"/>
          <w:color w:val="auto"/>
          <w:sz w:val="14"/>
          <w:szCs w:val="22"/>
        </w:rPr>
        <w:t xml:space="preserve"> (Kolarova, 2012, p. 268). Disability as thing, or disability as contained by the International Symbol of Access is not only knowable and profitable, but it is also is the site of happy affects. </w:t>
      </w:r>
      <w:r w:rsidRPr="001641E7">
        <w:rPr>
          <w:rStyle w:val="StyleUnderline"/>
          <w:rFonts w:ascii="Arial" w:hAnsi="Arial" w:cs="Arial"/>
        </w:rPr>
        <w:t>By having the wheelchair symbol adorn a bus or a building, the problem and uncomfortableness of the difference of disability appears to be taken care of. With the appearance of the ISA, happy affects of having “done our duty for the disabled” circulate, even in the face of contested understandings of disability or accessibility.</w:t>
      </w:r>
      <w:r w:rsidRPr="001641E7">
        <w:rPr>
          <w:rFonts w:ascii="Arial" w:hAnsi="Arial" w:cs="Arial"/>
          <w:color w:val="auto"/>
          <w:sz w:val="14"/>
          <w:szCs w:val="22"/>
        </w:rPr>
        <w:t xml:space="preserve"> For example, Titchkosky (2011) writes of her struggle to make her university workplace more accessible. She observes that in July 2006, </w:t>
      </w:r>
      <w:r w:rsidRPr="001641E7">
        <w:rPr>
          <w:rStyle w:val="StyleUnderline"/>
          <w:rFonts w:ascii="Arial" w:hAnsi="Arial" w:cs="Arial"/>
        </w:rPr>
        <w:t xml:space="preserve">the twelve-story university building in which she worked at the University of Toronto had no washrooms that met provincial minimal disability accessibility standards </w:t>
      </w:r>
      <w:r w:rsidRPr="001641E7">
        <w:rPr>
          <w:rFonts w:ascii="Arial" w:hAnsi="Arial" w:cs="Arial"/>
          <w:color w:val="auto"/>
          <w:sz w:val="14"/>
          <w:szCs w:val="22"/>
        </w:rPr>
        <w:t>(p. 71). She notes how</w:t>
      </w:r>
      <w:r w:rsidRPr="001641E7">
        <w:rPr>
          <w:rStyle w:val="StyleUnderline"/>
          <w:rFonts w:ascii="Arial" w:hAnsi="Arial" w:cs="Arial"/>
        </w:rPr>
        <w:t xml:space="preserve"> the ISA appeared on five bathroom doors that were entirely inaccessible</w:t>
      </w:r>
      <w:r w:rsidRPr="001641E7">
        <w:rPr>
          <w:rFonts w:ascii="Arial" w:hAnsi="Arial" w:cs="Arial"/>
          <w:color w:val="auto"/>
          <w:sz w:val="14"/>
          <w:szCs w:val="22"/>
        </w:rPr>
        <w:t xml:space="preserve">. Titchkosky found from her colleagues and staff working in the building that the signs were posted “some twenty years ago” when the building was retrofitted to include a ramp to the front entrance of the building. When Titchkosky pointed out the inappropriate posting of the ISA signs on places like inaccessible washroom doors, users of the building commented, “How were we to know any better?” (p. 75). Others questioned Titchkosky’s interest in the inappropriate signs, remarking “Isn’t something better than nothing?” And further stated, “If they can’t use the washrooms </w:t>
      </w:r>
      <w:r w:rsidRPr="001641E7">
        <w:rPr>
          <w:rFonts w:ascii="Arial" w:hAnsi="Arial" w:cs="Arial"/>
          <w:i/>
          <w:iCs/>
          <w:color w:val="auto"/>
          <w:sz w:val="14"/>
          <w:szCs w:val="22"/>
        </w:rPr>
        <w:t xml:space="preserve">what are they doing </w:t>
      </w:r>
      <w:r w:rsidRPr="001641E7">
        <w:rPr>
          <w:rFonts w:ascii="Arial" w:hAnsi="Arial" w:cs="Arial"/>
          <w:color w:val="auto"/>
          <w:sz w:val="14"/>
          <w:szCs w:val="22"/>
        </w:rPr>
        <w:t xml:space="preserve">here anyway?” (p. 75). Here, </w:t>
      </w:r>
      <w:r w:rsidRPr="001641E7">
        <w:rPr>
          <w:rStyle w:val="StyleUnderline"/>
          <w:rFonts w:ascii="Arial" w:hAnsi="Arial" w:cs="Arial"/>
        </w:rPr>
        <w:t>the positive circulation of affects happens through the disavowal of ableism and compulsory able-bodiedness. That is, the comment “something is better than nothing” suggests that disabled people should be happy with what they have, even if it is entirely inappropriate. The ISA is a marker of accessibility and inclusion, even when it fails.</w:t>
      </w:r>
      <w:r w:rsidRPr="001641E7">
        <w:rPr>
          <w:rFonts w:ascii="Arial" w:hAnsi="Arial" w:cs="Arial"/>
          <w:color w:val="auto"/>
          <w:sz w:val="14"/>
          <w:szCs w:val="22"/>
        </w:rPr>
        <w:t xml:space="preserve"> For good feelings to continue with ease, it is important for no one to get upset by the inappropriate signs. If someone does get upset, the response is to question why disabled people are appearing in these inaccessible spaces. Clearly, this space is not intended for them and was never intended to be for them, even if the sign of inclusion promises otherwise. </w:t>
      </w:r>
      <w:r w:rsidRPr="001641E7">
        <w:rPr>
          <w:rStyle w:val="StyleUnderline"/>
          <w:rFonts w:ascii="Arial" w:hAnsi="Arial" w:cs="Arial"/>
        </w:rPr>
        <w:t>To suggest that “something is better than nothing” or to be baffled that a disabled person would appear in a space that has no accessible bathrooms exemplifies the retrofitted nature of neoliberal approaches to disability.</w:t>
      </w:r>
      <w:r w:rsidRPr="001641E7">
        <w:rPr>
          <w:rFonts w:ascii="Arial" w:hAnsi="Arial" w:cs="Arial"/>
          <w:color w:val="auto"/>
          <w:sz w:val="14"/>
          <w:szCs w:val="22"/>
        </w:rPr>
        <w:t xml:space="preserve"> It is also representative of the ways in which disability is located in particular bodies and is not considered to be a difference we are all implicated in (re)producing. When Titchkosky began making inquiries into the possibilities for renovating washrooms to make them accessible, </w:t>
      </w:r>
      <w:r w:rsidRPr="001641E7">
        <w:rPr>
          <w:rStyle w:val="StyleUnderline"/>
          <w:rFonts w:ascii="Arial" w:hAnsi="Arial" w:cs="Arial"/>
        </w:rPr>
        <w:t>administrators concluded that there was no reason to renovate, as accessible washrooms already existed in the building. Incredulously they asked her if she had not seen the wheelchair symbol adorn on the doors to the washrooms?</w:t>
      </w:r>
      <w:r w:rsidRPr="001641E7">
        <w:rPr>
          <w:rFonts w:ascii="Arial" w:hAnsi="Arial" w:cs="Arial"/>
          <w:color w:val="auto"/>
          <w:sz w:val="14"/>
          <w:szCs w:val="22"/>
        </w:rPr>
        <w:t xml:space="preserve"> Of this struggle, Titchkosky comments: “it was difficult for people to know that they were living without an accessible washroom because there were signs that said otherwise” (p. 84). And yet, Titchkosky observes: </w:t>
      </w:r>
      <w:r w:rsidRPr="001641E7">
        <w:rPr>
          <w:rStyle w:val="StyleUnderline"/>
          <w:rFonts w:ascii="Arial" w:hAnsi="Arial" w:cs="Arial"/>
        </w:rPr>
        <w:t xml:space="preserve">“People who worked and were educated in this building witnessed wheelchair users getting stuck while attempting to enter the main-floor washrooms since there was a wall that immediately confronted whoever pushed open the door” </w:t>
      </w:r>
      <w:r w:rsidRPr="001641E7">
        <w:rPr>
          <w:rFonts w:ascii="Arial" w:hAnsi="Arial" w:cs="Arial"/>
          <w:color w:val="auto"/>
          <w:sz w:val="14"/>
          <w:szCs w:val="22"/>
        </w:rPr>
        <w:t>(p. 84).</w:t>
      </w:r>
      <w:r w:rsidRPr="001641E7">
        <w:rPr>
          <w:rStyle w:val="StyleUnderline"/>
          <w:rFonts w:ascii="Arial" w:hAnsi="Arial" w:cs="Arial"/>
        </w:rPr>
        <w:t xml:space="preserve"> That disability appears to be taken care of is a good feeling and such good feelings circulate with ease, even when someone is confronted with a contradictory reality.</w:t>
      </w:r>
      <w:r w:rsidRPr="001641E7">
        <w:rPr>
          <w:rFonts w:ascii="Arial" w:hAnsi="Arial" w:cs="Arial"/>
          <w:color w:val="auto"/>
          <w:sz w:val="14"/>
          <w:szCs w:val="22"/>
        </w:rPr>
        <w:t xml:space="preserve"> With the ISA, disability appears in order to disappear, is included to be excluded. The deployment of the ISA solves the problem of disability without ever needing to include disabled people or without ever </w:t>
      </w:r>
      <w:r w:rsidRPr="001641E7">
        <w:rPr>
          <w:rFonts w:ascii="Arial" w:hAnsi="Arial" w:cs="Arial"/>
          <w:color w:val="auto"/>
          <w:sz w:val="14"/>
          <w:szCs w:val="22"/>
        </w:rPr>
        <w:lastRenderedPageBreak/>
        <w:t>needing to confront the contradictions of accessibility as it reduces “the lived complexity” of disabled embodiment “into a caricature – literally, disability-diversity becomes a stick figure” (Titchkosky, 2011, p. 81). Disability becomes a thing that is contained and known; a stick figure in a blue box. In being known, disability can be taken care of by building ramps or, more importantly, simply by posting the ISA. That disability is taken care of is a good feeling.</w:t>
      </w:r>
      <w:r w:rsidRPr="001641E7">
        <w:rPr>
          <w:rStyle w:val="StyleUnderline"/>
          <w:rFonts w:ascii="Arial" w:hAnsi="Arial" w:cs="Arial"/>
        </w:rPr>
        <w:t xml:space="preserve"> In this good feeling, ableism and compulsory able-bodiedness are covered over by happy affects. It is only when someone gets upset that these happy affects are disrupted. In these moments disability becomes a problem again. However, the problem is not ableism but the uncomfortable presence of the debilitated crip. As a problem, the upset debilitated crip becomes the individual killjoy that disturbs “the very fantasy that happiness can be found in certain places</w:t>
      </w:r>
      <w:r w:rsidRPr="001641E7">
        <w:rPr>
          <w:rFonts w:ascii="Arial" w:hAnsi="Arial" w:cs="Arial"/>
          <w:color w:val="auto"/>
          <w:sz w:val="14"/>
          <w:szCs w:val="22"/>
        </w:rPr>
        <w:t xml:space="preserve">” (Ahmed, 2010, p. 66) </w:t>
      </w:r>
      <w:r w:rsidRPr="001641E7">
        <w:rPr>
          <w:rStyle w:val="StyleUnderline"/>
          <w:rFonts w:ascii="Arial" w:hAnsi="Arial" w:cs="Arial"/>
        </w:rPr>
        <w:t xml:space="preserve">by interrupting the ease by which happy affects circulate.  </w:t>
      </w:r>
      <w:r w:rsidRPr="001641E7">
        <w:rPr>
          <w:rFonts w:ascii="Arial" w:hAnsi="Arial" w:cs="Arial"/>
          <w:color w:val="auto"/>
          <w:sz w:val="14"/>
          <w:szCs w:val="22"/>
        </w:rPr>
        <w:t xml:space="preserve">For the ISA to be posted, disability must already be depoliticized and desocialized in particular ways. The inclusion of disability is done through a conditional embrace of difference: through accommodating the wheelchair, through compliance with neoliberal forms of capacitation, and through discrediting the killjoy as the debilitated “benefit scrounging scum” (McRuer, 2012). </w:t>
      </w:r>
      <w:r w:rsidRPr="001641E7">
        <w:rPr>
          <w:rStyle w:val="StyleUnderline"/>
          <w:rFonts w:ascii="Arial" w:hAnsi="Arial" w:cs="Arial"/>
        </w:rPr>
        <w:t>By capacitating certain forms of disability and inclusion, this conditional embrace of difference separates out who can have a livable life and who is marked for social death</w:t>
      </w:r>
      <w:r w:rsidRPr="001641E7">
        <w:rPr>
          <w:rFonts w:ascii="Arial" w:hAnsi="Arial" w:cs="Arial"/>
          <w:color w:val="auto"/>
          <w:sz w:val="14"/>
          <w:szCs w:val="22"/>
        </w:rPr>
        <w:t>. Caught up in happy affects of disability, this economy of inclusion works toward particular forms of normalization (Kolarove, 2011; Titchkosky, 2003), and also, as Puar (2012) and Sothern (2007) suggest, through a neoliberal ableist project of continuous bodily enhancement. Disabled people themselves also participate in the happy affects of the ISA</w:t>
      </w:r>
      <w:r w:rsidRPr="001641E7">
        <w:rPr>
          <w:rFonts w:ascii="Arial" w:hAnsi="Arial" w:cs="Arial"/>
          <w:sz w:val="14"/>
        </w:rPr>
        <w:t xml:space="preserve">. </w:t>
      </w:r>
      <w:r w:rsidRPr="001641E7">
        <w:rPr>
          <w:rStyle w:val="StyleUnderline"/>
          <w:rFonts w:ascii="Arial" w:hAnsi="Arial" w:cs="Arial"/>
        </w:rPr>
        <w:t xml:space="preserve">If the ISA offers able-bodied people the good feelings of being part of the solution, the ISA also contains within it the promise of an accessible path, an accessible future, a place and space for disabled people. This hope and happiness contained within and expressed through the ISA is what Lauren Berlant (2010) calls “cruel optimism.” For Berlant, a “relation of cruel optimism is a double-bind in which your attachment to an object sustains you in life at the same time as that object is actually a threat to your flourishing” </w:t>
      </w:r>
      <w:r w:rsidRPr="001641E7">
        <w:rPr>
          <w:rFonts w:ascii="Arial" w:hAnsi="Arial" w:cs="Arial"/>
          <w:color w:val="auto"/>
          <w:sz w:val="14"/>
          <w:szCs w:val="22"/>
        </w:rPr>
        <w:t xml:space="preserve">(Berlant &amp; Seitz, 2013). Cruel optimism is a politics of deferral for disability. By making hope and happiness that which the ISA can deliver, disabled people hold back from forcing the contradictions of the ISA that confront them in their lives. </w:t>
      </w:r>
      <w:r w:rsidRPr="001641E7">
        <w:rPr>
          <w:rStyle w:val="StyleUnderline"/>
          <w:rFonts w:ascii="Arial" w:hAnsi="Arial" w:cs="Arial"/>
        </w:rPr>
        <w:t>Through the hope and happiness invested in the ISA, any future crip utopia is always already deferred</w:t>
      </w:r>
      <w:r w:rsidRPr="001641E7">
        <w:rPr>
          <w:rFonts w:ascii="Arial" w:hAnsi="Arial" w:cs="Arial"/>
          <w:color w:val="auto"/>
          <w:sz w:val="14"/>
          <w:szCs w:val="22"/>
        </w:rPr>
        <w:t xml:space="preserve">. This is to say, the problem is not simply ableism. Rather, disabled people themselves are invested in the ISA as a beacon of accessibility, as tied to the history of disability rights, and as a symbol of pride. That the ISA has persisted over 40 years after its original design is not due to a lack of alternative symbols, but rather because the sign </w:t>
      </w:r>
      <w:r w:rsidRPr="001641E7">
        <w:rPr>
          <w:rFonts w:ascii="Arial" w:hAnsi="Arial" w:cs="Arial"/>
          <w:i/>
          <w:iCs/>
          <w:color w:val="auto"/>
          <w:sz w:val="14"/>
          <w:szCs w:val="22"/>
        </w:rPr>
        <w:t xml:space="preserve">does </w:t>
      </w:r>
      <w:r w:rsidRPr="001641E7">
        <w:rPr>
          <w:rFonts w:ascii="Arial" w:hAnsi="Arial" w:cs="Arial"/>
          <w:color w:val="auto"/>
          <w:sz w:val="14"/>
          <w:szCs w:val="22"/>
        </w:rPr>
        <w:t xml:space="preserve">something for disabled people. Disabled people have a vital investment in the ISA as evidenced by the excitement of disabled communities surrounding the newly designed ISA by the Accessible Icon Project. </w:t>
      </w:r>
      <w:r w:rsidRPr="001641E7">
        <w:rPr>
          <w:rStyle w:val="StyleUnderline"/>
          <w:rFonts w:ascii="Arial" w:hAnsi="Arial" w:cs="Arial"/>
        </w:rPr>
        <w:t>Disabled people want accessibility to work, and to work better. Participating in the affective happiness of wanting the ISA to work is a way of reinvesting in the neoliberal individual who ensures their own self-care through market relations. Simply put, the ISA is an affectively happy object, and an object of cruel optimism. Showing up to ride an accessible bus and being told that I should just get a wheelchair if I can’t climb stairs is a moment of cruel optimism. I am invested in the ISA, but I, individually, do not fit its production of disability or accessibility</w:t>
      </w:r>
      <w:r w:rsidRPr="001641E7">
        <w:rPr>
          <w:rFonts w:ascii="Arial" w:hAnsi="Arial" w:cs="Arial"/>
          <w:color w:val="auto"/>
          <w:sz w:val="14"/>
          <w:szCs w:val="22"/>
        </w:rPr>
        <w:t xml:space="preserve">. While this anecdote ends with me returning home without taking the bus where I wanted to go, this moment also reveals what I have elsewhere (Fritsch, 2013) called the importance of utilizing the negative possibility of suffering for rethinking disability and to open up space for the transfigured crip to come. While many important stories of disability are ones of exclusion, poverty, and erasure, this paper marks out important forms of inclusion. Such inclusion, however, comes at the cost of being integrated into capital by constituting a group of workers and consumers through the object of the wheelchair. The wheelchair then becomes the symbol of inclusion and accessibility for disabled people, and forms of inclusion and accessibility circulate happy affects. </w:t>
      </w:r>
      <w:r w:rsidRPr="001641E7">
        <w:rPr>
          <w:rStyle w:val="StyleUnderline"/>
          <w:rFonts w:ascii="Arial" w:hAnsi="Arial" w:cs="Arial"/>
        </w:rPr>
        <w:t>While the ISA can be the source of disability pride, or a helpful sign to navigate around barriers, it also offers us a glimpse into the ways disability rights arose alongside the integration and capacitation of certain kinds of disabled people into capital and how that integration and capacitation is caught up in the circulation of happy affects</w:t>
      </w:r>
      <w:r w:rsidRPr="001641E7">
        <w:rPr>
          <w:rFonts w:ascii="Arial" w:hAnsi="Arial" w:cs="Arial"/>
          <w:color w:val="auto"/>
          <w:sz w:val="14"/>
          <w:szCs w:val="22"/>
        </w:rPr>
        <w:t xml:space="preserve">. The ISA sets up the possibility of knowing disability, capacitating certain forms of disability and solving the problem of disability so that we can all collectively feel better. The collective ease of good feelings comes at the expense of the killjoy and at the expense of the benefit scrounging scum. </w:t>
      </w:r>
      <w:r w:rsidRPr="001641E7">
        <w:rPr>
          <w:rStyle w:val="StyleUnderline"/>
          <w:rFonts w:ascii="Arial" w:hAnsi="Arial" w:cs="Arial"/>
        </w:rPr>
        <w:t>Clearly, accessibility is important and the rights disabled people have fought for and won have often been necessary for mere survival, much less for flourishing. But at the same time, the debilitation and capacitation of disabled people happens within the context of neoliberalism, in the offloading of social issues onto the shoulders individuals, enabling corporations to make a profit off of debility and capacity, and of shifting public concerns into the private realm. It is within such a context that this symbol functions to both include and capacitate disability and to exclude and debilitate disability in certain ways, all the meanwhile making us feel good about consuming accessibility and feel like once the ISA appears, we’ve taken care of the problem.</w:t>
      </w:r>
    </w:p>
    <w:p xmlns:wp14="http://schemas.microsoft.com/office/word/2010/wordml" w:rsidR="001860AB" w:rsidP="001860AB" w:rsidRDefault="001860AB" w14:paraId="0DE4B5B7" wp14:textId="77777777"/>
    <w:p xmlns:wp14="http://schemas.microsoft.com/office/word/2010/wordml" w:rsidRPr="00C2398C" w:rsidR="001860AB" w:rsidP="001860AB" w:rsidRDefault="001860AB" w14:paraId="06261D3F" wp14:textId="77777777">
      <w:pPr>
        <w:pStyle w:val="Heading4"/>
      </w:pPr>
      <w:r>
        <w:lastRenderedPageBreak/>
        <w:t>US Ability Exceptionalism produces the cruel optimism of hypohabilitation</w:t>
      </w:r>
    </w:p>
    <w:p xmlns:wp14="http://schemas.microsoft.com/office/word/2010/wordml" w:rsidRPr="00C2398C" w:rsidR="001860AB" w:rsidP="001860AB" w:rsidRDefault="001860AB" w14:paraId="7DB90697" wp14:textId="77777777">
      <w:r w:rsidRPr="004010CD">
        <w:rPr>
          <w:rStyle w:val="Style13ptBold"/>
        </w:rPr>
        <w:t>Luke 15</w:t>
      </w:r>
      <w:r w:rsidRPr="00C2398C">
        <w:rPr>
          <w:b/>
        </w:rPr>
        <w:t xml:space="preserve"> </w:t>
      </w:r>
      <w:r w:rsidRPr="00C2398C">
        <w:t xml:space="preserve">(Heather N. Ph.D from the UC Berkley. Associate Professor of Critical Theory and Social Justices at the Occidental College of queer theory, queer color critique, and psychoanalysis. The Sovereignty of Subtraction: Hypo/Hyperhabilitation and the Cultural Politics of Amputation in America. 2015)//ONW  </w:t>
      </w:r>
    </w:p>
    <w:p xmlns:wp14="http://schemas.microsoft.com/office/word/2010/wordml" w:rsidRPr="00C2398C" w:rsidR="001860AB" w:rsidP="001860AB" w:rsidRDefault="001860AB" w14:paraId="71498F26" wp14:textId="77777777">
      <w:pPr>
        <w:rPr>
          <w:sz w:val="14"/>
        </w:rPr>
      </w:pPr>
      <w:r w:rsidRPr="00C2398C">
        <w:rPr>
          <w:sz w:val="14"/>
        </w:rPr>
        <w:t xml:space="preserve">Michel Foucault famously claimed that </w:t>
      </w:r>
      <w:r w:rsidRPr="00906D41">
        <w:rPr>
          <w:rStyle w:val="StyleUnderline"/>
        </w:rPr>
        <w:t xml:space="preserve">over the last three centuries power has shifted from a central sovereign’s ability either to kill or let live to a dispersed sovereignty of biopower, structured by the imperative “to make live and to let die.”9 Hypohabilitation might be understood as a version of Foucault’s “let die,” just as his “make live” follows a sense of American hyperhabilitated bodily exceptionalism. </w:t>
      </w:r>
      <w:r w:rsidRPr="00C2398C">
        <w:rPr>
          <w:sz w:val="14"/>
        </w:rPr>
        <w:t xml:space="preserve">In the United States, the legacies of slavery, settler colonialism, and eugenics have featured the genocidal necropolitics or thanatopolitics that a number of critics have identified as the underside of Foucauldian biopolitics.10 </w:t>
      </w:r>
      <w:r w:rsidRPr="00906D41">
        <w:rPr>
          <w:rStyle w:val="StyleUnderline"/>
        </w:rPr>
        <w:t>Yet hypohabilitation has also increasingly attended the American Dream’s “cruel optimism</w:t>
      </w:r>
      <w:r w:rsidRPr="0044182E">
        <w:rPr>
          <w:rStyle w:val="StyleUnderline"/>
        </w:rPr>
        <w:t>.” As Lauren Berlant explicates through obesity and its potentially dismembering and fatal effects, “slow death” defines the point at which the individual’s provisional survival techniques meet governmental incrementalizations of “letting die.”</w:t>
      </w:r>
      <w:r w:rsidRPr="00C2398C">
        <w:rPr>
          <w:sz w:val="14"/>
        </w:rPr>
        <w:t xml:space="preserve">11 Foucault’s “make live” finds its correspondence in a technofetishistic hyperhabilitation. In exceeding the goal of rehabilitation, hyperhabilitation registers a phantasmatic domain of ability, linking phenomena ranging from cosmetic surgery to Paralympians and other exemplars of disability exceptionalism to science fiction imaginations of the superenhanced prosthetic human body. </w:t>
      </w:r>
      <w:r w:rsidRPr="00906D41">
        <w:rPr>
          <w:rStyle w:val="StyleUnderline"/>
        </w:rPr>
        <w:t>Critical disability scholars have accordingly interrogated such productions of the “supercrip” and critical theory’s idealization of the postmodern cyborg, as well as theorists’ obsession with the metaphor of prostheses.12</w:t>
      </w:r>
    </w:p>
    <w:p xmlns:wp14="http://schemas.microsoft.com/office/word/2010/wordml" w:rsidRPr="001641E7" w:rsidR="001860AB" w:rsidP="001860AB" w:rsidRDefault="001860AB" w14:paraId="66204FF1" wp14:textId="77777777"/>
    <w:p xmlns:wp14="http://schemas.microsoft.com/office/word/2010/wordml" w:rsidRPr="001641E7" w:rsidR="001860AB" w:rsidP="001860AB" w:rsidRDefault="00A96285" w14:paraId="116AC59D" wp14:textId="77777777">
      <w:pPr>
        <w:pStyle w:val="Heading3"/>
        <w:rPr>
          <w:rFonts w:cs="Arial"/>
        </w:rPr>
      </w:pPr>
      <w:r>
        <w:rPr>
          <w:rFonts w:cs="Arial"/>
        </w:rPr>
        <w:lastRenderedPageBreak/>
        <w:t>Sentimentality</w:t>
      </w:r>
      <w:r w:rsidR="00381948">
        <w:rPr>
          <w:rFonts w:cs="Arial"/>
        </w:rPr>
        <w:t xml:space="preserve">—L/T: </w:t>
      </w:r>
      <w:r w:rsidRPr="001641E7" w:rsidR="001860AB">
        <w:rPr>
          <w:rFonts w:cs="Arial"/>
        </w:rPr>
        <w:t>Debility</w:t>
      </w:r>
    </w:p>
    <w:p xmlns:wp14="http://schemas.microsoft.com/office/word/2010/wordml" w:rsidRPr="001641E7" w:rsidR="001860AB" w:rsidP="001860AB" w:rsidRDefault="001860AB" w14:paraId="5ACA019A" wp14:textId="77777777">
      <w:pPr>
        <w:pStyle w:val="Heading4"/>
        <w:rPr>
          <w:rFonts w:cs="Arial"/>
        </w:rPr>
      </w:pPr>
      <w:r w:rsidRPr="001641E7">
        <w:rPr>
          <w:rFonts w:cs="Arial"/>
        </w:rPr>
        <w:t>Our debility focus solves the wounded attachments of disability politics by challenging the happy affects demanded by biocapitalism and disrupting binaries of normal/abnormal, abled/disabled</w:t>
      </w:r>
    </w:p>
    <w:p xmlns:wp14="http://schemas.microsoft.com/office/word/2010/wordml" w:rsidRPr="001641E7" w:rsidR="001860AB" w:rsidP="001860AB" w:rsidRDefault="001860AB" w14:paraId="76198078" wp14:textId="77777777">
      <w:r w:rsidRPr="001641E7">
        <w:rPr>
          <w:rStyle w:val="Style13ptBold"/>
        </w:rPr>
        <w:t>Fritsch 15</w:t>
      </w:r>
      <w:r w:rsidRPr="001641E7">
        <w:t xml:space="preserve"> (Kelly. Ph.D in Social and Political Thought from York University. Research fields include: Disability studies, feminist theory, queer, and accessibility. The Canadian Journal of Disability Studies: Graduations of Debility and Capacity: Biocapitalism and the Neoliberalization of Disability Relations. 2015 ) // ONW </w:t>
      </w:r>
    </w:p>
    <w:p xmlns:wp14="http://schemas.microsoft.com/office/word/2010/wordml" w:rsidRPr="001641E7" w:rsidR="001860AB" w:rsidP="001860AB" w:rsidRDefault="001860AB" w14:paraId="2C625DD9" wp14:textId="77777777">
      <w:pPr>
        <w:spacing w:line="240" w:lineRule="auto"/>
        <w:ind w:left="-15" w:right="50"/>
        <w:rPr>
          <w:rStyle w:val="StyleUnderline"/>
        </w:rPr>
      </w:pPr>
      <w:r w:rsidRPr="001641E7">
        <w:rPr>
          <w:b/>
          <w:u w:val="single"/>
        </w:rPr>
        <w:t>By focusing on</w:t>
      </w:r>
      <w:r w:rsidRPr="001641E7">
        <w:rPr>
          <w:rStyle w:val="StyleUnderline"/>
        </w:rPr>
        <w:t xml:space="preserve"> normal/abnormal, or </w:t>
      </w:r>
      <w:r w:rsidRPr="001641E7">
        <w:rPr>
          <w:b/>
          <w:u w:val="single"/>
        </w:rPr>
        <w:t>abled/disabled, rather than on gradations of debility</w:t>
      </w:r>
      <w:r w:rsidRPr="001641E7">
        <w:rPr>
          <w:rStyle w:val="StyleUnderline"/>
        </w:rPr>
        <w:t xml:space="preserve"> and capacity, </w:t>
      </w:r>
      <w:r w:rsidRPr="001641E7">
        <w:rPr>
          <w:b/>
          <w:u w:val="single"/>
        </w:rPr>
        <w:t>disabled people hang onto an understanding of themselves as being excluded in a way that is not</w:t>
      </w:r>
      <w:r w:rsidRPr="001641E7">
        <w:rPr>
          <w:rStyle w:val="StyleUnderline"/>
        </w:rPr>
        <w:t xml:space="preserve"> productive for </w:t>
      </w:r>
      <w:r w:rsidRPr="001641E7">
        <w:rPr>
          <w:b/>
          <w:u w:val="single"/>
        </w:rPr>
        <w:t>fighting the neoliberal biocapitalist conditions in which disabled people are situated</w:t>
      </w:r>
      <w:r w:rsidRPr="001641E7">
        <w:rPr>
          <w:rStyle w:val="StyleUnderline"/>
        </w:rPr>
        <w:t>.</w:t>
      </w:r>
      <w:r w:rsidRPr="001641E7">
        <w:rPr>
          <w:sz w:val="16"/>
        </w:rPr>
        <w:t xml:space="preserve"> One such wounded attachment is expressed in the desire of disabled people to be included in the workforce, from which they are largely excluded, despite the ways in which such a goal can re-inscribe the competitive, individualized, entrepreneurial subject formation that is key to neoliberalism’s success. </w:t>
      </w:r>
      <w:r w:rsidRPr="001641E7">
        <w:rPr>
          <w:b/>
          <w:u w:val="single"/>
        </w:rPr>
        <w:t>This wounded attachment pre-empts certain critiques of the violence of neoliberalism</w:t>
      </w:r>
      <w:r w:rsidRPr="001641E7">
        <w:rPr>
          <w:rStyle w:val="StyleUnderline"/>
        </w:rPr>
        <w:t xml:space="preserve"> more generally; cri</w:t>
      </w:r>
      <w:r w:rsidRPr="001641E7">
        <w:rPr>
          <w:b/>
          <w:u w:val="single"/>
        </w:rPr>
        <w:t>tiques that would orient disabled subjects towards a future that rejects inequitable labour practices and the desire to be good neoliberal subjects.</w:t>
      </w:r>
      <w:r w:rsidRPr="001641E7">
        <w:rPr>
          <w:rStyle w:val="StyleUnderline"/>
        </w:rPr>
        <w:t xml:space="preserve"> This </w:t>
      </w:r>
      <w:r w:rsidRPr="001641E7">
        <w:rPr>
          <w:b/>
          <w:u w:val="single"/>
        </w:rPr>
        <w:t>wounded attachment and the desire to be included closes avenues of political discussion and action that recognize and work to counter the suffering</w:t>
      </w:r>
      <w:r w:rsidRPr="001641E7">
        <w:rPr>
          <w:rStyle w:val="StyleUnderline"/>
        </w:rPr>
        <w:t xml:space="preserve"> such inclusion would perpetuate </w:t>
      </w:r>
      <w:r w:rsidRPr="001641E7">
        <w:rPr>
          <w:b/>
          <w:u w:val="single"/>
        </w:rPr>
        <w:t>for</w:t>
      </w:r>
      <w:r w:rsidRPr="001641E7">
        <w:rPr>
          <w:rStyle w:val="StyleUnderline"/>
        </w:rPr>
        <w:t xml:space="preserve"> others — </w:t>
      </w:r>
      <w:r w:rsidRPr="001641E7">
        <w:rPr>
          <w:b/>
          <w:u w:val="single"/>
        </w:rPr>
        <w:t xml:space="preserve">including other disabled subjects. </w:t>
      </w:r>
      <w:r w:rsidRPr="001641E7">
        <w:rPr>
          <w:sz w:val="16"/>
          <w:szCs w:val="16"/>
        </w:rPr>
        <w:t xml:space="preserve">Just as Brown wants to approach suffering from an obtuse angle and not negate it, Puar takes up debility and capacity not to “disavow the crucial political gains enabled by disability activists globally, but to invite a deconstruction of what ability and capacity mean, affectively and otherwise, and to push for a broader politics of debility that destabilizes the seamless production of abled-bodies in relation to disability” (2009, 166). In doing so, Puar asks: “How would our political landscape transform if it actively decentered the sustained reproduction and proliferation of the grieving subject, opening instead toward an affective politics, attentive to ecologies of sensation and switchpoints of bodily capacities, to habituations and unhabituations, to tendencies, multiple temporalities, and becomings?” (2012, 157). While Puar may be interested in decentering a liberal political subject, rather than rehabilitating a grieving subject through intersectional politics, debility and capacity can be a means to open up the suffering of disabled people and their communities in multiple ways that could allow for a more just future for everyone. </w:t>
      </w:r>
      <w:r w:rsidRPr="001641E7">
        <w:rPr>
          <w:b/>
          <w:u w:val="single"/>
        </w:rPr>
        <w:t>Disability’s wounded attachments do not just foreclose the future, but they also obfuscate the present</w:t>
      </w:r>
      <w:r w:rsidRPr="001641E7">
        <w:rPr>
          <w:rStyle w:val="StyleUnderline"/>
        </w:rPr>
        <w:t>.</w:t>
      </w:r>
      <w:r w:rsidRPr="001641E7">
        <w:rPr>
          <w:sz w:val="16"/>
        </w:rPr>
        <w:t xml:space="preserve"> In particular, </w:t>
      </w:r>
      <w:r w:rsidRPr="001641E7">
        <w:rPr>
          <w:rStyle w:val="StyleUnderline"/>
        </w:rPr>
        <w:t xml:space="preserve">by </w:t>
      </w:r>
      <w:r w:rsidRPr="001641E7">
        <w:rPr>
          <w:b/>
          <w:u w:val="single"/>
        </w:rPr>
        <w:t>arguing that the distinction between</w:t>
      </w:r>
      <w:r w:rsidRPr="001641E7">
        <w:rPr>
          <w:rStyle w:val="StyleUnderline"/>
        </w:rPr>
        <w:t xml:space="preserve"> normal/abnormal and its conflation with </w:t>
      </w:r>
      <w:r w:rsidRPr="001641E7">
        <w:rPr>
          <w:b/>
          <w:u w:val="single"/>
        </w:rPr>
        <w:t xml:space="preserve">abled/disabled continues to inform the medical field’s or an employer’s understanding of disability </w:t>
      </w:r>
      <w:r w:rsidRPr="001641E7">
        <w:rPr>
          <w:rStyle w:val="StyleUnderline"/>
        </w:rPr>
        <w:t xml:space="preserve">is to misunderstand the differential equations that organize significant portions of biocapitalism and neoliberal labour practices. </w:t>
      </w:r>
      <w:r w:rsidRPr="001641E7">
        <w:rPr>
          <w:sz w:val="16"/>
        </w:rPr>
        <w:t xml:space="preserve">While </w:t>
      </w:r>
      <w:r w:rsidRPr="001641E7">
        <w:rPr>
          <w:rStyle w:val="StyleUnderline"/>
        </w:rPr>
        <w:t xml:space="preserve">disabled subjects certainly do confront such ableism when they present themselves to a doctor to be authorized as “disabled enough” to receive or keep disability-specific social subsidies and services, this interaction is only one component of disability relations that does not address the ways in which the biotech fields focus </w:t>
      </w:r>
      <w:r w:rsidRPr="001641E7">
        <w:rPr>
          <w:sz w:val="16"/>
        </w:rPr>
        <w:t xml:space="preserve">on manipulating incomplete gene sequences or regenerating degenerating muscle fibres to see what they can do and not if they can be made normal. Similarly, </w:t>
      </w:r>
      <w:r w:rsidRPr="001641E7">
        <w:rPr>
          <w:rStyle w:val="StyleUnderline"/>
        </w:rPr>
        <w:t xml:space="preserve">by demanding that work places be made accessible and that ableist biases not prevent disabled subjects from being hired, disability politics risks obfuscating the calculations that determine which disabled subjects are employable. By identifying through the suffering caused by a </w:t>
      </w:r>
      <w:r w:rsidRPr="001641E7">
        <w:rPr>
          <w:i/>
          <w:u w:val="single"/>
        </w:rPr>
        <w:t>definitively</w:t>
      </w:r>
      <w:r w:rsidRPr="001641E7">
        <w:rPr>
          <w:rStyle w:val="StyleUnderline"/>
        </w:rPr>
        <w:t xml:space="preserve"> ableist society, disability scholars and activists risk misunderstanding the mobilizations of neoliberal biocapitalism. </w:t>
      </w:r>
    </w:p>
    <w:p xmlns:wp14="http://schemas.microsoft.com/office/word/2010/wordml" w:rsidRPr="001641E7" w:rsidR="001860AB" w:rsidP="001860AB" w:rsidRDefault="001860AB" w14:paraId="2DBF0D7D" wp14:textId="77777777"/>
    <w:p xmlns:wp14="http://schemas.microsoft.com/office/word/2010/wordml" w:rsidRPr="001641E7" w:rsidR="001860AB" w:rsidP="00AF5F0A" w:rsidRDefault="001860AB" w14:paraId="32B77BB0" wp14:textId="77777777">
      <w:pPr>
        <w:pStyle w:val="Heading3"/>
      </w:pPr>
      <w:r w:rsidRPr="001641E7">
        <w:lastRenderedPageBreak/>
        <w:t>Framework</w:t>
      </w:r>
    </w:p>
    <w:p xmlns:wp14="http://schemas.microsoft.com/office/word/2010/wordml" w:rsidR="001860AB" w:rsidP="001860AB" w:rsidRDefault="001860AB" w14:paraId="320880DC" wp14:textId="77777777">
      <w:pPr>
        <w:pStyle w:val="Heading4"/>
      </w:pPr>
      <w:r>
        <w:t>The TVA is a form of crip nationalism that renders the United States as advanced and progressive while projecting backwardness and incapacity onto Others elsewhere.  This biopolitics of disability trades off with an analysis of the biopolitics of debilitation that reveals the slow deaths on which incorporative liberal projects hinge.</w:t>
      </w:r>
    </w:p>
    <w:p xmlns:wp14="http://schemas.microsoft.com/office/word/2010/wordml" w:rsidR="001860AB" w:rsidP="001860AB" w:rsidRDefault="001860AB" w14:paraId="5475DEC2" wp14:textId="77777777">
      <w:r w:rsidRPr="005D76D0">
        <w:rPr>
          <w:rStyle w:val="Style13ptBold"/>
        </w:rPr>
        <w:t>Puar 18</w:t>
      </w:r>
      <w:r w:rsidRPr="00BE3598">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w:t>
      </w:r>
      <w:r>
        <w:t>70-2]</w:t>
      </w:r>
    </w:p>
    <w:p xmlns:wp14="http://schemas.microsoft.com/office/word/2010/wordml" w:rsidRPr="00FE5736" w:rsidR="001860AB" w:rsidP="001860AB" w:rsidRDefault="001860AB" w14:paraId="368DCAB0" wp14:textId="77777777">
      <w:pPr>
        <w:rPr>
          <w:rStyle w:val="StyleUnderline"/>
        </w:rPr>
      </w:pPr>
      <w:r w:rsidRPr="00C6483A">
        <w:rPr>
          <w:rStyle w:val="StyleUnderline"/>
        </w:rPr>
        <w:t>Crip nationalism</w:t>
      </w:r>
      <w:r>
        <w:t>, as Nicole Markotic and Robert McRuer argue</w:t>
      </w:r>
      <w:r w:rsidRPr="00C6483A">
        <w:rPr>
          <w:rStyle w:val="StyleUnderline"/>
        </w:rPr>
        <w:t>, functions as a version of national recognition that proffers conditional, tentative forms of citizenship within human rights regimes</w:t>
      </w:r>
      <w:r>
        <w:t xml:space="preserve">, international forums of hyperpatriotism (such as the Paralympics), and transnational activist networks. 23 As I discuss later, </w:t>
      </w:r>
      <w:r w:rsidRPr="00C6483A">
        <w:rPr>
          <w:rStyle w:val="StyleUnderline"/>
        </w:rPr>
        <w:t>the Americans with Disabilities Act of 1990, for example, has arguably done less to incorporate people with disabilities into labor pools and more to cultivate a privileged class of disabled citizens; this would be one variant of crip nationalism.</w:t>
      </w:r>
      <w:r>
        <w:t xml:space="preserve">24 Crip nationalism draws attention to how some forms of disability now might possibly be read as “privileged” within internal national hierarchies and within transnational liberal rights frames. In networks of globalization, examples of crip nationalism abound. </w:t>
      </w:r>
      <w:r w:rsidRPr="00C6483A">
        <w:rPr>
          <w:rStyle w:val="StyleUnderline"/>
        </w:rPr>
        <w:t>Neoliberal human rights and biomedical rights regimes may unwittingly impose definitions, evaluation, and judgments about what disability is across geopolitical difference.</w:t>
      </w:r>
      <w:r>
        <w:t xml:space="preserve">25 </w:t>
      </w:r>
      <w:r w:rsidRPr="00C6483A">
        <w:rPr>
          <w:rStyle w:val="StyleUnderline"/>
        </w:rPr>
        <w:t>In tandem with the brutal liberalism of such frameworks, resources are distributed, missionary-style and often unevenly, with effects that reorganize as well as reiterate hierarchies of bodily debility and capacity.</w:t>
      </w:r>
      <w:r w:rsidRPr="00C6483A">
        <w:t xml:space="preserve"> </w:t>
      </w:r>
      <w:r>
        <w:t xml:space="preserve">Disenfranchised populations are with increasing frequency recruited for projects involving biomedical, genomic, and reproductive technologies that enable forms of capacitation for few.26 Crip nationalism functions both by marking investments in nationalism and national location and more perniciously by relying on the specific circumstances of a location that is unmarked, unaccounted for, and deployed as transparent universalism. Crip nationalism is thus a constitutive function of what Mitchell and Snyder call the biopolitics of disability. I follow their definition of </w:t>
      </w:r>
      <w:r w:rsidRPr="00C6483A">
        <w:rPr>
          <w:rStyle w:val="StyleUnderline"/>
        </w:rPr>
        <w:t>the biopolitics of disability</w:t>
      </w:r>
      <w:r>
        <w:t xml:space="preserve"> as the </w:t>
      </w:r>
      <w:r w:rsidRPr="00C6483A">
        <w:rPr>
          <w:rStyle w:val="StyleUnderline"/>
        </w:rPr>
        <w:t>lauded</w:t>
      </w:r>
      <w:r>
        <w:t xml:space="preserve"> though partial and unfinished incorporation of disabilities </w:t>
      </w:r>
      <w:r w:rsidRPr="00C6483A">
        <w:rPr>
          <w:rStyle w:val="StyleUnderline"/>
        </w:rPr>
        <w:t>at the expense of</w:t>
      </w:r>
      <w:r>
        <w:t xml:space="preserve"> other less recognized forms of disability—that is to say, </w:t>
      </w:r>
      <w:r w:rsidRPr="00C6483A">
        <w:rPr>
          <w:rStyle w:val="StyleUnderline"/>
        </w:rPr>
        <w:t>a critique of the neoliberal politics of exclusion that manifest racial, classed, gendered, and national terms of disability exceptionalism.</w:t>
      </w:r>
      <w:r>
        <w:t xml:space="preserve">27 The transnational deployment of </w:t>
      </w:r>
      <w:r w:rsidRPr="00C6483A">
        <w:rPr>
          <w:rStyle w:val="StyleUnderline"/>
        </w:rPr>
        <w:t>this exceptionalism renders the United States an advanced and progressive nation of disability awareness, accommodation, and incorporation while projecting backwardness and incapacity of modernity onto those Others elsewhere.</w:t>
      </w:r>
      <w:r>
        <w:t xml:space="preserve"> Less examined, however, is how this transnational deployment of </w:t>
      </w:r>
      <w:r w:rsidRPr="00C6483A">
        <w:rPr>
          <w:rStyle w:val="StyleUnderline"/>
        </w:rPr>
        <w:t>exceptionalism works not only as a process of Othering to retain copyright as the progenitor and arbiter of ableist modernity, but more trenchantly as camouflage of</w:t>
      </w:r>
      <w:r>
        <w:t xml:space="preserve"> what I am calling </w:t>
      </w:r>
      <w:r w:rsidRPr="00C6483A">
        <w:rPr>
          <w:rStyle w:val="StyleUnderline"/>
        </w:rPr>
        <w:t>the biopolitics of debilitation.</w:t>
      </w:r>
      <w:r>
        <w:rPr>
          <w:rStyle w:val="StyleUnderline"/>
        </w:rPr>
        <w:t xml:space="preserve"> </w:t>
      </w:r>
      <w:r>
        <w:t xml:space="preserve">The oscillation between the biopolitics of disability and the biopolitics of debilitation is between those who are disabled who are excluded from the dominant mechanisms and imaginaries of disability inclusion and those made available and targeted for injury: those for whom identifying as disabled is practically an insult to a future-injured, available-for- injury body, for whom long-term bodily health and integrity is already statistically unlikely. These are often, but not always, overlapping populations. Foregrounding a direct critique of the debilitating tactics of capitalism and </w:t>
      </w:r>
      <w:r>
        <w:lastRenderedPageBreak/>
        <w:t xml:space="preserve">imperialism, this toggling relation between disability and debilitation thus extends crip nationalism as a feature of U.S. imperialism, from its national ideological iterations to its imbrication in practices of injuring and maiming. </w:t>
      </w:r>
      <w:r w:rsidRPr="00FE5736">
        <w:rPr>
          <w:rStyle w:val="StyleUnderline"/>
        </w:rPr>
        <w:t>While the biopolitics of disability still hinges on frames of inclusion within liberal models of disability, noting who is excluded and why from the frames, the biopolitics of debilitation reveals that the propagation of such frames not only excludes those who cannot perform exceptional cultural rehabilitation or exceptional relations to disability but also works to obscure the explicit injuring and debilitation of populations, highlighting at whose expense—whose slow deaths—these frames hinge. While the distinctions between disability and debilitation may not always be clear-cut, insisting on clarifying their potential differences is important in understanding the fissures between different political projects, constituencies, and geopolitical spaces.</w:t>
      </w:r>
    </w:p>
    <w:p xmlns:wp14="http://schemas.microsoft.com/office/word/2010/wordml" w:rsidRPr="001641E7" w:rsidR="001860AB" w:rsidP="001860AB" w:rsidRDefault="001860AB" w14:paraId="6B62F1B3" wp14:textId="77777777">
      <w:pPr>
        <w:spacing w:line="240" w:lineRule="auto"/>
        <w:jc w:val="both"/>
        <w:rPr>
          <w:rStyle w:val="StyleUnderline"/>
        </w:rPr>
      </w:pPr>
    </w:p>
    <w:p xmlns:wp14="http://schemas.microsoft.com/office/word/2010/wordml" w:rsidRPr="001641E7" w:rsidR="001860AB" w:rsidP="001860AB" w:rsidRDefault="001860AB" w14:paraId="376F4626" wp14:textId="77777777">
      <w:pPr>
        <w:pStyle w:val="Heading4"/>
        <w:rPr>
          <w:rFonts w:cs="Arial"/>
        </w:rPr>
      </w:pPr>
      <w:r w:rsidRPr="001641E7">
        <w:rPr>
          <w:rFonts w:cs="Arial"/>
        </w:rPr>
        <w:t>Disability studies are key to understand immigration policy</w:t>
      </w:r>
    </w:p>
    <w:p xmlns:wp14="http://schemas.microsoft.com/office/word/2010/wordml" w:rsidRPr="001641E7" w:rsidR="001860AB" w:rsidP="001860AB" w:rsidRDefault="001860AB" w14:paraId="1F91A023" wp14:textId="77777777">
      <w:r w:rsidRPr="001641E7">
        <w:rPr>
          <w:b/>
          <w:sz w:val="24"/>
        </w:rPr>
        <w:t xml:space="preserve">Baynton 16 </w:t>
      </w:r>
      <w:r w:rsidRPr="001641E7">
        <w:t xml:space="preserve">(Douglas C. Ph.D. Professor of American Cultural History, Hisotry of Disability, and American Sign Language at the Iowa College of Liberal Science. Former Smithsonian Institutional Postdoctoral Fellow. The University of Chicago Press: Defective in the Land: Disability and American Immigration in the Age of Eugenics. 2016 ) // ONW </w:t>
      </w:r>
    </w:p>
    <w:p xmlns:wp14="http://schemas.microsoft.com/office/word/2010/wordml" w:rsidR="001860AB" w:rsidP="001860AB" w:rsidRDefault="001860AB" w14:paraId="06A32C6E" wp14:textId="77777777">
      <w:pPr>
        <w:spacing w:line="240" w:lineRule="auto"/>
        <w:jc w:val="both"/>
        <w:rPr>
          <w:rStyle w:val="StyleUnderline"/>
        </w:rPr>
      </w:pPr>
      <w:r w:rsidRPr="001641E7">
        <w:rPr>
          <w:sz w:val="16"/>
        </w:rPr>
        <w:t xml:space="preserve">The issues of ethnicity and disability were inextricably intertwined. </w:t>
      </w:r>
      <w:r w:rsidRPr="001641E7">
        <w:rPr>
          <w:rStyle w:val="StyleUnderline"/>
        </w:rPr>
        <w:t>While disability has been largely overlooked as a category of analysis in the literature on immigration, this is by no means unique to immigration studies. Disability is conspicuously absent from all fields of histories.</w:t>
      </w:r>
      <w:r w:rsidRPr="001641E7">
        <w:rPr>
          <w:sz w:val="16"/>
        </w:rPr>
        <w:t xml:space="preserve"> In areas of study where disability is clearly central, such as the consequences of war, industrialization, and the rise of the automobile, even in the history of the eugenics movement, the literature has focused elsewhere, emphasizing better established categories of analysis such as race, gender, and class, and leaving disability unexamined at the periphery. </w:t>
      </w:r>
      <w:r w:rsidRPr="001641E7">
        <w:rPr>
          <w:rStyle w:val="StyleUnderline"/>
        </w:rPr>
        <w:t xml:space="preserve">When historians do take note of disability, they usually treat it merely as personal tragedy rather than a cultural construct to be questioned and explored.29 In immigration historiography, </w:t>
      </w:r>
      <w:r w:rsidRPr="001641E7">
        <w:rPr>
          <w:sz w:val="16"/>
        </w:rPr>
        <w:t>as in so many other areas of historical inquiry,</w:t>
      </w:r>
      <w:r w:rsidRPr="001641E7">
        <w:rPr>
          <w:rStyle w:val="StyleUnderline"/>
        </w:rPr>
        <w:t xml:space="preserve"> disability has long been present but rendered either invisible or insignificant. A disability analysis is essential, however, to making sense of the depth of anti-immigrant sentiment and the workings of immigration policy at the turn of the twentieth century. While it is certain that immigration restriction rested in good part on a fear of "strangers in the land,</w:t>
      </w:r>
      <w:r w:rsidRPr="001641E7">
        <w:rPr>
          <w:sz w:val="16"/>
        </w:rPr>
        <w:t xml:space="preserve">" in John Higham's phrase, </w:t>
      </w:r>
      <w:r w:rsidRPr="001641E7">
        <w:rPr>
          <w:rStyle w:val="StyleUnderline"/>
        </w:rPr>
        <w:t>it was fueled at least as much by a fear of defectives in the land.</w:t>
      </w:r>
    </w:p>
    <w:p xmlns:wp14="http://schemas.microsoft.com/office/word/2010/wordml" w:rsidR="001860AB" w:rsidP="001860AB" w:rsidRDefault="00AF5F0A" w14:paraId="1D9F79CF" wp14:textId="77777777">
      <w:pPr>
        <w:pStyle w:val="Heading3"/>
      </w:pPr>
      <w:r>
        <w:lastRenderedPageBreak/>
        <w:t>C</w:t>
      </w:r>
      <w:r w:rsidRPr="001641E7" w:rsidR="001860AB">
        <w:t>ap K</w:t>
      </w:r>
      <w:r>
        <w:t>--</w:t>
      </w:r>
      <w:r w:rsidR="001860AB">
        <w:t>AFF solves / Comes First</w:t>
      </w:r>
    </w:p>
    <w:p xmlns:wp14="http://schemas.microsoft.com/office/word/2010/wordml" w:rsidRPr="001641E7" w:rsidR="001860AB" w:rsidP="001860AB" w:rsidRDefault="001860AB" w14:paraId="3D232408" wp14:textId="77777777">
      <w:pPr>
        <w:pStyle w:val="Heading4"/>
        <w:rPr>
          <w:rFonts w:cs="Arial"/>
        </w:rPr>
      </w:pPr>
      <w:r w:rsidRPr="001641E7">
        <w:rPr>
          <w:rFonts w:cs="Arial"/>
        </w:rPr>
        <w:t>Our politics reframes disability in terms of how biocapitalism capacitates some and leaves others to a slow death</w:t>
      </w:r>
    </w:p>
    <w:p xmlns:wp14="http://schemas.microsoft.com/office/word/2010/wordml" w:rsidRPr="001641E7" w:rsidR="001860AB" w:rsidP="001860AB" w:rsidRDefault="001860AB" w14:paraId="08584319" wp14:textId="77777777">
      <w:r w:rsidRPr="001641E7">
        <w:rPr>
          <w:rStyle w:val="Style13ptBold"/>
        </w:rPr>
        <w:t xml:space="preserve">Fritsch 15 </w:t>
      </w:r>
      <w:r w:rsidRPr="001641E7">
        <w:t xml:space="preserve">(Kelly. Ph.D in Social and Political Thought from York University. Research fields include: Disability studies, feminist theory, queer, and accessibility. The Canadian Journal of Disability Studies: Graduations of Debility and Capacity: Biocapitalism and the Neoliberalization of Disability Relations. 2015 ) // ONW </w:t>
      </w:r>
    </w:p>
    <w:p xmlns:wp14="http://schemas.microsoft.com/office/word/2010/wordml" w:rsidR="001860AB" w:rsidP="001860AB" w:rsidRDefault="001860AB" w14:paraId="2498D124" wp14:textId="77777777">
      <w:pPr>
        <w:spacing w:line="240" w:lineRule="auto"/>
        <w:ind w:left="-15" w:right="50"/>
        <w:rPr>
          <w:b/>
          <w:u w:val="single"/>
        </w:rPr>
      </w:pPr>
      <w:r w:rsidRPr="001641E7">
        <w:rPr>
          <w:b/>
          <w:u w:val="single"/>
        </w:rPr>
        <w:t xml:space="preserve">The </w:t>
      </w:r>
      <w:r w:rsidRPr="001641E7">
        <w:rPr>
          <w:rStyle w:val="StyleUnderline"/>
        </w:rPr>
        <w:t>question thus becomes how to let go of attachments to disabled exclusion and reframe disability in terms of the ways in which neoliberal biocapitalism enables some to be differentially capacitated and others to be debilitated and left for “slow</w:t>
      </w:r>
      <w:r w:rsidRPr="001641E7">
        <w:rPr>
          <w:b/>
          <w:u w:val="single"/>
        </w:rPr>
        <w:t xml:space="preserve"> death”</w:t>
      </w:r>
      <w:r w:rsidRPr="001641E7">
        <w:rPr>
          <w:rStyle w:val="StyleUnderline"/>
        </w:rPr>
        <w:t xml:space="preserve">. </w:t>
      </w:r>
      <w:r w:rsidRPr="001641E7">
        <w:rPr>
          <w:sz w:val="14"/>
        </w:rPr>
        <w:t>It is not so much about abandoning critiques of ableism or denying that disabled people face oppression. Rather</w:t>
      </w:r>
      <w:r w:rsidRPr="001641E7">
        <w:rPr>
          <w:b/>
          <w:sz w:val="14"/>
        </w:rPr>
        <w:t xml:space="preserve">, </w:t>
      </w:r>
      <w:r w:rsidRPr="001641E7">
        <w:rPr>
          <w:b/>
          <w:u w:val="single"/>
        </w:rPr>
        <w:t>it is about being attentive to the ways in which differential inclusion functions</w:t>
      </w:r>
      <w:r w:rsidRPr="001641E7">
        <w:rPr>
          <w:b/>
          <w:sz w:val="14"/>
        </w:rPr>
        <w:t>,</w:t>
      </w:r>
      <w:r w:rsidRPr="001641E7">
        <w:rPr>
          <w:rStyle w:val="StyleUnderline"/>
        </w:rPr>
        <w:t xml:space="preserve">being attentive </w:t>
      </w:r>
      <w:r w:rsidRPr="001641E7">
        <w:rPr>
          <w:b/>
          <w:u w:val="single"/>
        </w:rPr>
        <w:t>to who gets to have grievances, how neoliberal biocapitalism capitalizes on those grievances, and the ways in which disability activists</w:t>
      </w:r>
      <w:r w:rsidRPr="001641E7">
        <w:rPr>
          <w:rStyle w:val="StyleUnderline"/>
        </w:rPr>
        <w:t xml:space="preserve"> and scholars </w:t>
      </w:r>
      <w:r w:rsidRPr="001641E7">
        <w:rPr>
          <w:b/>
          <w:u w:val="single"/>
        </w:rPr>
        <w:t>are implicated in their (re)production</w:t>
      </w:r>
      <w:r w:rsidRPr="001641E7">
        <w:rPr>
          <w:rStyle w:val="StyleUnderline"/>
        </w:rPr>
        <w:t xml:space="preserve">.  </w:t>
      </w:r>
      <w:r w:rsidRPr="001641E7">
        <w:rPr>
          <w:sz w:val="14"/>
        </w:rPr>
        <w:t xml:space="preserve">And yet, while </w:t>
      </w:r>
      <w:r w:rsidRPr="001641E7">
        <w:rPr>
          <w:rStyle w:val="StyleUnderline"/>
        </w:rPr>
        <w:t xml:space="preserve">disability rides the profitable line between capacity and debility, it is still not a form of being that is entirely desirable. </w:t>
      </w:r>
      <w:r w:rsidRPr="001641E7">
        <w:rPr>
          <w:sz w:val="14"/>
        </w:rPr>
        <w:t xml:space="preserve">Further, </w:t>
      </w:r>
      <w:r w:rsidRPr="001641E7">
        <w:rPr>
          <w:b/>
          <w:u w:val="single"/>
        </w:rPr>
        <w:t>disability rights</w:t>
      </w:r>
      <w:r w:rsidRPr="001641E7">
        <w:rPr>
          <w:sz w:val="14"/>
        </w:rPr>
        <w:t xml:space="preserve">, access, and accommodations </w:t>
      </w:r>
      <w:r w:rsidRPr="001641E7">
        <w:t>had to be fought for</w:t>
      </w:r>
      <w:r w:rsidRPr="001641E7">
        <w:rPr>
          <w:sz w:val="14"/>
        </w:rPr>
        <w:t xml:space="preserve">; they were not granted through benevolence, </w:t>
      </w:r>
      <w:r w:rsidRPr="001641E7">
        <w:rPr>
          <w:rStyle w:val="StyleUnderline"/>
        </w:rPr>
        <w:t>and many gains were only possible when they also happened to be profitable. The question thus remains how to attend</w:t>
      </w:r>
      <w:r w:rsidRPr="001641E7">
        <w:rPr>
          <w:b/>
          <w:u w:val="single"/>
        </w:rPr>
        <w:t xml:space="preserve"> to differential forms of capacitation and debilitation while remaining invested in a politics that affirms disability as a life worth </w:t>
      </w:r>
      <w:r w:rsidRPr="001641E7">
        <w:rPr>
          <w:rStyle w:val="StyleUnderline"/>
        </w:rPr>
        <w:t>living and without disability necessarily needing to be</w:t>
      </w:r>
      <w:r w:rsidRPr="001641E7">
        <w:rPr>
          <w:b/>
          <w:u w:val="single"/>
        </w:rPr>
        <w:t xml:space="preserve"> made worthy through a speculatively profitable future. </w:t>
      </w:r>
    </w:p>
    <w:p xmlns:wp14="http://schemas.microsoft.com/office/word/2010/wordml" w:rsidRPr="007A625F" w:rsidR="001860AB" w:rsidP="001860AB" w:rsidRDefault="001860AB" w14:paraId="5002A5E0" wp14:textId="77777777">
      <w:pPr>
        <w:pStyle w:val="Heading4"/>
      </w:pPr>
      <w:r>
        <w:t>Capitalism is an “ability-machine” – concepts of work and labor are extend the capitalist biopolitcal state through debilitation – AFF comes first</w:t>
      </w:r>
    </w:p>
    <w:p xmlns:wp14="http://schemas.microsoft.com/office/word/2010/wordml" w:rsidRPr="00C2398C" w:rsidR="001860AB" w:rsidP="001860AB" w:rsidRDefault="001860AB" w14:paraId="51EF2C0D" wp14:textId="77777777">
      <w:r w:rsidRPr="007A625F">
        <w:rPr>
          <w:rStyle w:val="Style13ptBold"/>
        </w:rPr>
        <w:t>Luke 15</w:t>
      </w:r>
      <w:r w:rsidRPr="00C2398C">
        <w:rPr>
          <w:b/>
        </w:rPr>
        <w:t xml:space="preserve"> </w:t>
      </w:r>
      <w:r w:rsidRPr="00C2398C">
        <w:t xml:space="preserve">(Heather N. Ph.D from the UC Berkley. Associate Professor of Critical Theory and Social Justices at the Occidental College of queer theory, queer color critique, and psychoanalysis. The Sovereignty of Subtraction: Hypo/Hyperhabilitation and the Cultural Politics of Amputation in America. 2015)//ONW  </w:t>
      </w:r>
    </w:p>
    <w:p xmlns:wp14="http://schemas.microsoft.com/office/word/2010/wordml" w:rsidRPr="00C2398C" w:rsidR="001860AB" w:rsidP="001860AB" w:rsidRDefault="001860AB" w14:paraId="1259E126" wp14:textId="77777777">
      <w:pPr>
        <w:rPr>
          <w:sz w:val="16"/>
        </w:rPr>
      </w:pPr>
      <w:r w:rsidRPr="00C2398C">
        <w:rPr>
          <w:sz w:val="16"/>
        </w:rPr>
        <w:t>In these lectures, collected as The Birth of Biopolitics, Foucault makes a salient distinction between European and American liberalism: “</w:t>
      </w:r>
      <w:r w:rsidRPr="00906D41">
        <w:rPr>
          <w:rStyle w:val="StyleUnderline"/>
        </w:rPr>
        <w:t>The demand for liberalism founds the [US] state rather than the state limiting itself through liberalism [as in Europe].”</w:t>
      </w:r>
      <w:r w:rsidRPr="00C2398C">
        <w:rPr>
          <w:sz w:val="16"/>
        </w:rPr>
        <w:t xml:space="preserve">22 What effect does this disparate origin have on disability and social recognition? Claire Liachowitz’s foundational book Disability as a Social Construct traces </w:t>
      </w:r>
      <w:r w:rsidRPr="00906D41">
        <w:rPr>
          <w:rStyle w:val="StyleUnderline"/>
        </w:rPr>
        <w:t>the legislative configuration of disability as social status in the United States through the country’s resistance to state welfare for the able- bodied poor, which led to legal statutes that disabled certain subjects by minimizing the responsibility of the state and optimizing the usefulness of the body politic</w:t>
      </w:r>
      <w:r w:rsidRPr="00C2398C">
        <w:rPr>
          <w:sz w:val="16"/>
        </w:rPr>
        <w:t xml:space="preserve">.23 As Liachowitz argues, “In order to justify public giving, therefore, it is likely that society had to label any beneficiary as ‘impotent.’ As a consequence, </w:t>
      </w:r>
      <w:r w:rsidRPr="00906D41">
        <w:rPr>
          <w:rStyle w:val="StyleUnderline"/>
        </w:rPr>
        <w:t>both physical disorder and dependence on the public treasury appear to have been determining factors in the attributed helplessness of physically handicapped people.”</w:t>
      </w:r>
      <w:r w:rsidRPr="00C2398C">
        <w:rPr>
          <w:sz w:val="16"/>
        </w:rPr>
        <w:t xml:space="preserve">24 Liachowitz names this logic the “doctrine of human capital,” signifying a cost- effectiveness model that evaluates disabled subjects in terms of both their burden on the state and their value to society. The shifting deployments and interpretations of human capital, ranging from early colonial law to Progressive Era reforms, morphed the meaning of disability from “an attribute requiring public maintenance to a modifiable obstacle to gainful employment.”25 It is significant that Liachowitz traces the American origins of this doctrine to the treatment of soldiers. During the Revolutionary War, relations of the provisional nation and its wounded soldiers constituted the first US acts of government and were accordingly improvised around whether to compensate the soldier’s disability or his performed service. From the American Revolution through the Civil War, “invalid corps” continued to exploit disabled soldiers’ human capital.26 The establishment of the centralized Veterans Bureau in 1921 (later renamed the Veterans Administration), however, formalized a trend over a century and a half toward primary federal recognition of a veteran’s service status. </w:t>
      </w:r>
      <w:r w:rsidRPr="00906D41">
        <w:rPr>
          <w:rStyle w:val="StyleUnderline"/>
        </w:rPr>
        <w:t xml:space="preserve">This move legally left only nonveteran persons with </w:t>
      </w:r>
      <w:r w:rsidRPr="00906D41">
        <w:rPr>
          <w:rStyle w:val="StyleUnderline"/>
        </w:rPr>
        <w:lastRenderedPageBreak/>
        <w:t>disabilities to be measured by their usefulness and level of state dependency.27 So, if for Foucault’s Europe “the disabled person may not conform to nature, but the law in some way provides for him” whereas “monstrosity . . . calls law into question and disables it,” then for Liachowitz’s United States, just as liberalism founded the nation- state, so too dis/ability founded and enabled its sovereign domain and its specific laws that would continue to manage biopower through the ideology of human capital.</w:t>
      </w:r>
      <w:r w:rsidRPr="00C2398C">
        <w:rPr>
          <w:sz w:val="16"/>
        </w:rPr>
        <w:t xml:space="preserve"> The broadest point to draw from Liachowitz’s study is that the doctrine of human capital in the United States has framed dis/ability as a property of self in every sense of the word property. Returning to Foucault, </w:t>
      </w:r>
      <w:r w:rsidRPr="00906D41">
        <w:rPr>
          <w:rStyle w:val="StyleUnderline"/>
        </w:rPr>
        <w:t>neoliberalism’s application of neoclassical liberalism’s ideation of the homo economicus theorizes the worker not as a source of surplus value or even as a partner of exchange but, rather, as an “entrepreneur” or “enterprise” whose labor is a form of capital from the worker’s own point of view</w:t>
      </w:r>
      <w:r w:rsidRPr="00C2398C">
        <w:rPr>
          <w:sz w:val="16"/>
        </w:rPr>
        <w:t xml:space="preserve">.28 As Foucault states, “This is not a conception of labor power; it is a conception of capital- ability.”29 </w:t>
      </w:r>
      <w:r w:rsidRPr="00C2398C">
        <w:rPr>
          <w:b/>
          <w:u w:val="single"/>
        </w:rPr>
        <w:t>Human capital is thus the ability to earn income, which individuates the human as what Foucault, remarkably, calls an “ability- machine” consisting of both innate and acquired functions.30</w:t>
      </w:r>
    </w:p>
    <w:p xmlns:wp14="http://schemas.microsoft.com/office/word/2010/wordml" w:rsidR="001860AB" w:rsidP="001860AB" w:rsidRDefault="001860AB" w14:paraId="618FA5F9" wp14:textId="77777777">
      <w:pPr>
        <w:pStyle w:val="Heading4"/>
      </w:pPr>
      <w:r>
        <w:t>We solve cap – the rev will come from those who cannot work</w:t>
      </w:r>
    </w:p>
    <w:p xmlns:wp14="http://schemas.microsoft.com/office/word/2010/wordml" w:rsidRPr="00F10BE0" w:rsidR="001860AB" w:rsidP="001860AB" w:rsidRDefault="001860AB" w14:paraId="293B23E6" wp14:textId="77777777">
      <w:pPr>
        <w:rPr>
          <w:sz w:val="16"/>
        </w:rPr>
      </w:pPr>
      <w:r w:rsidRPr="005D76D0">
        <w:rPr>
          <w:rStyle w:val="Style13ptBold"/>
        </w:rPr>
        <w:t>Puar 18</w:t>
      </w:r>
      <w:r w:rsidRPr="00F10BE0">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76-8]</w:t>
      </w:r>
    </w:p>
    <w:p xmlns:wp14="http://schemas.microsoft.com/office/word/2010/wordml" w:rsidRPr="00F10BE0" w:rsidR="001860AB" w:rsidP="001860AB" w:rsidRDefault="001860AB" w14:paraId="70643805" wp14:textId="77777777">
      <w:pPr>
        <w:rPr>
          <w:sz w:val="16"/>
        </w:rPr>
      </w:pPr>
      <w:r w:rsidRPr="003462AF">
        <w:rPr>
          <w:rStyle w:val="StyleUnderline"/>
        </w:rPr>
        <w:t>Countering accommodationist models, Marta Russell and Ravi Malhotra argue for an understanding of disability grounded in anticapitalist critique rather than in liberal models of recognition, rights, tolerance, and acceptance. Noting that the “ ‘minority’ model of disability . . . views it as the product of a disabling social and architectural environment,” they write: “In contrast, we take the view that disability is a socially-created category derived from labour relations, a product of the exploitative economic structure of capitalist society: one which creates (and then oppresses) the so-called ‘disabled’ body as one of the conditions that allow the capitalist class to accumulate wealth. Seen in this light, disability is an aspect of the central contradiction of capitalism.”</w:t>
      </w:r>
      <w:r w:rsidRPr="00F10BE0">
        <w:rPr>
          <w:sz w:val="16"/>
        </w:rPr>
        <w:t xml:space="preserve">41 In the view of Russell and Malhotra, then, </w:t>
      </w:r>
      <w:r w:rsidRPr="003462AF">
        <w:rPr>
          <w:rStyle w:val="StyleUnderline"/>
        </w:rPr>
        <w:t>centralizing people with disabilities demands a radical reenvisioning of laboring, a transformation in the temporal pulse and spatial determinations of capitalism.</w:t>
      </w:r>
      <w:r w:rsidRPr="00F10BE0">
        <w:rPr>
          <w:sz w:val="16"/>
        </w:rPr>
        <w:t xml:space="preserve">42 Bodies deemed disabled bear the burden of displaying what is exploitative about the organization of labor, staking a claim in the “end of capitalism.”43 </w:t>
      </w:r>
      <w:r w:rsidRPr="003462AF">
        <w:rPr>
          <w:rStyle w:val="StyleUnderline"/>
        </w:rPr>
        <w:t>Forms of “peripheral embodiment,” they imply, are neither exceptional nor peripheral; they do not defy or challenge the norm. Rather, the periphery exposes the perceived norm as a fantasy of the social.</w:t>
      </w:r>
      <w:r w:rsidRPr="00F10BE0">
        <w:rPr>
          <w:sz w:val="16"/>
        </w:rPr>
        <w:t xml:space="preserve">44 In fact, the debilitated laboring body is a constitutive and endemic facet of the normative functioning of capitalist exploitation. </w:t>
      </w:r>
      <w:r w:rsidRPr="003462AF">
        <w:rPr>
          <w:rStyle w:val="StyleUnderline"/>
        </w:rPr>
        <w:t>Neoliberal investments in the body as portfolio, as site of entrepreneurship, entail transition of some disabled bodies from the disciplinary institutions of containment, quarantine, and expulsion into forms of incorporative biopolitical control.</w:t>
      </w:r>
      <w:r w:rsidRPr="00F10BE0">
        <w:rPr>
          <w:sz w:val="16"/>
        </w:rPr>
        <w:t xml:space="preserve"> David Mitchell and Sharon Snyder argue that “</w:t>
      </w:r>
      <w:r w:rsidRPr="003462AF">
        <w:rPr>
          <w:rStyle w:val="StyleUnderline"/>
        </w:rPr>
        <w:t>disabled people have shifted from modernity’s exception (a line of defect to be isolated and eradicated) to postmodernist [neoliberal] exceptionality</w:t>
      </w:r>
      <w:r w:rsidRPr="00F10BE0">
        <w:rPr>
          <w:sz w:val="16"/>
        </w:rPr>
        <w:t xml:space="preserve"> (failing Crip Nationalism 77 bodies resuscitated by an increasingly medicalized state). In this latter state, the ontology of disability retrieves a formerly fallen object and makes it newly available for cultural rehabilitation,” a euphemism for producing cultural docility.45 Mitchell and Snyder track this shift of people with disabilities located from “a former era of economic burden” of paternalistic, institutional, and welfare regimes when disabled people were “social pariahs,” to what they term “objects of care” that impel the investment of service economies and neoliberal strategies of intervention and rehabilitation—“ a ‘hot’ ticket item for potential research and funding schemes.”46 Mitchell and Snyder’s claim situates the disabled body as the site of extreme productivity—and thus, profitability—precisely through its lack of conventional productive laboring value. </w:t>
      </w:r>
      <w:r w:rsidRPr="003462AF">
        <w:rPr>
          <w:rStyle w:val="StyleUnderline"/>
        </w:rPr>
        <w:t xml:space="preserve">Once excluded from the labor system because of their “unproductivity,” disabled bodies have become the “sites for the exercise of the primitive accumulation that fuels capitalism.”47 This productivity is thus not “measured </w:t>
      </w:r>
      <w:r w:rsidRPr="003462AF">
        <w:rPr>
          <w:rStyle w:val="StyleUnderline"/>
        </w:rPr>
        <w:lastRenderedPageBreak/>
        <w:t>by his or her ability to produce goods and services that satisfy social/human needs,” as Erevelles points out, but rather “based solely on capitalist exploitative demands for increasing profit.”</w:t>
      </w:r>
      <w:r w:rsidRPr="00F10BE0">
        <w:rPr>
          <w:sz w:val="16"/>
        </w:rPr>
        <w:t xml:space="preserve">48 </w:t>
      </w:r>
      <w:r w:rsidRPr="003462AF">
        <w:rPr>
          <w:rStyle w:val="StyleUnderline"/>
        </w:rPr>
        <w:t>And yet, despite this profitability,</w:t>
      </w:r>
      <w:r w:rsidRPr="00F10BE0">
        <w:rPr>
          <w:sz w:val="16"/>
        </w:rPr>
        <w:t xml:space="preserve"> Mitchell and Snyder argue that </w:t>
      </w:r>
      <w:r w:rsidRPr="003462AF">
        <w:rPr>
          <w:rStyle w:val="StyleUnderline"/>
        </w:rPr>
        <w:t>the disabled non/laborer is also a resistant non-capacitated body, implicitly challenging the incomplete liberal project of docility by refusing to assimilate into a laboring capacity</w:t>
      </w:r>
      <w:r w:rsidRPr="00F10BE0">
        <w:rPr>
          <w:sz w:val="16"/>
        </w:rPr>
        <w:t xml:space="preserve">.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“non-productive bodies,” as the nascent site of dissent. </w:t>
      </w:r>
      <w:r w:rsidRPr="003462AF">
        <w:rPr>
          <w:rStyle w:val="StyleUnderline"/>
        </w:rPr>
        <w:t>No longer able to locate a single site of resistance to capitalism in a “simple, agonistic division of labor,” Mitchell and Snyder ask, “Where does resistance manifest itself once a concept of the workers’ revolution no longer seems tenable and how will this resistance govern itself without the institution of new hierarchies of inequality?” 49 In other words, the undermining of capitalism will come from those who cannot or will not work, from those whose “capacities make them ‘unfit’ for labor.” 50 This unfitness, they argue, proves “imminently productive” because these bodies inhabit and generate alternative biopolitical scripts of consumption, family, and nation.</w:t>
      </w:r>
      <w:r w:rsidRPr="00F10BE0">
        <w:rPr>
          <w:sz w:val="16"/>
        </w:rPr>
        <w:t>51 They evidence this assertion by averring that “the disabled people that we know are some of the worst consumers on the planet because they have neither the means, the interest, nor the gullibility of mistaking meaning with 78 Chapter 2 market . . . disabled artists in the U.S. live some of the most sparingly non-consumptive lives and, yet, this is what we admire about them the most.”52</w:t>
      </w:r>
    </w:p>
    <w:p xmlns:wp14="http://schemas.microsoft.com/office/word/2010/wordml" w:rsidR="001860AB" w:rsidP="001860AB" w:rsidRDefault="003530F3" w14:paraId="59305FF0" wp14:textId="77777777">
      <w:pPr>
        <w:pStyle w:val="Heading3"/>
      </w:pPr>
      <w:r>
        <w:lastRenderedPageBreak/>
        <w:t>Cap K--</w:t>
      </w:r>
      <w:r w:rsidR="001860AB">
        <w:t>Permutation</w:t>
      </w:r>
    </w:p>
    <w:p xmlns:wp14="http://schemas.microsoft.com/office/word/2010/wordml" w:rsidR="001860AB" w:rsidP="001860AB" w:rsidRDefault="001860AB" w14:paraId="5D078DDA" wp14:textId="77777777">
      <w:pPr>
        <w:pStyle w:val="Heading4"/>
      </w:pPr>
      <w:r>
        <w:t>Perm – do both</w:t>
      </w:r>
    </w:p>
    <w:p xmlns:wp14="http://schemas.microsoft.com/office/word/2010/wordml" w:rsidRPr="008C09C3" w:rsidR="001860AB" w:rsidP="001860AB" w:rsidRDefault="001860AB" w14:paraId="5D375B8E" wp14:textId="77777777">
      <w:pPr>
        <w:pStyle w:val="Heading4"/>
      </w:pPr>
      <w:r>
        <w:t xml:space="preserve">Failure to account for the centrality of debility in the workings of capitalism obscures the economy of rehabilitation that extracts profit from disposable populations through primitive accumulation </w:t>
      </w:r>
    </w:p>
    <w:p xmlns:wp14="http://schemas.microsoft.com/office/word/2010/wordml" w:rsidRPr="008C09C3" w:rsidR="001860AB" w:rsidP="001860AB" w:rsidRDefault="001860AB" w14:paraId="7F37D565" wp14:textId="77777777">
      <w:pPr>
        <w:rPr>
          <w:sz w:val="16"/>
        </w:rPr>
      </w:pPr>
      <w:r w:rsidRPr="005D76D0">
        <w:rPr>
          <w:rStyle w:val="Style13ptBold"/>
        </w:rPr>
        <w:t>Puar 18</w:t>
      </w:r>
      <w:r w:rsidRPr="00F10BE0">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76-8</w:t>
      </w:r>
      <w:r>
        <w:rPr>
          <w:sz w:val="16"/>
        </w:rPr>
        <w:t>1]</w:t>
      </w:r>
    </w:p>
    <w:p xmlns:wp14="http://schemas.microsoft.com/office/word/2010/wordml" w:rsidRPr="004A0F26" w:rsidR="001860AB" w:rsidP="001860AB" w:rsidRDefault="001860AB" w14:paraId="4AA1130A" wp14:textId="77777777">
      <w:pPr>
        <w:rPr>
          <w:rStyle w:val="StyleUnderline"/>
        </w:rPr>
      </w:pPr>
      <w:r>
        <w:t xml:space="preserve">I will leave aside for a moment the geopolitical inflections fueling certitude regarding the passé potential of organized resistance at the point of production. The claim about the inherent resistant capacity of the non-productive disabled laborer bears a complex relation to Mitchell and Snyder’s earlier conviction that disabled bodies have now transitioned into objects of care that represent a unique site for the capture of every element for capitalist profit.53 </w:t>
      </w:r>
      <w:r w:rsidRPr="004A0F26">
        <w:rPr>
          <w:rStyle w:val="StyleUnderline"/>
        </w:rPr>
        <w:t>Do the individual consumption practices of disabled people (artists) mitigate, even remotely, the profitability of the sites of primitive accumulation that objects of care generate?</w:t>
      </w:r>
      <w:r>
        <w:t xml:space="preserve"> Further, the resistance of non-consumptive lives pales in a global economic context where, as Gayatri Spivak reminds us, humanistic training in consumerism is foreclosed for populations whose labor creates consumer opportunities for others. 54 </w:t>
      </w:r>
      <w:r w:rsidRPr="004A0F26">
        <w:rPr>
          <w:rStyle w:val="StyleUnderline"/>
        </w:rPr>
        <w:t>The (individual) capacity to consume—or to refuse to consume—is already predicated on the privileged position of the consumer-citizen.</w:t>
      </w:r>
      <w:r>
        <w:t xml:space="preserve"> Mitchell and Snyder </w:t>
      </w:r>
      <w:r w:rsidRPr="004A0F26">
        <w:rPr>
          <w:rStyle w:val="StyleUnderline"/>
        </w:rPr>
        <w:t>lionize the non-laboring debilitated body as the new threshold of resistance</w:t>
      </w:r>
      <w:r>
        <w:t xml:space="preserve">—a crypto-capacity— </w:t>
      </w:r>
      <w:r w:rsidRPr="004A0F26">
        <w:rPr>
          <w:rStyle w:val="StyleUnderline"/>
        </w:rPr>
        <w:t>via their positions as improper producers as well as consumers. But this formulation, as much as it would seem empowering to embrace, actually relies on the occlusion of the centrality of debilitation to the workings of capitalism. It effaces the unflinching need for “social pariahs” available for injury, excluded from the economies that hail certain bodies worthy of being objects of care, however compromised this inclusion may be. There are surely individuals with disabilities who perhaps neither labor nor consume “properly,” but any resistance this may signal is not an a priori feature of being disabled. Further, populations that are not roped into an economy of rehabilitative objects of care are sites of profit precisely for their availability for injury, their inability to labor, their exclusion from adequate health care, and their ideological production as lazy, criminal, and burdensome. While these populations may well enact various forms of resistance to capitalism, they do not escape the violent processes of primitive accumulation that extract profit from the disposability that threatens these exact populations.</w:t>
      </w:r>
    </w:p>
    <w:p xmlns:wp14="http://schemas.microsoft.com/office/word/2010/wordml" w:rsidRPr="008F570A" w:rsidR="001860AB" w:rsidP="001860AB" w:rsidRDefault="001860AB" w14:paraId="67102B1D" wp14:textId="77777777">
      <w:pPr>
        <w:pStyle w:val="Heading4"/>
      </w:pPr>
      <w:r>
        <w:t>Debilitation is not just an unfortunate by-productive of capitalism; it is required and constitutive of it.  We must analyze from debilitation first</w:t>
      </w:r>
    </w:p>
    <w:p xmlns:wp14="http://schemas.microsoft.com/office/word/2010/wordml" w:rsidRPr="000E2E11" w:rsidR="001860AB" w:rsidP="001860AB" w:rsidRDefault="001860AB" w14:paraId="21EA01B9" wp14:textId="77777777">
      <w:pPr>
        <w:rPr>
          <w:sz w:val="16"/>
        </w:rPr>
      </w:pPr>
      <w:r w:rsidRPr="005D76D0">
        <w:rPr>
          <w:rStyle w:val="Style13ptBold"/>
        </w:rPr>
        <w:t>Puar 18</w:t>
      </w:r>
      <w:r w:rsidRPr="00F10BE0">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w:t>
      </w:r>
      <w:r w:rsidRPr="000E2E11">
        <w:t>81-4</w:t>
      </w:r>
      <w:r>
        <w:t>]</w:t>
      </w:r>
    </w:p>
    <w:p xmlns:wp14="http://schemas.microsoft.com/office/word/2010/wordml" w:rsidRPr="008F570A" w:rsidR="001860AB" w:rsidP="001860AB" w:rsidRDefault="001860AB" w14:paraId="22AEA06D" wp14:textId="77777777">
      <w:pPr>
        <w:rPr>
          <w:sz w:val="14"/>
        </w:rPr>
      </w:pPr>
      <w:r w:rsidRPr="00280542">
        <w:rPr>
          <w:rStyle w:val="StyleUnderline"/>
        </w:rPr>
        <w:t>Debilitation is</w:t>
      </w:r>
      <w:r w:rsidRPr="008F570A">
        <w:rPr>
          <w:sz w:val="14"/>
        </w:rPr>
        <w:t xml:space="preserve"> therefore </w:t>
      </w:r>
      <w:r w:rsidRPr="00280542">
        <w:rPr>
          <w:rStyle w:val="StyleUnderline"/>
        </w:rPr>
        <w:t>not just an unfortunate by-product of the exploitative workings of capitalism; it is required for and constitutive of the expansion of profit. Certain bodies are employed in production processes precisely because they are deemed available for injury—they are, in other words, objects of disposability, bodies whose debilitation is required in order to sustain capitalist narratives of progress.</w:t>
      </w:r>
      <w:r w:rsidRPr="008F570A">
        <w:rPr>
          <w:sz w:val="14"/>
        </w:rPr>
        <w:t xml:space="preserve"> 70 Participation in the labor market may also </w:t>
      </w:r>
      <w:r w:rsidRPr="008F570A">
        <w:rPr>
          <w:sz w:val="14"/>
        </w:rPr>
        <w:lastRenderedPageBreak/>
        <w:t xml:space="preserve">entail extraction of biological information as a source of value.71 Bioinformatic economies—dna encoding and species preservation, stem cell research, digitization, biometrics, surveillance technologies, regenerative medical sciences—increase the contact zones and points of interface between subindividual bodily capacities while facilitating the constant amassing of information. They rely on and reassert extractive economies. </w:t>
      </w:r>
      <w:r w:rsidRPr="00280542">
        <w:rPr>
          <w:rStyle w:val="StyleUnderline"/>
        </w:rPr>
        <w:t>Kaushik Sunder Rajan details the life trajectory of the “experimental subject,” one increasingly displaced from conventional forms of agricultural and manual labor (often from the global south) to biocapital regimes where information is extracted from bodily material.</w:t>
      </w:r>
      <w:r w:rsidRPr="008F570A">
        <w:rPr>
          <w:sz w:val="14"/>
        </w:rPr>
        <w:t xml:space="preserve">72 </w:t>
      </w:r>
      <w:r w:rsidRPr="00280542">
        <w:rPr>
          <w:rStyle w:val="StyleUnderline"/>
        </w:rPr>
        <w:t>In another example, Raewyn Connell writes, “Both the tissue economy and the redefinition of bodies have effects on disability: the former by literally manufacturing impaired bodies in the global periphery (the ‘donors’), the latter by circulating fantasies of the perfect body and inciting desire among the global rich to buy perfection. Both produce, as the dark side of the pursuit of health and desirability, a category of rubbish people (to use an Australian indigenous expression) who can be seen as contemptible and expendable.”</w:t>
      </w:r>
      <w:r w:rsidRPr="008F570A">
        <w:rPr>
          <w:sz w:val="14"/>
        </w:rPr>
        <w:t xml:space="preserve">73 </w:t>
      </w:r>
      <w:r w:rsidRPr="00280542">
        <w:rPr>
          <w:rStyle w:val="StyleUnderline"/>
        </w:rPr>
        <w:t>It is the “rubbish people”— literally described as objects of disposability—whose exclusion from the imaginaries and practices of biopolitical incorporation are necessary, whose debilitation upholds the terms of cultural rehabilitation.</w:t>
      </w:r>
      <w:r w:rsidRPr="008F570A">
        <w:rPr>
          <w:sz w:val="14"/>
        </w:rPr>
        <w:t xml:space="preserve"> </w:t>
      </w:r>
      <w:r w:rsidRPr="00280542">
        <w:rPr>
          <w:rStyle w:val="StyleUnderline"/>
        </w:rPr>
        <w:t>The curation of objects of care is linked to the purchasing of prognostic power: in other words, the capacity to attempt to outpace the variables of calculated risk attached to biopolitical populations through the mobilization of biomedical, economic, and social resources.</w:t>
      </w:r>
      <w:r w:rsidRPr="008F570A">
        <w:rPr>
          <w:sz w:val="14"/>
        </w:rPr>
        <w:t xml:space="preserve"> The purchase of prognostic power is tethered to what Sunder Rajan calls the patient-in- waiting. 74 This patient is inevitably hailed as a consumer-in- waiting, enabled, literally and conceptually, by the experimental subject. </w:t>
      </w:r>
      <w:r w:rsidRPr="00280542">
        <w:rPr>
          <w:rStyle w:val="StyleUnderline"/>
        </w:rPr>
        <w:t>The neoliberal consumer subject of health—an object of care—assumes the right not to be injured</w:t>
      </w:r>
      <w:r w:rsidRPr="008F570A">
        <w:rPr>
          <w:sz w:val="14"/>
        </w:rPr>
        <w:t xml:space="preserve"> in the usage of products, even as accidents that derive from product design can be predicted with statistical precision, mapping the bodies that are likely to be implicated in these dynamics. As Catherine Waldby and Robert Mitchell write, </w:t>
      </w:r>
      <w:r w:rsidRPr="00280542">
        <w:rPr>
          <w:rStyle w:val="StyleUnderline"/>
        </w:rPr>
        <w:t>“The wealthy can purchase the fantasy of a regenerative body at the expense of the health of other, less valuable bodies.”</w:t>
      </w:r>
      <w:r w:rsidRPr="008F570A">
        <w:rPr>
          <w:sz w:val="14"/>
        </w:rPr>
        <w:t xml:space="preserve">75 Snyder and Mitchell offer the figure of Oscar Pistorius as an indication of “a new era of disabled athleticism—buffed, muscular, yet technologically supplemented bodies—promising all of the transcendent capacity a hyper-medicalized culture could offer.”76 These bodies Snyder and Mitchell demarcate the “able-disabled.” </w:t>
      </w:r>
      <w:r w:rsidRPr="00280542">
        <w:rPr>
          <w:rStyle w:val="StyleUnderline"/>
        </w:rPr>
        <w:t>Neoliberal regimes of biocapital produce the body as never healthy enough, and thus always in a debilitated state in relation to what one’s bodily capacity is imagined to be. As such, the democratization of disability as an inevitable state that will interpellate everyone, discussed earlier, is itself a repetition of this neoliberal framework, which produces profit from precisely this logic.</w:t>
      </w:r>
      <w:r w:rsidRPr="008F570A">
        <w:rPr>
          <w:sz w:val="14"/>
        </w:rPr>
        <w:t xml:space="preserve"> Aging itself is seen as debilitation, as some populations live longer but also live with more chronic illness. Regenerative medicine produces the experience of “double biological time”: as the body ages, the (unrealistic) possibility of restoring its various parts to at least an “earlier” state proliferates, and a certain promised return to capacity accompanies the experience of aging through debility.</w:t>
      </w:r>
      <w:r w:rsidRPr="00A55074">
        <w:rPr>
          <w:rStyle w:val="StyleUnderline"/>
        </w:rPr>
        <w:t>77 Being “better than well” emerges as the alibi for the translation of sensation and affect into symptom and thus the rationale for all types of medical intervention, manufacturing the “continual enlargement of the domain of the therapeutic.”</w:t>
      </w:r>
      <w:r w:rsidRPr="008F570A">
        <w:rPr>
          <w:sz w:val="14"/>
        </w:rPr>
        <w:t xml:space="preserve">78 One example of enhancing capacitation is the historical emergence of shyness as a social anxiety disorder, whereby psychotropic drugs become “personality optimizers.” 79 Another example is the burgeoning field of “cosmetic neurology,” a term used to “describe the practice of using drugs developed for recognized medical conditions to strengthen ordinary cognition,” such as the growing use of Ritalin and Adderall among college students and marathon poker players.80 A third example is yet the idea that we always die prematurely or should not be subjected to chance at all. Suggested in the legal notion of “lost chance,” the loss of chance itself can be injurious such that one should be compensated for not being given every last opportunity to prevent death. In these many examples we see the entwinement of the biopolitics of disability and the biopolitics of debilitation, as bodies that are hailed into a liberal politics of disability, and biopolitically incorporated as objects of care are folded in as part of the exploitation and disavowal of debilitated bodies. Such a division, therefore, between “economic burden” (i.e., social pariahs) and “objects of care” rests on an erasure of how capitalism has always created and sustained debilitation. Per Russell and Malhotra’s argument that </w:t>
      </w:r>
      <w:r w:rsidRPr="00A55074">
        <w:rPr>
          <w:rStyle w:val="StyleUnderline"/>
        </w:rPr>
        <w:t xml:space="preserve">disability is an aspect of the central contradiction of capitalism, bodies that hinge or are the conduits between economic burden/social pariahs and objects of care are mediated through race, class, gender, region, and causes of disability. Further, Connell argues, the divisions between social pariahs and objects of care get newly recharged and redefined—sometimes, depending on context, obversely—through neoliberalism: “Under workfare regimes that claim to end paternalistic care and dependence—in fact re-regulating the relation between welfare and the labour market—some disabled bodies are defined as work-able, others as deserving of welfare. . . . To enforce this view of disability, rising levels of </w:t>
      </w:r>
      <w:r w:rsidRPr="00A55074">
        <w:rPr>
          <w:rStyle w:val="StyleUnderline"/>
        </w:rPr>
        <w:lastRenderedPageBreak/>
        <w:t>surveillance are required. The globalization of neoliberal capitalism has extended this logic of disability around the world.”</w:t>
      </w:r>
      <w:r w:rsidRPr="008F570A">
        <w:rPr>
          <w:sz w:val="14"/>
        </w:rPr>
        <w:t>81 As such, we might want to be wary of claims that generalize any major historical shift, claims that unwittingly also betray a telling geographic locatedness and schema, in relation to capitalist exploitation of bodies that generate profit through disabled bodies versus bodies that need to be debilitated in order to be productive. What I want to suggest now, and elaborate later, is that in the leap from exception to exceptionality, or disability exceptionalism, the temporality of the endemic has been obfuscated.</w:t>
      </w:r>
    </w:p>
    <w:p xmlns:wp14="http://schemas.microsoft.com/office/word/2010/wordml" w:rsidRPr="001641E7" w:rsidR="001860AB" w:rsidP="001860AB" w:rsidRDefault="001860AB" w14:paraId="02F2C34E" wp14:textId="77777777">
      <w:pPr>
        <w:spacing w:line="240" w:lineRule="auto"/>
        <w:ind w:left="-15" w:right="50"/>
        <w:rPr>
          <w:b/>
          <w:u w:val="single"/>
        </w:rPr>
      </w:pPr>
    </w:p>
    <w:p xmlns:wp14="http://schemas.microsoft.com/office/word/2010/wordml" w:rsidR="001860AB" w:rsidP="008D5C29" w:rsidRDefault="001860AB" w14:paraId="418E79F3" wp14:textId="77777777">
      <w:pPr>
        <w:pStyle w:val="Heading3"/>
      </w:pPr>
      <w:r>
        <w:lastRenderedPageBreak/>
        <w:t>Settlerism K / Antiblackness K</w:t>
      </w:r>
    </w:p>
    <w:p xmlns:wp14="http://schemas.microsoft.com/office/word/2010/wordml" w:rsidRPr="00C2398C" w:rsidR="001860AB" w:rsidP="001860AB" w:rsidRDefault="001860AB" w14:paraId="7C858B92" wp14:textId="77777777">
      <w:pPr>
        <w:pStyle w:val="Heading4"/>
        <w:rPr>
          <w:rFonts w:cs="Arial"/>
        </w:rPr>
      </w:pPr>
      <w:r>
        <w:rPr>
          <w:rFonts w:cs="Arial"/>
        </w:rPr>
        <w:t>Perm do both – settler colonization extends itself through the right to maim – we need intersectional analysis to build movements for a future where lives are livable</w:t>
      </w:r>
    </w:p>
    <w:p xmlns:wp14="http://schemas.microsoft.com/office/word/2010/wordml" w:rsidRPr="00C2398C" w:rsidR="001860AB" w:rsidP="001860AB" w:rsidRDefault="001860AB" w14:paraId="62DF8796" wp14:textId="77777777">
      <w:pPr>
        <w:rPr>
          <w:sz w:val="16"/>
        </w:rPr>
      </w:pPr>
      <w:r w:rsidRPr="00C2398C">
        <w:rPr>
          <w:rStyle w:val="Style13ptBold"/>
        </w:rPr>
        <w:t>Puar 17</w:t>
      </w:r>
      <w:r w:rsidRPr="00C2398C">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Lhudson</w:t>
      </w:r>
    </w:p>
    <w:p xmlns:wp14="http://schemas.microsoft.com/office/word/2010/wordml" w:rsidRPr="000063FE" w:rsidR="001860AB" w:rsidP="001860AB" w:rsidRDefault="001860AB" w14:paraId="7323D87F" wp14:textId="77777777">
      <w:pPr>
        <w:rPr>
          <w:sz w:val="12"/>
        </w:rPr>
      </w:pPr>
      <w:r w:rsidRPr="000063FE">
        <w:rPr>
          <w:sz w:val="12"/>
        </w:rPr>
        <w:t xml:space="preserve">why biopolitics? </w:t>
      </w:r>
      <w:r w:rsidRPr="00475704">
        <w:rPr>
          <w:rStyle w:val="StyleUnderline"/>
        </w:rPr>
        <w:t xml:space="preserve">The Right to Maim situates </w:t>
      </w:r>
      <w:r w:rsidRPr="000063FE">
        <w:rPr>
          <w:rStyle w:val="StyleUnderline"/>
        </w:rPr>
        <w:t>disability as a register of biopolitical population control, one that modulates which bodies are hailed by institutions to represent the professed progress made by liberal rights–bearing subjects.</w:t>
      </w:r>
      <w:r w:rsidRPr="000063FE">
        <w:rPr>
          <w:sz w:val="12"/>
        </w:rPr>
        <w:t xml:space="preserve"> As with Terrorist Assemblages, this book is largely about what happens after certain liberal rights are bestowed, certain thresholds or parameters of success are claimed to have been reached: What happens when “we” get what “we” want? In other words, how is it that we have come to this historical juncture where we can or must talk about “(white) privilege,” and “disability” together? But my argument also makes a critical intervention into the literatures of and scholarship on biopolitics, which have been less likely to take up issues of disability and debility. Michel Foucault’s foundational formulation hinges on all the population measures that enable some forms of living and inhibit others: birthrates, fertility, longevity, disease, impairment, toxicity, productivity. In other words, these irreducible metrics of biopolitics are also metrics of debility and capacity. </w:t>
      </w:r>
      <w:r w:rsidRPr="00C2398C">
        <w:rPr>
          <w:rStyle w:val="StyleUnderline"/>
          <w:highlight w:val="yellow"/>
        </w:rPr>
        <w:t>Biopolitics</w:t>
      </w:r>
      <w:r w:rsidRPr="00C2398C">
        <w:rPr>
          <w:rStyle w:val="StyleUnderline"/>
        </w:rPr>
        <w:t xml:space="preserve"> deployed through its neoliberal guises </w:t>
      </w:r>
      <w:r w:rsidRPr="00C2398C">
        <w:rPr>
          <w:rStyle w:val="StyleUnderline"/>
          <w:highlight w:val="yellow"/>
        </w:rPr>
        <w:t>is a capacitation</w:t>
      </w:r>
      <w:r w:rsidRPr="00C2398C">
        <w:rPr>
          <w:rStyle w:val="StyleUnderline"/>
        </w:rPr>
        <w:t xml:space="preserve"> </w:t>
      </w:r>
      <w:r w:rsidRPr="00C2398C">
        <w:rPr>
          <w:rStyle w:val="StyleUnderline"/>
          <w:highlight w:val="yellow"/>
        </w:rPr>
        <w:t>machine</w:t>
      </w:r>
      <w:r w:rsidRPr="000063FE">
        <w:rPr>
          <w:sz w:val="12"/>
        </w:rPr>
        <w:t xml:space="preserve">; biopolitics seeks capacitation for some as a liberal rationale (in some cases) or foil for the debilitation of many others. It is, in sum, an ableist mechanism that debilitates. Biopolitics as a conceptual paradigm can thus be read as a theory of debility and capacity. Addressing disability directly forces a new, discrete component into the living/dying pendulum that forms most discussions of biopolitics: the living dead, death worlds, necropolitics, slow death, life itself. These frames presume death to be the ultimate assault, transgression, or goal, and the biopolitical end point or opposite of life. I am arguing that </w:t>
      </w:r>
      <w:r w:rsidRPr="00475704">
        <w:rPr>
          <w:rStyle w:val="StyleUnderline"/>
        </w:rPr>
        <w:t>debilitation and the production of disability are in fact biopolitical ends unto themselves</w:t>
      </w:r>
      <w:r w:rsidRPr="000063FE">
        <w:rPr>
          <w:sz w:val="12"/>
        </w:rPr>
        <w:t xml:space="preserve">, </w:t>
      </w:r>
      <w:r w:rsidRPr="00475704">
        <w:rPr>
          <w:rStyle w:val="StyleUnderline"/>
        </w:rPr>
        <w:t>with moving neither toward life nor toward death</w:t>
      </w:r>
      <w:r w:rsidRPr="000063FE">
        <w:rPr>
          <w:sz w:val="12"/>
        </w:rPr>
        <w:t xml:space="preserve"> as the aim. This is what I call </w:t>
      </w:r>
      <w:r w:rsidRPr="00475704">
        <w:rPr>
          <w:rStyle w:val="StyleUnderline"/>
        </w:rPr>
        <w:t>“the right to maim”: a right expressive of sovereign power that is linked to, but</w:t>
      </w:r>
      <w:r w:rsidRPr="00C2398C">
        <w:rPr>
          <w:rStyle w:val="StyleUnderline"/>
        </w:rPr>
        <w:t xml:space="preserve"> not the same as, “the right to kill.” </w:t>
      </w:r>
      <w:r w:rsidRPr="00C2398C">
        <w:rPr>
          <w:rStyle w:val="StyleUnderline"/>
          <w:highlight w:val="yellow"/>
        </w:rPr>
        <w:t>Maiming is a source of value extraction from populations that would otherwise be disposable</w:t>
      </w:r>
      <w:r w:rsidRPr="000063FE">
        <w:rPr>
          <w:sz w:val="12"/>
        </w:rPr>
        <w:t xml:space="preserve">. The right to maim exemplifies the most intensive practice of the biopolitics of debilitation, where </w:t>
      </w:r>
      <w:r w:rsidRPr="00C2398C">
        <w:rPr>
          <w:rStyle w:val="StyleUnderline"/>
          <w:highlight w:val="yellow"/>
        </w:rPr>
        <w:t>maiming is a sanctioned tactic of settler colonial rule, justified in protectionist terms and soliciting disability rights solutions that</w:t>
      </w:r>
      <w:r w:rsidRPr="000063FE">
        <w:rPr>
          <w:sz w:val="12"/>
        </w:rPr>
        <w:t xml:space="preserve">, while absolutely crucial to aiding some individuals, unfortunately </w:t>
      </w:r>
      <w:r w:rsidRPr="00C2398C">
        <w:rPr>
          <w:rStyle w:val="StyleUnderline"/>
          <w:highlight w:val="yellow"/>
        </w:rPr>
        <w:t>lead to further perpetuation of debilitation</w:t>
      </w:r>
      <w:r w:rsidRPr="00C2398C">
        <w:rPr>
          <w:rStyle w:val="StyleUnderline"/>
        </w:rPr>
        <w:t xml:space="preserve">. </w:t>
      </w:r>
      <w:r w:rsidRPr="000063FE">
        <w:rPr>
          <w:sz w:val="12"/>
        </w:rPr>
        <w:t>In The Right to Maim, I focus less on an important project of disability rights and disability studies, which is to refute disability as lack, as inherently undesirable, and as the sign, evidence, or fetish of injustice and victimhood. I am not sidestepping this issue. Rather</w:t>
      </w:r>
      <w:r w:rsidRPr="00C2398C">
        <w:rPr>
          <w:rStyle w:val="StyleUnderline"/>
        </w:rPr>
        <w:t>, I centralize the quest for justice to situate what material conditions of possibility are necessary for such positive reenvisionings of disability to flourish, and what happens when those conditions are not available.</w:t>
      </w:r>
      <w:r w:rsidRPr="000063FE">
        <w:rPr>
          <w:sz w:val="12"/>
        </w:rPr>
        <w:t xml:space="preserve"> My goal here is to examine how disability is produced, how certain bodies and populations come into biopolitical being through having greater risk to become disabled than others. The difference between disability and debility that I schematize is not derived from expounding upon and contrasting phenomenological experiences of corporeality, but from evaluating the violences of biopolitical risk and metrics of health, fertility, longevity, education, and geography. Disability studies scholars such as Nirmala Erevelles and Christopher Bell have insistently pointed out the need in disability studies for intersectional analyses in order to disrupt the normative (white, male, middleclass, physically impaired) subjects that have historically dominated the field.12 The epistemic whiteness of the field is no dirty secret.13 Part of how </w:t>
      </w:r>
      <w:r w:rsidRPr="0038760A">
        <w:rPr>
          <w:rStyle w:val="StyleUnderline"/>
          <w:highlight w:val="yellow"/>
        </w:rPr>
        <w:t>white centrality is maintained is through the policing of disability itself</w:t>
      </w:r>
      <w:r w:rsidRPr="00F4781D">
        <w:rPr>
          <w:rStyle w:val="StyleUnderline"/>
        </w:rPr>
        <w:t xml:space="preserve">: what it is, who or what is responsible for it, how one lives it, whether it melds into an overarching condition of precarity of a population or is significant as an exceptional attribute of an otherwise fortunate life. </w:t>
      </w:r>
      <w:r w:rsidRPr="000063FE">
        <w:rPr>
          <w:sz w:val="12"/>
        </w:rPr>
        <w:t xml:space="preserve">These normative subjects cohere not only in terms of racial, class, and gendered privilege; they also tend toward impairments that are thought to be discernible, rather than cognitive and intellectual disabilities, chronic pain conditions like fibromyalgia or migraines, and depression. The (largely unmarked) Euro-American bias of disability studies has had to confront itself, as </w:t>
      </w:r>
      <w:r w:rsidRPr="00C2398C">
        <w:rPr>
          <w:rStyle w:val="StyleUnderline"/>
          <w:highlight w:val="yellow"/>
        </w:rPr>
        <w:t xml:space="preserve">the production of most of the world’s disability happens </w:t>
      </w:r>
      <w:r w:rsidRPr="00475704">
        <w:rPr>
          <w:rStyle w:val="StyleUnderline"/>
        </w:rPr>
        <w:t>through colonial violence, developmentalism, war, occupation, and the disparity of resources</w:t>
      </w:r>
      <w:r w:rsidRPr="000063FE">
        <w:rPr>
          <w:sz w:val="12"/>
        </w:rPr>
        <w:t xml:space="preserve">—indeed, </w:t>
      </w:r>
      <w:r w:rsidRPr="00C2398C">
        <w:rPr>
          <w:rStyle w:val="StyleUnderline"/>
          <w:highlight w:val="yellow"/>
        </w:rPr>
        <w:t>through U.S. settler colonial and imperial occupations</w:t>
      </w:r>
      <w:r w:rsidRPr="00C2398C">
        <w:rPr>
          <w:rStyle w:val="StyleUnderline"/>
        </w:rPr>
        <w:t>, as a sign of the global reach of empire</w:t>
      </w:r>
      <w:r w:rsidRPr="000063FE">
        <w:rPr>
          <w:sz w:val="12"/>
        </w:rPr>
        <w:t xml:space="preserve">.14 In 2006, Livingston noted that “while four-fifths of the world’s disabled persons live in developing countries, there is a relative dearth of humanities and social science scholarship exploring disability in non-Western contexts.”15 The same cannot be said ten years later. Crucial work now exists in southern disability studies; </w:t>
      </w:r>
      <w:r w:rsidRPr="00475704">
        <w:rPr>
          <w:rStyle w:val="StyleUnderline"/>
          <w:highlight w:val="yellow"/>
        </w:rPr>
        <w:t>the relation of disability to</w:t>
      </w:r>
      <w:r w:rsidRPr="00475704">
        <w:rPr>
          <w:rStyle w:val="StyleUnderline"/>
        </w:rPr>
        <w:t xml:space="preserve"> U.S. incarceration, </w:t>
      </w:r>
      <w:r w:rsidRPr="00475704">
        <w:rPr>
          <w:rStyle w:val="StyleUnderline"/>
          <w:highlight w:val="yellow"/>
        </w:rPr>
        <w:t>settler colonialism</w:t>
      </w:r>
      <w:r w:rsidRPr="00475704">
        <w:rPr>
          <w:rStyle w:val="StyleUnderline"/>
        </w:rPr>
        <w:t>, and imperialism</w:t>
      </w:r>
      <w:r w:rsidRPr="000063FE">
        <w:rPr>
          <w:sz w:val="12"/>
        </w:rPr>
        <w:t xml:space="preserve">; and a systemic critique of the military-industrial complex and its debilitating global expanse.16 The reproduction of this violence through neoliberal biomedical circuits of capital </w:t>
      </w:r>
      <w:r w:rsidRPr="00475704">
        <w:rPr>
          <w:rStyle w:val="StyleUnderline"/>
          <w:highlight w:val="yellow"/>
        </w:rPr>
        <w:t>ensures that</w:t>
      </w:r>
      <w:r w:rsidRPr="000063FE">
        <w:rPr>
          <w:sz w:val="12"/>
        </w:rPr>
        <w:t xml:space="preserve"> </w:t>
      </w:r>
      <w:r w:rsidRPr="00C2398C">
        <w:rPr>
          <w:rStyle w:val="StyleUnderline"/>
          <w:highlight w:val="yellow"/>
        </w:rPr>
        <w:t>human rights regimes impose definitions about what disability is,</w:t>
      </w:r>
      <w:r w:rsidRPr="00C2398C">
        <w:rPr>
          <w:rStyle w:val="StyleUnderline"/>
        </w:rPr>
        <w:t xml:space="preserve"> creating evaluations and judgments, </w:t>
      </w:r>
      <w:r w:rsidRPr="00C2398C">
        <w:rPr>
          <w:rStyle w:val="StyleUnderline"/>
          <w:highlight w:val="yellow"/>
        </w:rPr>
        <w:t>and distributes resources unevenly with effects that reorganize and/or reiterate orderings and hierarchies</w:t>
      </w:r>
      <w:r w:rsidRPr="000063FE">
        <w:rPr>
          <w:sz w:val="12"/>
        </w:rPr>
        <w:t xml:space="preserve">.17 Further to this project of unmooring disability from its hegemonic referents, </w:t>
      </w:r>
      <w:r w:rsidRPr="00475704">
        <w:rPr>
          <w:rStyle w:val="StyleUnderline"/>
          <w:highlight w:val="yellow"/>
        </w:rPr>
        <w:t>critical ethnic studies, indigenous studies, and postcolonial studies have long been elaborating the debilitating effects of racism, colonialism</w:t>
      </w:r>
      <w:r w:rsidRPr="00475704">
        <w:rPr>
          <w:rStyle w:val="StyleUnderline"/>
        </w:rPr>
        <w:t xml:space="preserve">, exploitative </w:t>
      </w:r>
      <w:r w:rsidRPr="00475704">
        <w:rPr>
          <w:rStyle w:val="StyleUnderline"/>
        </w:rPr>
        <w:lastRenderedPageBreak/>
        <w:t>industrial growth, and environmental toxicities.</w:t>
      </w:r>
      <w:r w:rsidRPr="000063FE">
        <w:rPr>
          <w:sz w:val="12"/>
        </w:rPr>
        <w:t xml:space="preserve"> Yet these literatures, because they may not engage the identity rubric of the subject position of the disabled person, are not often read as scholarship on disability.18 As such, I seek here to connect critical race theory and transnational and postcolonial theory to disability studies scholarship. From the vantage of these interdisciplinary fields, disability is everywhere and yet, for all sorts of important reasons, not claimed as such. Many bodies might not be hailed as disabled but certainly are not awash in the privileges of being able-bodied either. This project is thus less interested in what disability is (or is not), less interested in adding to the registers of disability—for example, including people of color with disabilities—and more driven by the question: what does disability as a concept do? </w:t>
      </w:r>
      <w:r w:rsidRPr="00475704">
        <w:rPr>
          <w:rStyle w:val="StyleUnderline"/>
          <w:highlight w:val="yellow"/>
        </w:rPr>
        <w:t>The stigmatization of</w:t>
      </w:r>
      <w:r w:rsidRPr="00475704">
        <w:rPr>
          <w:rStyle w:val="StyleUnderline"/>
        </w:rPr>
        <w:t xml:space="preserve"> bodily difference, </w:t>
      </w:r>
      <w:r w:rsidRPr="00475704">
        <w:rPr>
          <w:rStyle w:val="StyleUnderline"/>
          <w:highlight w:val="yellow"/>
        </w:rPr>
        <w:t>racialized bodily difference, often understood as bodily defect, is</w:t>
      </w:r>
      <w:r w:rsidRPr="00475704">
        <w:rPr>
          <w:rStyle w:val="StyleUnderline"/>
        </w:rPr>
        <w:t xml:space="preserve"> already </w:t>
      </w:r>
      <w:r w:rsidRPr="00475704">
        <w:rPr>
          <w:rStyle w:val="StyleUnderline"/>
          <w:highlight w:val="yellow"/>
        </w:rPr>
        <w:t>at the core of how populations come to be</w:t>
      </w:r>
      <w:r w:rsidRPr="00475704">
        <w:rPr>
          <w:rStyle w:val="StyleUnderline"/>
        </w:rPr>
        <w:t xml:space="preserve"> in the first place.</w:t>
      </w:r>
      <w:r w:rsidRPr="000063FE">
        <w:rPr>
          <w:sz w:val="12"/>
        </w:rPr>
        <w:t xml:space="preserve"> </w:t>
      </w:r>
      <w:r w:rsidRPr="00475704">
        <w:rPr>
          <w:rStyle w:val="StyleUnderline"/>
          <w:highlight w:val="yellow"/>
        </w:rPr>
        <w:t>My project refuses to reify racialization as defect but rather asks what other conceptual alternatives are available</w:t>
      </w:r>
      <w:r w:rsidRPr="00F4781D">
        <w:rPr>
          <w:rStyle w:val="StyleUnderline"/>
        </w:rPr>
        <w:t xml:space="preserve"> besides being relegated to defect or its dichotomous counterpart, embracing pride.</w:t>
      </w:r>
      <w:r w:rsidRPr="000063FE">
        <w:rPr>
          <w:sz w:val="12"/>
        </w:rPr>
        <w:t xml:space="preserve"> The Right to Maim is absorbed with excavating the chunkiness of power more so than the subtleties of navigating it. That is to say that assemblages can get stuck, blocked, frozen, and instrumentalized. Stories of dividuality are stories of control societies. Rather than assuming a corrective stance, I am interested in contributing to and expanding the critical lexicon, vocabulary, and conceptual apparatuses of biopolitical inquiry on disability, especially for bodies and populations that may fall into neither disability nor ability, but challenge and upturn these distinctions altogether. Throughout the text, multiple relationships of disciplinary, control, and sovereign power are central to my analyses. Detailing the interface of technologies of discipline and control makes the case for multiplying the relations of the two beyond teleological or geographic deterministic mappings. While the rise of digital forms gives control an anchoring periodization and geospatial rationale, a reliance on this narrative obscures the ongoingness of discipline and the brutal exercise of sovereign power, often cloaked in humanitarian, democratic, or life preservationist terms. Traversing a number of contemporary political and social issues, my elaboration of debilitation as potentiating capacitation is expounded throughout the book: an examination of the spate of “queer suicides” and the “It Gets Better” response that occurred in the fall of 2010, foregrounding queer (theory) as a capacitation machine; the coalitional potential of trans people and people with disabilities, examining the array of access, delimitation, and foreclosure that trans bodies have in relation to discourses and alliances with disability, the medical-industrial complex, and the recapacitation of whiteness that strategic manipulations of embodiment might afford; Israel’s complex program of rehabilitation through the debilitation of Palestinian life and land; the “rehabilitation” of the Israeli state as part of a biopolitical assemblage of control that instrumentalizes a spectrum of capacities and debilities for the use of the occupation of Palestine; the role of targeted debilitation whereby Israel manifests an implicit claim to the right to maim and debilitate Palestinian bodies and environments as a form of biopolitical control and as central to a scientifically authorized humanitarian economy. The framing of the right to maim haunts the book throughout, until it reaches its climactic and most forceful articulation in the final chapter on debilitation as a biopolitical end point unto itself. Observations from time spent in occupied East Jerusalem and the West Bank in January 2016 underscore the effects of the collision between disability rights practices and discourses, largely generated by international nongovernmental organizations, and the reality of the occupation as the primary producer of debility.When we breathe In a series in the New York Times on “people living with disabilities,” feminist disability studies scholar Rosemarie Garland-Thomson wonders why pride movements for people with disabilities “have not gained the same sort of traction in the American consciousness” as the pride movements of “women, gay people, racial minorities, and other groups.” Mentioning Black Lives Matter and the lgbtq rights movement as examples of this traction, she responds to her musings: “One answer is that we have a much clearer collective notion of what it means to be a woman or an African American, gay or transgender person than we do of what it means to be disabled.”19 There is perhaps misrecognition of Black Lives Matter as a “pride” movement, not to mention that at an earlier moment in history, the disability rights movement often marked itself as both intertwined with and following in the path of the black civil rights movement.20 Analogies between disability and race, gender, and sexuality tend to obfuscate biopolitical realities, as Garland-Thomson’s clunky list of identifications attests. </w:t>
      </w:r>
      <w:r w:rsidRPr="00475704">
        <w:rPr>
          <w:rStyle w:val="StyleUnderline"/>
          <w:highlight w:val="yellow"/>
        </w:rPr>
        <w:t>Movements need to be intersectional</w:t>
      </w:r>
      <w:r w:rsidRPr="00F4781D">
        <w:rPr>
          <w:rStyle w:val="StyleUnderline"/>
        </w:rPr>
        <w:t xml:space="preserve">, says Angela Davis, and the rapid uptake of this seasoned observation is invigorating and hopeful.21 This invocation of intersectional movements should not leave us intact with ally models but rather </w:t>
      </w:r>
      <w:r w:rsidRPr="00475704">
        <w:rPr>
          <w:rStyle w:val="StyleUnderline"/>
          <w:highlight w:val="yellow"/>
        </w:rPr>
        <w:t>create new assemblages of accountability, conspiratorial lines of flight, and seams of affinity.</w:t>
      </w:r>
      <w:r w:rsidRPr="000063FE">
        <w:rPr>
          <w:sz w:val="12"/>
        </w:rPr>
        <w:t xml:space="preserve"> </w:t>
      </w:r>
      <w:r w:rsidRPr="00C2398C">
        <w:rPr>
          <w:rStyle w:val="StyleUnderline"/>
        </w:rPr>
        <w:t xml:space="preserve">In the midst of </w:t>
      </w:r>
      <w:r w:rsidRPr="00475704">
        <w:rPr>
          <w:rStyle w:val="StyleUnderline"/>
          <w:highlight w:val="yellow"/>
        </w:rPr>
        <w:t>the Movement for Black Lives, the fight against the Dakota Access Pipeline</w:t>
      </w:r>
      <w:r w:rsidRPr="00C2398C">
        <w:rPr>
          <w:rStyle w:val="StyleUnderline"/>
        </w:rPr>
        <w:t>, the struggle for socialized health care</w:t>
      </w:r>
      <w:r w:rsidRPr="000063FE">
        <w:rPr>
          <w:sz w:val="12"/>
        </w:rPr>
        <w:t xml:space="preserve"> in the United States, </w:t>
      </w:r>
      <w:r w:rsidRPr="00C2398C">
        <w:rPr>
          <w:rStyle w:val="StyleUnderline"/>
        </w:rPr>
        <w:t>the demand to end U.S. imperial power</w:t>
      </w:r>
      <w:r w:rsidRPr="000063FE">
        <w:rPr>
          <w:sz w:val="12"/>
        </w:rPr>
        <w:t xml:space="preserve"> in the Middle East (Israel, Afghanistan, Iraq, Syria, Yemen), </w:t>
      </w:r>
      <w:r w:rsidRPr="00C2398C">
        <w:rPr>
          <w:rStyle w:val="StyleUnderline"/>
        </w:rPr>
        <w:t xml:space="preserve">what constitutes the able body is ever evolving, and its apparent referents are ever </w:t>
      </w:r>
      <w:r w:rsidRPr="00F4781D">
        <w:rPr>
          <w:rStyle w:val="StyleUnderline"/>
        </w:rPr>
        <w:t>shrinking.</w:t>
      </w:r>
      <w:r w:rsidRPr="000063FE">
        <w:rPr>
          <w:sz w:val="12"/>
        </w:rPr>
        <w:t xml:space="preserve"> What is an able body in this context? What is a non-disabled body, and is it the same as an able body? </w:t>
      </w:r>
      <w:r w:rsidRPr="00475704">
        <w:rPr>
          <w:rStyle w:val="StyleUnderline"/>
        </w:rPr>
        <w:t>Layers of precarity and vulnerability to police brutality, reckless maiming and killing</w:t>
      </w:r>
      <w:r w:rsidRPr="000063FE">
        <w:rPr>
          <w:sz w:val="12"/>
        </w:rPr>
        <w:t xml:space="preserve">, deprivation, </w:t>
      </w:r>
      <w:r w:rsidRPr="00475704">
        <w:rPr>
          <w:rStyle w:val="StyleUnderline"/>
        </w:rPr>
        <w:t>and destruction of resources that are daily features of living for some populations must not be smoothed over by hailing these bodies as able-bodied</w:t>
      </w:r>
      <w:r w:rsidRPr="00F4781D">
        <w:rPr>
          <w:rStyle w:val="StyleUnderline"/>
        </w:rPr>
        <w:t xml:space="preserve"> if they do not have or claim to be a person(s) with a disability. In the wise words of disability studies scholar and prison abolitionist Liat Ben-Moshe, “It does not matter if people identify as disabled or not.”22 “</w:t>
      </w:r>
      <w:r w:rsidRPr="00C2398C">
        <w:rPr>
          <w:rStyle w:val="StyleUnderline"/>
        </w:rPr>
        <w:t xml:space="preserve">Hands up, don’t shoot!” is not a catchy slogan that emerges from or announces able-bodied populations. Rather, this common Black Lives Matter chant </w:t>
      </w:r>
      <w:r w:rsidRPr="00475704">
        <w:rPr>
          <w:rStyle w:val="StyleUnderline"/>
          <w:highlight w:val="yellow"/>
        </w:rPr>
        <w:t>is a revolutionary call for redressing the debilitating logics of racial capitalism.</w:t>
      </w:r>
      <w:r w:rsidRPr="00F4781D">
        <w:rPr>
          <w:rStyle w:val="StyleUnderline"/>
        </w:rPr>
        <w:t xml:space="preserve"> It is a compact sketch of the frozen black body, rendered immobile by systemic</w:t>
      </w:r>
      <w:r w:rsidRPr="00C2398C">
        <w:rPr>
          <w:rStyle w:val="StyleUnderline"/>
        </w:rPr>
        <w:t xml:space="preserve"> racism and the punishment doled out for not transcending it</w:t>
      </w:r>
      <w:r w:rsidRPr="00F4781D">
        <w:rPr>
          <w:rStyle w:val="StyleUnderline"/>
        </w:rPr>
        <w:t>.</w:t>
      </w:r>
      <w:r w:rsidRPr="000063FE">
        <w:rPr>
          <w:sz w:val="12"/>
        </w:rPr>
        <w:t xml:space="preserve"> It is the story of a Palestinian resister shot dead for wielding a knife (if that) against an idf solider who has the full backing of the world’s military might. “I can’t breathe!” captures the suffocation of chokeholds on movement in Gaza and the West Bank as it does the violent forces of restraint meted out through police brutality. </w:t>
      </w:r>
      <w:r w:rsidRPr="00C2398C">
        <w:rPr>
          <w:rStyle w:val="StyleUnderline"/>
        </w:rPr>
        <w:t>“Hands up, don’t shoot!”</w:t>
      </w:r>
      <w:r w:rsidRPr="000063FE">
        <w:rPr>
          <w:sz w:val="12"/>
        </w:rPr>
        <w:t xml:space="preserve"> </w:t>
      </w:r>
      <w:r w:rsidRPr="00C2398C">
        <w:rPr>
          <w:rStyle w:val="StyleUnderline"/>
        </w:rPr>
        <w:t>and “I can’t breathe!” are,</w:t>
      </w:r>
      <w:r w:rsidRPr="000063FE">
        <w:rPr>
          <w:sz w:val="12"/>
        </w:rPr>
        <w:t xml:space="preserve"> in fact, </w:t>
      </w:r>
      <w:r w:rsidRPr="00C2398C">
        <w:rPr>
          <w:rStyle w:val="StyleUnderline"/>
        </w:rPr>
        <w:t>disability justice rally cries</w:t>
      </w:r>
      <w:r w:rsidRPr="000063FE">
        <w:rPr>
          <w:sz w:val="12"/>
        </w:rPr>
        <w:t xml:space="preserve">. The Right to Maim therefore does not seek to answer the question, where is our disability pride movement? Instead, it hopes to change the conversation to one that challenges the presumption that the distinction between who is disabled and who is not should fuel a pride movement. I explore if and how this binary effaces the biopolitical production of precarity and (un)livability that runs across these identities. </w:t>
      </w:r>
      <w:r w:rsidRPr="00475704">
        <w:rPr>
          <w:rStyle w:val="StyleUnderline"/>
          <w:highlight w:val="yellow"/>
        </w:rPr>
        <w:t>The project</w:t>
      </w:r>
      <w:r w:rsidRPr="000063FE">
        <w:rPr>
          <w:sz w:val="12"/>
        </w:rPr>
        <w:t xml:space="preserve">, then, </w:t>
      </w:r>
      <w:r w:rsidRPr="00C2398C">
        <w:rPr>
          <w:rStyle w:val="StyleUnderline"/>
        </w:rPr>
        <w:t xml:space="preserve">is not just one that hopes to </w:t>
      </w:r>
      <w:r w:rsidRPr="00475704">
        <w:rPr>
          <w:rStyle w:val="StyleUnderline"/>
          <w:highlight w:val="yellow"/>
        </w:rPr>
        <w:t>contribute to intersectional movement building</w:t>
      </w:r>
      <w:r w:rsidRPr="00C2398C">
        <w:rPr>
          <w:rStyle w:val="StyleUnderline"/>
        </w:rPr>
        <w:t>, though</w:t>
      </w:r>
      <w:r w:rsidRPr="000063FE">
        <w:rPr>
          <w:sz w:val="12"/>
        </w:rPr>
        <w:t xml:space="preserve"> let me insist </w:t>
      </w:r>
      <w:r w:rsidRPr="00C2398C">
        <w:rPr>
          <w:rStyle w:val="StyleUnderline"/>
        </w:rPr>
        <w:t>that</w:t>
      </w:r>
      <w:r w:rsidRPr="000063FE">
        <w:rPr>
          <w:sz w:val="12"/>
        </w:rPr>
        <w:t xml:space="preserve"> this </w:t>
      </w:r>
      <w:r w:rsidRPr="00C2398C">
        <w:rPr>
          <w:rStyle w:val="StyleUnderline"/>
        </w:rPr>
        <w:t>is crucial from the outset.</w:t>
      </w:r>
      <w:r w:rsidRPr="000063FE">
        <w:rPr>
          <w:sz w:val="12"/>
        </w:rPr>
        <w:t xml:space="preserve"> That is to say, </w:t>
      </w:r>
      <w:r w:rsidRPr="00475704">
        <w:rPr>
          <w:rStyle w:val="StyleUnderline"/>
          <w:highlight w:val="yellow"/>
        </w:rPr>
        <w:t>B</w:t>
      </w:r>
      <w:r w:rsidRPr="00C2398C">
        <w:rPr>
          <w:rStyle w:val="StyleUnderline"/>
        </w:rPr>
        <w:t>lack</w:t>
      </w:r>
      <w:r w:rsidRPr="000063FE">
        <w:rPr>
          <w:sz w:val="12"/>
        </w:rPr>
        <w:t xml:space="preserve"> </w:t>
      </w:r>
      <w:r w:rsidRPr="00475704">
        <w:rPr>
          <w:rStyle w:val="StyleUnderline"/>
          <w:highlight w:val="yellow"/>
        </w:rPr>
        <w:t>L</w:t>
      </w:r>
      <w:r w:rsidRPr="00C2398C">
        <w:rPr>
          <w:rStyle w:val="StyleUnderline"/>
        </w:rPr>
        <w:t xml:space="preserve">ives </w:t>
      </w:r>
      <w:r w:rsidRPr="00475704">
        <w:rPr>
          <w:rStyle w:val="StyleUnderline"/>
          <w:highlight w:val="yellow"/>
        </w:rPr>
        <w:t>M</w:t>
      </w:r>
      <w:r w:rsidRPr="00C2398C">
        <w:rPr>
          <w:rStyle w:val="StyleUnderline"/>
        </w:rPr>
        <w:t xml:space="preserve">atter </w:t>
      </w:r>
      <w:r w:rsidRPr="00475704">
        <w:rPr>
          <w:rStyle w:val="StyleUnderline"/>
          <w:highlight w:val="yellow"/>
        </w:rPr>
        <w:t>and the struggle to end the Israeli occupation of Palestine are</w:t>
      </w:r>
      <w:r w:rsidRPr="00C2398C">
        <w:rPr>
          <w:rStyle w:val="StyleUnderline"/>
        </w:rPr>
        <w:t xml:space="preserve"> not only movements “allied” with disability rights, nor are they only distinct disability justice issues. Rather</w:t>
      </w:r>
      <w:r w:rsidRPr="000063FE">
        <w:rPr>
          <w:sz w:val="12"/>
        </w:rPr>
        <w:t xml:space="preserve">, I am motivated to think of these fierce organizing practices collectively as </w:t>
      </w:r>
      <w:r w:rsidRPr="00475704">
        <w:rPr>
          <w:rStyle w:val="StyleUnderline"/>
          <w:highlight w:val="yellow"/>
        </w:rPr>
        <w:t>a disability justice movement</w:t>
      </w:r>
      <w:r w:rsidRPr="00C2398C">
        <w:rPr>
          <w:rStyle w:val="StyleUnderline"/>
        </w:rPr>
        <w:t xml:space="preserve"> itself,</w:t>
      </w:r>
      <w:r w:rsidRPr="000063FE">
        <w:rPr>
          <w:sz w:val="12"/>
        </w:rPr>
        <w:t xml:space="preserve"> as </w:t>
      </w:r>
      <w:r w:rsidRPr="00C2398C">
        <w:rPr>
          <w:rStyle w:val="StyleUnderline"/>
        </w:rPr>
        <w:t xml:space="preserve">a movement </w:t>
      </w:r>
      <w:r w:rsidRPr="00475704">
        <w:rPr>
          <w:rStyle w:val="StyleUnderline"/>
          <w:highlight w:val="yellow"/>
        </w:rPr>
        <w:t xml:space="preserve">that is demanding an end </w:t>
      </w:r>
      <w:r w:rsidRPr="00475704">
        <w:rPr>
          <w:rStyle w:val="StyleUnderline"/>
          <w:highlight w:val="yellow"/>
        </w:rPr>
        <w:lastRenderedPageBreak/>
        <w:t>to so many conditions of precaritization that debilitate many populations</w:t>
      </w:r>
      <w:r w:rsidRPr="000063FE">
        <w:rPr>
          <w:sz w:val="12"/>
        </w:rPr>
        <w:t xml:space="preserve">. At our current political conjuncture, Black Lives Matter, the Palestinian solidarity movement, </w:t>
      </w:r>
      <w:r w:rsidRPr="00475704">
        <w:rPr>
          <w:rStyle w:val="StyleUnderline"/>
          <w:highlight w:val="yellow"/>
        </w:rPr>
        <w:t>the protest against the Dakota Access Pipeline to protect sacred grounds and access to water</w:t>
      </w:r>
      <w:r w:rsidRPr="000063FE">
        <w:rPr>
          <w:sz w:val="12"/>
        </w:rPr>
        <w:t xml:space="preserve">: these </w:t>
      </w:r>
      <w:r w:rsidRPr="00475704">
        <w:rPr>
          <w:rStyle w:val="StyleUnderline"/>
          <w:highlight w:val="yellow"/>
        </w:rPr>
        <w:t xml:space="preserve">are some of the movements that are leading the way to demand livable lives for </w:t>
      </w:r>
      <w:r w:rsidRPr="000063FE">
        <w:rPr>
          <w:rStyle w:val="StyleUnderline"/>
          <w:highlight w:val="yellow"/>
        </w:rPr>
        <w:t>all. These movements may not represent the most appealing</w:t>
      </w:r>
      <w:r w:rsidRPr="000063FE">
        <w:rPr>
          <w:rStyle w:val="StyleUnderline"/>
        </w:rPr>
        <w:t xml:space="preserve"> or desired </w:t>
      </w:r>
      <w:r w:rsidRPr="000063FE">
        <w:rPr>
          <w:rStyle w:val="StyleUnderline"/>
          <w:highlight w:val="yellow"/>
        </w:rPr>
        <w:t>versions of disability pride. But they are movements anchored</w:t>
      </w:r>
      <w:r w:rsidRPr="000063FE">
        <w:rPr>
          <w:rStyle w:val="StyleUnderline"/>
        </w:rPr>
        <w:t xml:space="preserve">, in fact, </w:t>
      </w:r>
      <w:r w:rsidRPr="000063FE">
        <w:rPr>
          <w:rStyle w:val="StyleUnderline"/>
          <w:highlight w:val="yellow"/>
        </w:rPr>
        <w:t>in the lived experiences of debilitation,</w:t>
      </w:r>
      <w:r w:rsidRPr="000063FE">
        <w:rPr>
          <w:rStyle w:val="StyleUnderline"/>
        </w:rPr>
        <w:t xml:space="preserve"> implicitly contesting the right to maim, and imagining multiple futures where bodily capacities and debilities are embraced rather than weaponized.</w:t>
      </w:r>
    </w:p>
    <w:p xmlns:wp14="http://schemas.microsoft.com/office/word/2010/wordml" w:rsidR="001860AB" w:rsidP="001860AB" w:rsidRDefault="001860AB" w14:paraId="4706C9BB" wp14:textId="77777777">
      <w:pPr>
        <w:pStyle w:val="Heading4"/>
      </w:pPr>
      <w:r>
        <w:t>Perm – do both – debilitation is a key starting point for producing convivial linkages and solidarities across differences produced through biopolitical maiming that attends to the specificities to settler colonization, not as an event, but as an ongoing process of debilitation</w:t>
      </w:r>
    </w:p>
    <w:p xmlns:wp14="http://schemas.microsoft.com/office/word/2010/wordml" w:rsidR="001860AB" w:rsidP="001860AB" w:rsidRDefault="001860AB" w14:paraId="5BA26BB3" wp14:textId="77777777">
      <w:pPr>
        <w:pStyle w:val="ListParagraph"/>
        <w:numPr>
          <w:ilvl w:val="0"/>
          <w:numId w:val="11"/>
        </w:numPr>
      </w:pPr>
      <w:r>
        <w:t>This card has many uses, but it is here as an a2 set col.  Can also be used as liberalism bad, as a2 antiblackness, as biopolitics and maiming impact</w:t>
      </w:r>
    </w:p>
    <w:p xmlns:wp14="http://schemas.microsoft.com/office/word/2010/wordml" w:rsidRPr="00C2398C" w:rsidR="001860AB" w:rsidP="001860AB" w:rsidRDefault="001860AB" w14:paraId="01F23C72" wp14:textId="77777777">
      <w:pPr>
        <w:rPr>
          <w:sz w:val="16"/>
        </w:rPr>
      </w:pPr>
      <w:r w:rsidRPr="00C2398C">
        <w:rPr>
          <w:rStyle w:val="Style13ptBold"/>
        </w:rPr>
        <w:t>Puar 17</w:t>
      </w:r>
      <w:r w:rsidRPr="007C69C7">
        <w:t xml:space="preserve"> </w:t>
      </w:r>
      <w:r w:rsidRPr="00C2398C">
        <w:rPr>
          <w:sz w:val="16"/>
        </w:rPr>
        <w:t>[Jasbir K., Associate Professor of Women’s and Gender Studies @ Rutgers University, received Ph.D in Ethnic Studies from the University of California Berkeley and M.A. in  Women’s Studies from the University of York, England. The Right to Maim: Debility, Capacity, Disability. October 2017] Lhudson</w:t>
      </w:r>
    </w:p>
    <w:p xmlns:wp14="http://schemas.microsoft.com/office/word/2010/wordml" w:rsidRPr="00C2398C" w:rsidR="001860AB" w:rsidP="001860AB" w:rsidRDefault="001860AB" w14:paraId="3D17C20A" wp14:textId="77777777">
      <w:r w:rsidRPr="00C2398C">
        <w:rPr>
          <w:sz w:val="14"/>
        </w:rPr>
        <w:t xml:space="preserve">The intensification of the writing of this book, and the formulation of “the right to maim,” its most urgent political theoretical contribution, began the summer of 2014. This was the summer police shot Michael Brown in Ferguson, Missouri, and the summer of Operation Protective Edge, the fiftyone-day Israeli siege of Gaza. Organizers protesting these seemingly disparate events began drawing connections, tracing the material relationships between the Israeli occupation of Palestine and the militarization of police in Ferguson, from the training of U.S. law enforcement by the Israeli state to the tweeting of advice from Palestinians on how to alleviate tear gas exposure. </w:t>
      </w:r>
      <w:r w:rsidRPr="00D45078">
        <w:rPr>
          <w:rStyle w:val="StyleUnderline"/>
          <w:highlight w:val="yellow"/>
        </w:rPr>
        <w:t>Descriptions of the militarized containment of civilians in Ferguson echo</w:t>
      </w:r>
      <w:r w:rsidRPr="00C2398C">
        <w:rPr>
          <w:sz w:val="14"/>
        </w:rPr>
        <w:t xml:space="preserve">ed </w:t>
      </w:r>
      <w:r w:rsidRPr="00D45078">
        <w:rPr>
          <w:rStyle w:val="StyleUnderline"/>
          <w:highlight w:val="yellow"/>
        </w:rPr>
        <w:t>those of the settler colonial occupation of Palestine</w:t>
      </w:r>
      <w:r w:rsidRPr="00D45078">
        <w:rPr>
          <w:rStyle w:val="StyleUnderline"/>
        </w:rPr>
        <w:t>.</w:t>
      </w:r>
      <w:r w:rsidRPr="00C2398C">
        <w:rPr>
          <w:sz w:val="14"/>
        </w:rPr>
        <w:t xml:space="preserve"> It was not long before the “Ferguson to Gaza” frame starting taking hold as an organizing rubric. </w:t>
      </w:r>
      <w:r w:rsidRPr="00D45078">
        <w:rPr>
          <w:rStyle w:val="StyleUnderline"/>
        </w:rPr>
        <w:t>Ferguson-to-Gaza forums</w:t>
      </w:r>
      <w:r w:rsidRPr="00C2398C">
        <w:rPr>
          <w:sz w:val="14"/>
        </w:rPr>
        <w:t xml:space="preserve"> sought to </w:t>
      </w:r>
      <w:r w:rsidRPr="00D45078">
        <w:rPr>
          <w:rStyle w:val="StyleUnderline"/>
          <w:highlight w:val="yellow"/>
        </w:rPr>
        <w:t>correlate the production of settler space, the vulnerability and degradation of black and brown bodies</w:t>
      </w:r>
      <w:r w:rsidRPr="00D45078">
        <w:rPr>
          <w:rStyle w:val="StyleUnderline"/>
        </w:rPr>
        <w:t xml:space="preserve">, the demands for justice </w:t>
      </w:r>
      <w:r w:rsidRPr="00D45078">
        <w:rPr>
          <w:rStyle w:val="StyleUnderline"/>
          <w:highlight w:val="yellow"/>
        </w:rPr>
        <w:t>through transnational solidarities, and the entangled workings of settler colonialism</w:t>
      </w:r>
      <w:r w:rsidRPr="00D45078">
        <w:rPr>
          <w:rStyle w:val="StyleUnderline"/>
        </w:rPr>
        <w:t xml:space="preserve"> in the United States and Israel. </w:t>
      </w:r>
      <w:r w:rsidRPr="00D45078">
        <w:rPr>
          <w:rStyle w:val="StyleUnderline"/>
          <w:highlight w:val="yellow"/>
        </w:rPr>
        <w:t>The comparisons, linkages, and affective resonances between Ferguson and Gaza were not perfectly aligned</w:t>
      </w:r>
      <w:r w:rsidRPr="00D45078">
        <w:rPr>
          <w:rStyle w:val="StyleUnderline"/>
        </w:rPr>
        <w:t>,</w:t>
      </w:r>
      <w:r w:rsidRPr="00C2398C">
        <w:rPr>
          <w:sz w:val="14"/>
        </w:rPr>
        <w:t xml:space="preserve"> and they did not always yield immediate alliances. </w:t>
      </w:r>
      <w:r w:rsidRPr="00D45078">
        <w:rPr>
          <w:rStyle w:val="StyleUnderline"/>
          <w:highlight w:val="yellow"/>
        </w:rPr>
        <w:t>But these efforts were convivial in their mutual resistance to the violent control of populations</w:t>
      </w:r>
      <w:r w:rsidRPr="00D45078">
        <w:rPr>
          <w:rStyle w:val="StyleUnderline"/>
        </w:rPr>
        <w:t xml:space="preserve"> via targeted bodily assaults, </w:t>
      </w:r>
      <w:r w:rsidRPr="00D45078">
        <w:rPr>
          <w:rStyle w:val="StyleUnderline"/>
          <w:highlight w:val="yellow"/>
        </w:rPr>
        <w:t>and reflected desires for reciprocating, intersectional, and co-constituted assemblages of solidarity</w:t>
      </w:r>
      <w:r w:rsidRPr="00C2398C">
        <w:rPr>
          <w:sz w:val="14"/>
        </w:rPr>
        <w:t xml:space="preserve">. One striking aspect of the connective tissue between Ferguson and Gaza involved security practices </w:t>
      </w:r>
      <w:r w:rsidRPr="00D45078">
        <w:rPr>
          <w:rStyle w:val="StyleUnderline"/>
          <w:highlight w:val="yellow"/>
        </w:rPr>
        <w:t>mining the relationship between disability and death.</w:t>
      </w:r>
      <w:r w:rsidRPr="00AE6193">
        <w:t xml:space="preserve"> </w:t>
      </w:r>
      <w:r w:rsidRPr="00D45078">
        <w:rPr>
          <w:rStyle w:val="StyleUnderline"/>
        </w:rPr>
        <w:t>Police brutality in the United States toward black men and women in particular showed a definitive tendency to aim for death, often shooting numerous bullets into an unarmed, subjugated, and yet supposedly threatening body—overkill, some might call it.</w:t>
      </w:r>
      <w:r w:rsidRPr="00D45078">
        <w:rPr>
          <w:sz w:val="14"/>
        </w:rPr>
        <w:t xml:space="preserve"> Why were there seemingly so few attempts to minimize</w:t>
      </w:r>
      <w:r w:rsidRPr="00C2398C">
        <w:rPr>
          <w:sz w:val="14"/>
        </w:rPr>
        <w:t xml:space="preserve"> the loss of life? </w:t>
      </w:r>
      <w:r w:rsidRPr="00C2398C">
        <w:rPr>
          <w:rStyle w:val="StyleUnderline"/>
          <w:highlight w:val="yellow"/>
        </w:rPr>
        <w:t>The U.</w:t>
      </w:r>
      <w:r w:rsidRPr="00D45078">
        <w:rPr>
          <w:rStyle w:val="StyleUnderline"/>
          <w:highlight w:val="yellow"/>
        </w:rPr>
        <w:t>S. security state</w:t>
      </w:r>
      <w:r w:rsidRPr="00C2398C">
        <w:rPr>
          <w:rStyle w:val="StyleUnderline"/>
        </w:rPr>
        <w:t xml:space="preserve"> </w:t>
      </w:r>
      <w:r w:rsidRPr="00C2398C">
        <w:rPr>
          <w:rStyle w:val="StyleUnderline"/>
          <w:highlight w:val="yellow"/>
        </w:rPr>
        <w:t>enacted powerful sovereign entitlements even as it simultaneously claimed</w:t>
      </w:r>
      <w:r w:rsidRPr="00C2398C">
        <w:rPr>
          <w:rStyle w:val="StyleUnderline"/>
        </w:rPr>
        <w:t xml:space="preserve"> </w:t>
      </w:r>
      <w:r w:rsidRPr="00C2398C">
        <w:rPr>
          <w:sz w:val="14"/>
        </w:rPr>
        <w:t>tremendous</w:t>
      </w:r>
      <w:r w:rsidRPr="00C2398C">
        <w:rPr>
          <w:rStyle w:val="StyleUnderline"/>
        </w:rPr>
        <w:t xml:space="preserve"> </w:t>
      </w:r>
      <w:r w:rsidRPr="00C2398C">
        <w:rPr>
          <w:rStyle w:val="StyleUnderline"/>
          <w:highlight w:val="yellow"/>
        </w:rPr>
        <w:t>vulnerability</w:t>
      </w:r>
      <w:r w:rsidRPr="00C2398C">
        <w:rPr>
          <w:sz w:val="14"/>
        </w:rPr>
        <w:t xml:space="preserve">. </w:t>
      </w:r>
      <w:r w:rsidRPr="00C2398C">
        <w:rPr>
          <w:rStyle w:val="StyleUnderline"/>
          <w:highlight w:val="yellow"/>
        </w:rPr>
        <w:t>The police were</w:t>
      </w:r>
      <w:r w:rsidRPr="00C2398C">
        <w:rPr>
          <w:rStyle w:val="StyleUnderline"/>
        </w:rPr>
        <w:t xml:space="preserve"> </w:t>
      </w:r>
      <w:r w:rsidRPr="00C2398C">
        <w:rPr>
          <w:sz w:val="14"/>
        </w:rPr>
        <w:t xml:space="preserve">merely </w:t>
      </w:r>
      <w:r w:rsidRPr="00C2398C">
        <w:rPr>
          <w:rStyle w:val="StyleUnderline"/>
        </w:rPr>
        <w:t>“</w:t>
      </w:r>
      <w:r w:rsidRPr="00C2398C">
        <w:rPr>
          <w:rStyle w:val="StyleUnderline"/>
          <w:highlight w:val="yellow"/>
        </w:rPr>
        <w:t>doing their job,” a dangerous</w:t>
      </w:r>
      <w:r w:rsidRPr="00C2398C">
        <w:rPr>
          <w:rStyle w:val="StyleUnderline"/>
        </w:rPr>
        <w:t xml:space="preserve">, life-threatening </w:t>
      </w:r>
      <w:r w:rsidRPr="00C2398C">
        <w:rPr>
          <w:rStyle w:val="StyleUnderline"/>
          <w:highlight w:val="yellow"/>
        </w:rPr>
        <w:t>one</w:t>
      </w:r>
      <w:r w:rsidRPr="00C2398C">
        <w:rPr>
          <w:rStyle w:val="StyleUnderline"/>
        </w:rPr>
        <w:t xml:space="preserve">. </w:t>
      </w:r>
      <w:r w:rsidRPr="00C2398C">
        <w:rPr>
          <w:rStyle w:val="StyleUnderline"/>
          <w:highlight w:val="yellow"/>
        </w:rPr>
        <w:t>This</w:t>
      </w:r>
      <w:r w:rsidRPr="00C2398C">
        <w:rPr>
          <w:rStyle w:val="StyleUnderline"/>
        </w:rPr>
        <w:t xml:space="preserve"> </w:t>
      </w:r>
      <w:r w:rsidRPr="00D45078">
        <w:rPr>
          <w:rStyle w:val="StyleUnderline"/>
          <w:highlight w:val="yellow"/>
        </w:rPr>
        <w:t>calculation</w:t>
      </w:r>
      <w:r w:rsidRPr="00C2398C">
        <w:rPr>
          <w:sz w:val="14"/>
        </w:rPr>
        <w:t xml:space="preserve"> of risk </w:t>
      </w:r>
      <w:r w:rsidRPr="00C2398C">
        <w:rPr>
          <w:rStyle w:val="StyleUnderline"/>
          <w:highlight w:val="yellow"/>
        </w:rPr>
        <w:t>is the founding rationalization for the impunity of “the right to kill” wielded by U.S. law enforcement</w:t>
      </w:r>
      <w:r w:rsidRPr="00C2398C">
        <w:rPr>
          <w:sz w:val="14"/>
        </w:rPr>
        <w:t xml:space="preserve">. </w:t>
      </w:r>
      <w:r w:rsidRPr="00C2398C">
        <w:rPr>
          <w:rStyle w:val="StyleUnderline"/>
        </w:rPr>
        <w:t>The might of Israel’s military</w:t>
      </w:r>
      <w:r w:rsidRPr="00C2398C">
        <w:rPr>
          <w:sz w:val="14"/>
        </w:rPr>
        <w:t>—one of the most powerful in the world</w:t>
      </w:r>
      <w:r w:rsidRPr="00C2398C">
        <w:rPr>
          <w:rStyle w:val="StyleUnderline"/>
        </w:rPr>
        <w:t>— is built upon the claim of an unchanging ontological vulnerability and precarity</w:t>
      </w:r>
      <w:r w:rsidRPr="00C2398C">
        <w:rPr>
          <w:sz w:val="14"/>
        </w:rPr>
        <w:t xml:space="preserve">, driven by history, geopolitics, and geography. </w:t>
      </w:r>
      <w:r w:rsidRPr="00D45078">
        <w:rPr>
          <w:rStyle w:val="StyleUnderline"/>
          <w:highlight w:val="yellow"/>
        </w:rPr>
        <w:t>Alongside the “right to kill,” I noted a complementary logic long present in</w:t>
      </w:r>
      <w:r w:rsidRPr="00C2398C">
        <w:rPr>
          <w:sz w:val="14"/>
        </w:rPr>
        <w:t xml:space="preserve"> Israeli tactical calculations of </w:t>
      </w:r>
      <w:r w:rsidRPr="00D45078">
        <w:rPr>
          <w:rStyle w:val="StyleUnderline"/>
          <w:highlight w:val="yellow"/>
        </w:rPr>
        <w:t>settler colonial rule</w:t>
      </w:r>
      <w:r w:rsidRPr="00C2398C">
        <w:rPr>
          <w:sz w:val="14"/>
        </w:rPr>
        <w:t xml:space="preserve">—that </w:t>
      </w:r>
      <w:r w:rsidRPr="00D45078">
        <w:rPr>
          <w:rStyle w:val="StyleUnderline"/>
          <w:highlight w:val="yellow"/>
        </w:rPr>
        <w:t>of creating injury</w:t>
      </w:r>
      <w:r w:rsidRPr="00C2398C">
        <w:rPr>
          <w:sz w:val="14"/>
        </w:rPr>
        <w:t xml:space="preserve"> and maintaining Palestinian populations as perpetually debilitated, and yet alive, in order to control them. </w:t>
      </w:r>
      <w:r w:rsidRPr="00D45078">
        <w:rPr>
          <w:rStyle w:val="StyleUnderline"/>
        </w:rPr>
        <w:t>The</w:t>
      </w:r>
      <w:r w:rsidRPr="00D45078">
        <w:rPr>
          <w:sz w:val="14"/>
        </w:rPr>
        <w:t xml:space="preserve"> Israeli Defense Forces (</w:t>
      </w:r>
      <w:r w:rsidRPr="00D45078">
        <w:rPr>
          <w:rStyle w:val="StyleUnderline"/>
        </w:rPr>
        <w:t xml:space="preserve">idf) have shown a demonstrable pattern over decades of sparing life, of shooting to maim rather than to kill. This is ostensibly a humanitarian practice, leaving many civilians “permanently </w:t>
      </w:r>
      <w:r w:rsidRPr="00D45078">
        <w:rPr>
          <w:rStyle w:val="StyleUnderline"/>
        </w:rPr>
        <w:lastRenderedPageBreak/>
        <w:t>disabled</w:t>
      </w:r>
      <w:r w:rsidRPr="00CE3EB4">
        <w:rPr>
          <w:rStyle w:val="StyleUnderline"/>
        </w:rPr>
        <w:t>” in an occupied territory of destroyed hospitals, rationed medical supplies, and scarce resources.</w:t>
      </w:r>
      <w:r w:rsidRPr="00C2398C">
        <w:rPr>
          <w:sz w:val="14"/>
        </w:rPr>
        <w:t xml:space="preserve"> This pattern appeared again during Operation Protective Edge; the number of civilian casualties was reported daily and justified through the logic of collateral damage, while the number of injuries was rarely commented upon and never included in reflections of the daily toll of the siege. </w:t>
      </w:r>
      <w:r w:rsidRPr="00CE3EB4">
        <w:rPr>
          <w:rStyle w:val="StyleUnderline"/>
          <w:highlight w:val="yellow"/>
        </w:rPr>
        <w:t>Shooting to maim</w:t>
      </w:r>
      <w:r w:rsidRPr="00CE3EB4">
        <w:rPr>
          <w:rStyle w:val="StyleUnderline"/>
        </w:rPr>
        <w:t xml:space="preserve"> in order not to kill might appear as minor relief given the proclivity to shoot to kill. Why indeed were so many unarmed black victims of police brutality riddled with scores of bullets? But oscillations between the right to kill and the right to maim are hardly haphazard or arbitrary. The purportedly humanitarian practice of sparing death by shooting to maim </w:t>
      </w:r>
      <w:r w:rsidRPr="00CE3EB4">
        <w:rPr>
          <w:rStyle w:val="StyleUnderline"/>
          <w:highlight w:val="yellow"/>
        </w:rPr>
        <w:t>has</w:t>
      </w:r>
      <w:r w:rsidRPr="00CE3EB4">
        <w:rPr>
          <w:rStyle w:val="StyleUnderline"/>
        </w:rPr>
        <w:t xml:space="preserve"> its </w:t>
      </w:r>
      <w:r w:rsidRPr="00CE3EB4">
        <w:rPr>
          <w:rStyle w:val="StyleUnderline"/>
          <w:highlight w:val="yellow"/>
        </w:rPr>
        <w:t>biopolitical stakes</w:t>
      </w:r>
      <w:r w:rsidRPr="00CE3EB4">
        <w:rPr>
          <w:rStyle w:val="StyleUnderline"/>
        </w:rPr>
        <w:t xml:space="preserve"> not through the right to life, or even letting live, but rather </w:t>
      </w:r>
      <w:r w:rsidRPr="00CE3EB4">
        <w:rPr>
          <w:rStyle w:val="StyleUnderline"/>
          <w:highlight w:val="yellow"/>
        </w:rPr>
        <w:t>through the logic of “will not let die.”</w:t>
      </w:r>
      <w:r w:rsidRPr="00CE3EB4">
        <w:rPr>
          <w:rStyle w:val="StyleUnderline"/>
        </w:rPr>
        <w:t xml:space="preserve"> </w:t>
      </w:r>
      <w:r w:rsidRPr="00C2398C">
        <w:rPr>
          <w:rStyle w:val="StyleUnderline"/>
        </w:rPr>
        <w:t>Both are part of the deliberate debilitation of a population</w:t>
      </w:r>
      <w:r w:rsidRPr="00CE3EB4">
        <w:rPr>
          <w:rStyle w:val="StyleUnderline"/>
        </w:rPr>
        <w:t>—whether through the sovereign right to kill or its covert attendant, the right to maim—</w:t>
      </w:r>
      <w:r w:rsidRPr="00CE3EB4">
        <w:rPr>
          <w:rStyle w:val="StyleUnderline"/>
          <w:highlight w:val="yellow"/>
        </w:rPr>
        <w:t>and are</w:t>
      </w:r>
      <w:r w:rsidRPr="00CE3EB4">
        <w:rPr>
          <w:rStyle w:val="StyleUnderline"/>
        </w:rPr>
        <w:t xml:space="preserve"> key elements in the racializing biopolitical logic of security. Both are</w:t>
      </w:r>
      <w:r w:rsidRPr="00C2398C">
        <w:rPr>
          <w:sz w:val="14"/>
        </w:rPr>
        <w:t xml:space="preserve"> </w:t>
      </w:r>
      <w:r w:rsidRPr="00C2398C">
        <w:rPr>
          <w:rStyle w:val="StyleUnderline"/>
          <w:highlight w:val="yellow"/>
        </w:rPr>
        <w:t>mobilized to make power visible on the body</w:t>
      </w:r>
      <w:r w:rsidRPr="00C2398C">
        <w:rPr>
          <w:sz w:val="14"/>
        </w:rPr>
        <w:t xml:space="preserve">. </w:t>
      </w:r>
      <w:r w:rsidRPr="00CE3EB4">
        <w:rPr>
          <w:rStyle w:val="StyleUnderline"/>
        </w:rPr>
        <w:t>Slated for death or slated for debilitation—both are forms of the racialization of individuals and populations that liberal (disability) rights frameworks, advocating for social accommodation, access, acceptance, pride, and empowerment, are unable to account for, much less disrupt.</w:t>
      </w:r>
      <w:r w:rsidRPr="00CE3EB4">
        <w:t xml:space="preserve"> </w:t>
      </w:r>
      <w:r w:rsidRPr="00C2398C">
        <w:rPr>
          <w:sz w:val="14"/>
        </w:rPr>
        <w:t>Fast-forward to the summer of 2016. July 10, 2016, was the fourth day of Black Lives Matter protests going on in New York City, as well as in many other locations across the United States. During the previous week, he police shootings of Philando Castile in St. Paul, Minnesota, and Alton Sterling in Baton Rouge, Louisiana, had galvanized protests all around the country. The shooting and killing of five police officers during a Black Lives Matter rally in Dallas had only amplified the lines of battle between civilians and law enforcement. The June 12 shooting in an Orlando queer club magnified a homonationalist discourse that posits Muslim homophobes as the primary danger to queer liberals of all colors, resulting in increased policing of lgbtq pride events during the summer. Bombings by isis in the previous month had targeted Nice, Istanbul, and Dhaka. Protesters started gathering at Standing Rock to fight the Dakota Access Pipeline. There were more shootings of black bodies to come. On this particular day, the main Black Lives Matter protest in New York City was happening in Times Square. Not far from this location, the Second Annual Disability Pride parade, marketed as a festival and celebration, was marching on Broadway from Union Square to Madison Square Park. International in scope, the parade included veterans and actors involved in the development of the United Nations Convention on the Rights of Persons with Disabilities. I was in a part of Manhattan equidistant from both activities, one being an action and the other being an event. The relationship between the two confounded me. I recalled that on June 24, Black Lives Matter withdrew from the San Francisco Pride Parade, citing fear of increased police presence in the parade post-Orlando. On July 3, Black Lives Matter, selected as the Toronto Pride Parade’s Honored Group, brought the parade to a complete halt in order to demand a series of conditions, including banning police from marching in the parade. I was struck by the discord between an increasingly visible disability empowerment discourse in human rights platforms, cultural productions, and public discourse, and the divestment of Black Lives Matter from narratives of pride, with dominant messaging at Black Lives Matter actions including: “Hands up, don’t shoot!” and “I can’t breathe!” I remained in the middle, perplexed. This is not an either/or situation, but neither is it resolved by the commonsense logic of both/and. Disability empowerment and pride are part of rights discourses even as expressions of maiming, debilitation, and disabling are central to economies and vocabularies of violence and exploitation. What kinds of biopolitical fissures produce a spectacle of disability empowerment and pride mere blocks from a movement protesting the targeted debilitation of an entire racialized population, contesting the production of disability that is central to state securitization practices? The New York City branch of the Peoples Power Assemblies (ppa), a part of the Movement for Black Lives, organizes a presence yearly at the Disability Pride March. Participants carry Black Disabled Lives Matter banners, signs that say “Stop the War on Black America” and “Support the Black Lives Matter Movement,” and placards noting that more than 50 percent of police shootings of black bodies involve individuals with disabilities</w:t>
      </w:r>
      <w:r w:rsidRPr="00D45078">
        <w:rPr>
          <w:sz w:val="14"/>
        </w:rPr>
        <w:t xml:space="preserve">. </w:t>
      </w:r>
      <w:r w:rsidRPr="00D45078">
        <w:rPr>
          <w:rStyle w:val="StyleUnderline"/>
        </w:rPr>
        <w:t>It is a direct action rather than a pride celebration, one demanding attention to both targeting of the disabled and targeting to disable</w:t>
      </w:r>
      <w:r w:rsidRPr="00D45078">
        <w:rPr>
          <w:sz w:val="14"/>
        </w:rPr>
        <w:t>, with distinctly dif</w:t>
      </w:r>
      <w:r w:rsidRPr="00D45078">
        <w:rPr>
          <w:sz w:val="14"/>
        </w:rPr>
        <w:softHyphen/>
        <w:t>ferent terms from empowerment and pride rhetoric</w:t>
      </w:r>
      <w:r w:rsidRPr="00C2398C">
        <w:rPr>
          <w:sz w:val="14"/>
        </w:rPr>
        <w:t xml:space="preserve">s. As ppa member Colin Ashley put it, “Those on the sidelines either get it automatically and really cheer, or seem completely mystified as to why we would be in the march. We feel it is necessary to go in order to disrupt the normative messaging.”1 For its part, Black Lives Matter has been clear that people with disabilities are both survivors of injustice and also part of their assembly. Alicia Garcia writes that “Black Lives Matter affirms the lives of Black queer and trans folks, disabled folks, Black-undocumented folks, folks with records, women, and all Black lives along the gender spectrum. It centers those that have been marginalized within Black liberation movements. It is a tactic to (re)build the Black liberation movement.”2 And yet, the Movement for Black Lives received important feedback, specifically from the Harriet Tubman Collective, “A Collective of Black Deaf &amp; Black Disabled organizers, community builders, activists, dreamers, lovers striving for radical inclusion and collective liberation,” about the absence of any acknowledgment of or discussion about the impact of disability in black communities in their six-point platform released in August 2016. 3 The intervention from the Harriet Tubman Collective not only highlights ableist frameworks of resistance; it also raises questions about how, in this time of political upheaval and dissent, meetings, protests, and actions could become more accessible to people with varying debilities, capacities, and disabilities. Today the solidarity pathways between Black Lives Matter and Free Palestine are rhizomatic and bountiful.4 Pro-Palestinian antiwar activists will join ppa next year, protesting both the targeting of disabled Palestinians by the idf and the targeting to debilitate, part of a biopolitics not of disability alone but a biopolitics of debilitation. I contend that </w:t>
      </w:r>
      <w:r w:rsidRPr="00D45078">
        <w:rPr>
          <w:rStyle w:val="StyleUnderline"/>
          <w:highlight w:val="yellow"/>
        </w:rPr>
        <w:t>the term “debilitation” is distinct from the term “disablement” because it foregrounds the slow wearing down of populations instead of the event of becoming disabled.</w:t>
      </w:r>
      <w:r w:rsidRPr="00C2398C">
        <w:rPr>
          <w:sz w:val="14"/>
        </w:rPr>
        <w:t xml:space="preserve"> </w:t>
      </w:r>
      <w:r w:rsidRPr="00D45078">
        <w:rPr>
          <w:rStyle w:val="StyleUnderline"/>
        </w:rPr>
        <w:t>While the latter concept creates and hinges on a narrative of before and after for individuals who will eventually be identified as disabled, the former comprehends those bodies that are sustained in a perpetual state of debilitation precisely through foreclosing the social, cultural, and political translation to disability.</w:t>
      </w:r>
      <w:r w:rsidRPr="00C2398C">
        <w:rPr>
          <w:sz w:val="14"/>
        </w:rPr>
        <w:t xml:space="preserve"> It is this tension, the tension between targeting the disabled and targeting to debilitate, the tension between being and becoming, this is the understated alliance that I push in this project. The first presumes a legitimate identification with disability that is manifest through state, market, </w:t>
      </w:r>
      <w:r w:rsidRPr="00C2398C">
        <w:rPr>
          <w:sz w:val="14"/>
        </w:rPr>
        <w:lastRenderedPageBreak/>
        <w:t xml:space="preserve">and institutional recognition, if not subjective position: I call myself disabled. But this cannot be the end of the story, because </w:t>
      </w:r>
      <w:r w:rsidRPr="00D45078">
        <w:rPr>
          <w:rStyle w:val="StyleUnderline"/>
          <w:highlight w:val="yellow"/>
        </w:rPr>
        <w:t>what counts as a disability is already overdetermined by “white fragility” on one side and the racialization of bodies that are expected to endure</w:t>
      </w:r>
      <w:r w:rsidRPr="00CE3EB4">
        <w:rPr>
          <w:rStyle w:val="StyleUnderline"/>
        </w:rPr>
        <w:t xml:space="preserve"> pain, suffering, and </w:t>
      </w:r>
      <w:r w:rsidRPr="00D45078">
        <w:rPr>
          <w:rStyle w:val="StyleUnderline"/>
          <w:highlight w:val="yellow"/>
        </w:rPr>
        <w:t>injury on the other.</w:t>
      </w:r>
      <w:r w:rsidRPr="00CE3EB4">
        <w:rPr>
          <w:rStyle w:val="StyleUnderline"/>
        </w:rPr>
        <w:t>5 As such, the latter is an understanding of biopolitical risk: to extrapolate a bit from Claudia Rankine’s prose: “I am in death’s position.”6 And to expand: I am in debility’s position.</w:t>
      </w:r>
      <w:r w:rsidRPr="00C2398C">
        <w:rPr>
          <w:sz w:val="14"/>
        </w:rPr>
        <w:t xml:space="preserve"> </w:t>
      </w:r>
      <w:r w:rsidRPr="00C2398C">
        <w:rPr>
          <w:rStyle w:val="StyleUnderline"/>
        </w:rPr>
        <w:t>The biopolitics of debilitation is not intended to advocate a facile democratization of disability,</w:t>
      </w:r>
      <w:r w:rsidRPr="00C2398C">
        <w:rPr>
          <w:sz w:val="14"/>
        </w:rPr>
        <w:t xml:space="preserve"> as if to rehash the familiar cant that tells us we will all be disabled if we live long enough. In fact, depending on where we live, what resources we have, what traumas we have endured, what color our skin is, what access we have to clean water, air, and decent food, what type of health care we have, what kind of work we do . . . we will not all be disabled. Some of us will simply not live long enough, embedded in a distribution of risk already factored into the calculus of debilitation. Death’s position. Others, at risk because of seeming risky, may encounter disability in ways that compound the debilitating effects of biopolitics.</w:t>
      </w:r>
      <w:r w:rsidRPr="00C2398C">
        <w:rPr>
          <w:sz w:val="16"/>
        </w:rPr>
        <w:t xml:space="preserve">debility, capacity, disability </w:t>
      </w:r>
      <w:r w:rsidRPr="00C2398C">
        <w:rPr>
          <w:rStyle w:val="StyleUnderline"/>
          <w:highlight w:val="yellow"/>
        </w:rPr>
        <w:t>Disability is not a fixed state or attribute but exists in relation to assemblages of capacity and debility</w:t>
      </w:r>
      <w:r w:rsidRPr="00C2398C">
        <w:rPr>
          <w:sz w:val="16"/>
        </w:rPr>
        <w:t xml:space="preserve">, modulated across historical time, geopolitical space, institutional mandates, and discursive regimes. </w:t>
      </w:r>
      <w:r w:rsidRPr="00D45078">
        <w:rPr>
          <w:rStyle w:val="StyleUnderline"/>
        </w:rPr>
        <w:t>The globalization of disability as an identity through human rights discourses contributes to a standardization of bodily usefulness and uselessness that discounts not only the specificity of location but also the ways bodies exceed or defy identities and subjects</w:t>
      </w:r>
      <w:r w:rsidRPr="00D45078">
        <w:rPr>
          <w:sz w:val="16"/>
        </w:rPr>
        <w:t>. The non-disabled/dis</w:t>
      </w:r>
      <w:r w:rsidRPr="00C2398C">
        <w:rPr>
          <w:sz w:val="16"/>
        </w:rPr>
        <w:t xml:space="preserve">abled binary traverses social, geographic, and political spaces. </w:t>
      </w:r>
      <w:r w:rsidRPr="00D45078">
        <w:rPr>
          <w:rStyle w:val="StyleUnderline"/>
          <w:highlight w:val="yellow"/>
        </w:rPr>
        <w:t>The distinctions or parameters between disabled and non-disabled bodies shift historically</w:t>
      </w:r>
      <w:r w:rsidRPr="00C2398C">
        <w:rPr>
          <w:sz w:val="16"/>
        </w:rPr>
        <w:t xml:space="preserve">, as designations between productivity, vagrancy, deviancy, illness, and labor market relations have undergone transformations from subsistence work to waged labor to hypercapitalist modes of surplus accumulation and neoliberal subject formation. They shift </w:t>
      </w:r>
      <w:r w:rsidRPr="00D45078">
        <w:rPr>
          <w:rStyle w:val="StyleUnderline"/>
          <w:highlight w:val="yellow"/>
        </w:rPr>
        <w:t>geographically</w:t>
      </w:r>
      <w:r w:rsidRPr="00C2398C">
        <w:rPr>
          <w:sz w:val="16"/>
        </w:rPr>
        <w:t xml:space="preserve">, as varied cultural, regional, and national conceptualizations of bodily habitations and metaphysics inhabit corporeal relations differently and sometimes irreconcilably, and issues of environmental racism are prominent. They shift </w:t>
      </w:r>
      <w:r w:rsidRPr="00C2398C">
        <w:rPr>
          <w:rStyle w:val="StyleUnderline"/>
        </w:rPr>
        <w:t>infrastructurally</w:t>
      </w:r>
      <w:r w:rsidRPr="00C2398C">
        <w:rPr>
          <w:sz w:val="16"/>
        </w:rPr>
        <w:t xml:space="preserve">, as a wheelchair-accessible elevator becomes a completely altered vehicle of mobility, one that masks various capacities to climb stairs, in many parts of the world where power outages are a daily, if not hourly, occurrence. They shift </w:t>
      </w:r>
      <w:r w:rsidRPr="00C2398C">
        <w:rPr>
          <w:rStyle w:val="StyleUnderline"/>
        </w:rPr>
        <w:t>legally, administratively, and legislatively, as rights-bearing subjects are formed and dismantled in response to</w:t>
      </w:r>
      <w:r w:rsidRPr="00C2398C">
        <w:rPr>
          <w:sz w:val="16"/>
        </w:rPr>
        <w:t xml:space="preserve"> health care and insurance regimes, </w:t>
      </w:r>
      <w:r w:rsidRPr="00C2398C">
        <w:rPr>
          <w:rStyle w:val="StyleUnderline"/>
        </w:rPr>
        <w:t>human rights discourses, economic opportunism, and the uneven distribution of resources</w:t>
      </w:r>
      <w:r w:rsidRPr="00C2398C">
        <w:rPr>
          <w:sz w:val="16"/>
        </w:rPr>
        <w:t xml:space="preserve">, medical supplies, and basic care. They shift scientifically, as prosthetic technologies of capacity, from wheelchairs to cell phones to dna testing to steroids, script and rescript what a body can, could, or should do. </w:t>
      </w:r>
      <w:r w:rsidRPr="00C2398C">
        <w:rPr>
          <w:rStyle w:val="StyleUnderline"/>
        </w:rPr>
        <w:t>And they shift representationally, as discourses of multicultural diversity and plurality absorb “difference” into regimes of visibility that then reorganize sites of marginalization into subjects of privilege</w:t>
      </w:r>
      <w:r w:rsidRPr="00C2398C">
        <w:rPr>
          <w:sz w:val="16"/>
        </w:rPr>
        <w:t>, indeed privileged disabled subjects. In The Right to Maim: Debility, Capacity, Disability, I think through how and why bodies are perceived as debilitated, capacitated, or often simultaneously both</w:t>
      </w:r>
      <w:r w:rsidRPr="00C2398C">
        <w:rPr>
          <w:rStyle w:val="StyleUnderline"/>
        </w:rPr>
        <w:t>. I mobilize the term “debility” as a needed disruption</w:t>
      </w:r>
      <w:r w:rsidRPr="00C2398C">
        <w:rPr>
          <w:sz w:val="16"/>
        </w:rPr>
        <w:t xml:space="preserve"> (but also expose it as a collaborator) </w:t>
      </w:r>
      <w:r w:rsidRPr="00C2398C">
        <w:rPr>
          <w:rStyle w:val="StyleUnderline"/>
        </w:rPr>
        <w:t>of the category of disability and as a triangulation of the ability/disability binary</w:t>
      </w:r>
      <w:r w:rsidRPr="00C2398C">
        <w:rPr>
          <w:sz w:val="16"/>
        </w:rPr>
        <w:t xml:space="preserve">, noting that </w:t>
      </w:r>
      <w:r w:rsidRPr="00C2398C">
        <w:rPr>
          <w:rStyle w:val="StyleUnderline"/>
        </w:rPr>
        <w:t>while some bodies may not be recognized as or identify as disabled, they may well be debilitated</w:t>
      </w:r>
      <w:r w:rsidRPr="00C2398C">
        <w:rPr>
          <w:sz w:val="16"/>
        </w:rPr>
        <w:t xml:space="preserve">, in part by being foreclosed access to legibility and resources as disabled. Relatedly, some bodies may well be disabled but also capacitated. I want to be clear here: </w:t>
      </w:r>
      <w:r w:rsidRPr="004A51EB">
        <w:rPr>
          <w:rStyle w:val="StyleUnderline"/>
        </w:rPr>
        <w:t>I am not diluting or diffusing the identity rubrics of disability by suggesting all bodies are disabled to some extent or another, or by smoothing disability into a continuum of debility and capacity. Quite the opposite;</w:t>
      </w:r>
      <w:r w:rsidRPr="00C2398C">
        <w:rPr>
          <w:sz w:val="16"/>
        </w:rPr>
        <w:t xml:space="preserve"> I am arguing that the three vectors, </w:t>
      </w:r>
      <w:r w:rsidRPr="00C2398C">
        <w:rPr>
          <w:rStyle w:val="StyleUnderline"/>
          <w:highlight w:val="yellow"/>
        </w:rPr>
        <w:t>capacity, debility, and disability, exist in a mutually reinforcing constellation</w:t>
      </w:r>
      <w:r w:rsidRPr="00C2398C">
        <w:rPr>
          <w:rStyle w:val="StyleUnderline"/>
        </w:rPr>
        <w:t>,</w:t>
      </w:r>
      <w:r w:rsidRPr="00C2398C">
        <w:rPr>
          <w:sz w:val="16"/>
        </w:rPr>
        <w:t xml:space="preserve"> are often overlapping or coexistent, and that </w:t>
      </w:r>
      <w:r w:rsidRPr="00C2398C">
        <w:rPr>
          <w:rStyle w:val="StyleUnderline"/>
        </w:rPr>
        <w:t>debilitation is a necessary component that both exposes and sutures the non-disabled/disabled binary</w:t>
      </w:r>
      <w:r w:rsidRPr="00C2398C">
        <w:rPr>
          <w:sz w:val="16"/>
        </w:rPr>
        <w:t>. As Christina Crosby rightly points out, “The challenge is to represent the ways in which disability is articulated with debility, without having one disappear into the other.”7 I would add that the biopolitical management of disability entails that the visibility and social acceptance of disability rely on and engender the obfuscation and in fact deeper proliferation of debility. In her work on bodily impaired miners in Botswana who do not necessarily articulate their plight in relation to disability, Julie Livingston uses the term “debility,” defined broadly to encompass “experiences of chronic illness and senescence, as well as disability per se.”8 She demonstrates that historically many bodily infirmities “were not regarded as disabilities: indeed they were ‘normal’ and in some cases even expected impairments.”9 I take up Livingston’s intervention with an important refinement: debility in my usage is not meant to encompass disability. Rather</w:t>
      </w:r>
      <w:r w:rsidRPr="00C2398C">
        <w:rPr>
          <w:rStyle w:val="StyleUnderline"/>
        </w:rPr>
        <w:t xml:space="preserve">, </w:t>
      </w:r>
      <w:r w:rsidRPr="006E760E">
        <w:rPr>
          <w:rStyle w:val="StyleUnderline"/>
        </w:rPr>
        <w:t xml:space="preserve">I mobilize debility as a connective tissue to illuminate the possibilities and limits of disability imaginaries </w:t>
      </w:r>
      <w:r w:rsidRPr="00C2398C">
        <w:rPr>
          <w:rStyle w:val="StyleUnderline"/>
        </w:rPr>
        <w:t>and economies.</w:t>
      </w:r>
      <w:r w:rsidRPr="00C2398C">
        <w:rPr>
          <w:sz w:val="16"/>
        </w:rPr>
        <w:t xml:space="preserve"> Debilitation as a normal consequence of laboring, as an “expected impairment,” is not a flattening of disability; rather, this framing exposes the </w:t>
      </w:r>
      <w:r w:rsidRPr="00C2398C">
        <w:rPr>
          <w:sz w:val="16"/>
        </w:rPr>
        <w:lastRenderedPageBreak/>
        <w:t xml:space="preserve">violence of what constitutes “a normal consequence.” </w:t>
      </w:r>
      <w:r w:rsidRPr="00C2398C">
        <w:rPr>
          <w:rStyle w:val="StyleUnderline"/>
          <w:highlight w:val="yellow"/>
        </w:rPr>
        <w:t>The category of disability is instrumentalized by state discourses of inclusion not only to obscure forms of debility but also to actually produce debility and sustain its proliferation</w:t>
      </w:r>
      <w:r w:rsidRPr="00C2398C">
        <w:rPr>
          <w:sz w:val="16"/>
        </w:rPr>
        <w:t xml:space="preserve">. In a literal sense, caretakers of people with disabilities often come from chronically disenfranchised populations that endure debilities themselves. Conceptually, </w:t>
      </w:r>
      <w:r w:rsidRPr="006E760E">
        <w:rPr>
          <w:rStyle w:val="StyleUnderline"/>
          <w:highlight w:val="yellow"/>
        </w:rPr>
        <w:t>state</w:t>
      </w:r>
      <w:r w:rsidRPr="006E760E">
        <w:rPr>
          <w:rStyle w:val="StyleUnderline"/>
        </w:rPr>
        <w:t xml:space="preserve">, medical, and other forms of </w:t>
      </w:r>
      <w:r w:rsidRPr="006E760E">
        <w:rPr>
          <w:rStyle w:val="StyleUnderline"/>
          <w:highlight w:val="yellow"/>
        </w:rPr>
        <w:t>recognition of disability</w:t>
      </w:r>
      <w:r w:rsidRPr="00C2398C">
        <w:rPr>
          <w:sz w:val="16"/>
        </w:rPr>
        <w:t xml:space="preserve"> may </w:t>
      </w:r>
      <w:r w:rsidRPr="006E760E">
        <w:rPr>
          <w:rStyle w:val="StyleUnderline"/>
        </w:rPr>
        <w:t xml:space="preserve">shroud debilities and </w:t>
      </w:r>
      <w:r w:rsidRPr="006E760E">
        <w:rPr>
          <w:rStyle w:val="StyleUnderline"/>
          <w:highlight w:val="yellow"/>
        </w:rPr>
        <w:t>forms of slow death while also effacing the quotidian modalities of widescale debilitation</w:t>
      </w:r>
      <w:r w:rsidRPr="006E760E">
        <w:rPr>
          <w:rStyle w:val="StyleUnderline"/>
        </w:rPr>
        <w:t xml:space="preserve"> so prevalent due to capitalist exploitation and imperialist expansion</w:t>
      </w:r>
      <w:r w:rsidRPr="00C2398C">
        <w:rPr>
          <w:sz w:val="16"/>
        </w:rPr>
        <w:t xml:space="preserve">. In my usage, debility signals precisely the temporospatial frame eclipsed by toggling between exceptionalizing disability and exceptional disability: the endemic. Relational forms of capitalism, care, and racialization inform an assemblage of disability to a constellation of debilities and capacities. If, in one definition, disability becomes a privileged category by virtue of state recognition,10 another definition of disability may well be that body or that subject that can aspire both economically and emotionally to wellness, empowerment, and pride through the exceptionalized status it accrues while embedded within unexceptional and, in fact endemic, debility. </w:t>
      </w:r>
      <w:r w:rsidRPr="00C2398C">
        <w:rPr>
          <w:rStyle w:val="StyleUnderline"/>
        </w:rPr>
        <w:t>The compounding of disability and poverty as a field of debilitation is certainly happening in the era of</w:t>
      </w:r>
      <w:r w:rsidRPr="00C2398C">
        <w:rPr>
          <w:sz w:val="16"/>
        </w:rPr>
        <w:t xml:space="preserve"> Donald </w:t>
      </w:r>
      <w:r w:rsidRPr="00C2398C">
        <w:rPr>
          <w:rStyle w:val="StyleUnderline"/>
        </w:rPr>
        <w:t>Trump</w:t>
      </w:r>
      <w:r w:rsidRPr="00C2398C">
        <w:rPr>
          <w:sz w:val="16"/>
        </w:rPr>
        <w:t xml:space="preserve">, </w:t>
      </w:r>
      <w:r w:rsidRPr="00C2398C">
        <w:rPr>
          <w:rStyle w:val="StyleUnderline"/>
        </w:rPr>
        <w:t>whose efforts to</w:t>
      </w:r>
      <w:r w:rsidRPr="00C2398C">
        <w:rPr>
          <w:sz w:val="16"/>
        </w:rPr>
        <w:t xml:space="preserve"> completely </w:t>
      </w:r>
      <w:r w:rsidRPr="00C2398C">
        <w:rPr>
          <w:rStyle w:val="StyleUnderline"/>
        </w:rPr>
        <w:t>eliminate</w:t>
      </w:r>
      <w:r w:rsidRPr="00C2398C">
        <w:rPr>
          <w:sz w:val="16"/>
        </w:rPr>
        <w:t xml:space="preserve"> any whiff of </w:t>
      </w:r>
      <w:r w:rsidRPr="00C2398C">
        <w:rPr>
          <w:rStyle w:val="StyleUnderline"/>
        </w:rPr>
        <w:t xml:space="preserve">socialized medicine </w:t>
      </w:r>
      <w:r w:rsidRPr="00C2398C">
        <w:rPr>
          <w:sz w:val="16"/>
        </w:rPr>
        <w:t xml:space="preserve">are only really remarkable because they definitively </w:t>
      </w:r>
      <w:r w:rsidRPr="00C2398C">
        <w:rPr>
          <w:rStyle w:val="StyleUnderline"/>
        </w:rPr>
        <w:t>expose the actual scale of disregard for human life</w:t>
      </w:r>
      <w:r w:rsidRPr="00C2398C">
        <w:rPr>
          <w:sz w:val="16"/>
        </w:rPr>
        <w:t xml:space="preserve">, having blown so far open so quickly. Access to health care may well become the defining factor in one’s relationship to the non-disabled/ disabled dichotomy. </w:t>
      </w:r>
      <w:r w:rsidRPr="006E760E">
        <w:rPr>
          <w:rStyle w:val="StyleUnderline"/>
        </w:rPr>
        <w:t>Debility is thus a crucial complication of the neoliberal transit of disability rights. Debility addresses injury and bodily exclusion that are endemic rather than epidemic or exceptional, and</w:t>
      </w:r>
      <w:r w:rsidRPr="00C2398C">
        <w:rPr>
          <w:sz w:val="16"/>
        </w:rPr>
        <w:t xml:space="preserve"> </w:t>
      </w:r>
      <w:r w:rsidRPr="00C2398C">
        <w:rPr>
          <w:rStyle w:val="StyleUnderline"/>
        </w:rPr>
        <w:t xml:space="preserve">reflects a need for rethinking overarching structures of </w:t>
      </w:r>
      <w:r w:rsidRPr="006E760E">
        <w:rPr>
          <w:rStyle w:val="StyleUnderline"/>
        </w:rPr>
        <w:t>working, schooling, and</w:t>
      </w:r>
      <w:r w:rsidRPr="00C2398C">
        <w:rPr>
          <w:rStyle w:val="StyleUnderline"/>
        </w:rPr>
        <w:t xml:space="preserve"> living rather than relying on rights frames to provide accommodationist solutions</w:t>
      </w:r>
      <w:r w:rsidRPr="00C2398C">
        <w:rPr>
          <w:sz w:val="16"/>
        </w:rPr>
        <w:t xml:space="preserve">. </w:t>
      </w:r>
      <w:r w:rsidRPr="00C2398C">
        <w:rPr>
          <w:rStyle w:val="StyleUnderline"/>
        </w:rPr>
        <w:t>Challenging liberal disability rights frames, debility not only elucidates what is left out of disability imaginaries and rights politics; it also illuminates the constitutive absences necessary for capacitating discourses of disability empowerment</w:t>
      </w:r>
      <w:r w:rsidRPr="00C2398C">
        <w:rPr>
          <w:sz w:val="16"/>
        </w:rPr>
        <w:t xml:space="preserve">, pride, </w:t>
      </w:r>
      <w:r w:rsidRPr="00C2398C">
        <w:rPr>
          <w:rStyle w:val="StyleUnderline"/>
        </w:rPr>
        <w:t>visibility, and inclusion to take shape</w:t>
      </w:r>
      <w:r w:rsidRPr="00C2398C">
        <w:rPr>
          <w:sz w:val="16"/>
        </w:rPr>
        <w:t xml:space="preserve">. Thus, I argue, </w:t>
      </w:r>
      <w:r w:rsidRPr="00C2398C">
        <w:rPr>
          <w:rStyle w:val="StyleUnderline"/>
          <w:highlight w:val="yellow"/>
        </w:rPr>
        <w:t>disability and debility</w:t>
      </w:r>
      <w:r w:rsidRPr="00C2398C">
        <w:rPr>
          <w:sz w:val="16"/>
        </w:rPr>
        <w:t xml:space="preserve"> are not at odds with each other. Rather, they </w:t>
      </w:r>
      <w:r w:rsidRPr="00C2398C">
        <w:rPr>
          <w:rStyle w:val="StyleUnderline"/>
          <w:highlight w:val="yellow"/>
        </w:rPr>
        <w:t>are necessary supplements in an economy of injury that claims and promotes disability empowerment at the same time that it maintains the precarity of certain bodies</w:t>
      </w:r>
      <w:r w:rsidRPr="00C2398C">
        <w:rPr>
          <w:rStyle w:val="StyleUnderline"/>
        </w:rPr>
        <w:t xml:space="preserve"> </w:t>
      </w:r>
      <w:r w:rsidRPr="00C2398C">
        <w:rPr>
          <w:sz w:val="16"/>
        </w:rPr>
        <w:t xml:space="preserve">and populations </w:t>
      </w:r>
      <w:r w:rsidRPr="00C2398C">
        <w:rPr>
          <w:rStyle w:val="StyleUnderline"/>
          <w:highlight w:val="yellow"/>
        </w:rPr>
        <w:t>precisely through making them available for maiming</w:t>
      </w:r>
      <w:r w:rsidRPr="00C2398C">
        <w:rPr>
          <w:sz w:val="16"/>
        </w:rPr>
        <w:t xml:space="preserve">. In a context whereby four-fifths of the world’s people with disabilities are located in what was once hailed as the “global </w:t>
      </w:r>
      <w:r w:rsidRPr="006E760E">
        <w:rPr>
          <w:sz w:val="16"/>
        </w:rPr>
        <w:t xml:space="preserve">south,” </w:t>
      </w:r>
      <w:r w:rsidRPr="006E760E">
        <w:rPr>
          <w:rStyle w:val="StyleUnderline"/>
        </w:rPr>
        <w:t>liberal interventions are invariably infused with certitude that disability should be reclaimed</w:t>
      </w:r>
      <w:r w:rsidRPr="00C2398C">
        <w:rPr>
          <w:rStyle w:val="StyleUnderline"/>
        </w:rPr>
        <w:t xml:space="preserve"> as a valuable difference</w:t>
      </w:r>
      <w:r w:rsidRPr="00C2398C">
        <w:rPr>
          <w:sz w:val="16"/>
        </w:rPr>
        <w:t>—the difference of the Other—</w:t>
      </w:r>
      <w:r w:rsidRPr="00C2398C">
        <w:rPr>
          <w:rStyle w:val="StyleUnderline"/>
          <w:highlight w:val="yellow"/>
        </w:rPr>
        <w:t>through rights, visibility, and empowerment</w:t>
      </w:r>
      <w:r w:rsidRPr="00C2398C">
        <w:rPr>
          <w:sz w:val="16"/>
        </w:rPr>
        <w:t xml:space="preserve"> discourses—</w:t>
      </w:r>
      <w:r w:rsidRPr="00C2398C">
        <w:rPr>
          <w:rStyle w:val="StyleUnderline"/>
          <w:highlight w:val="yellow"/>
        </w:rPr>
        <w:t>rather than addressing how much debilitation is caused by global injustice and the war machines of colonialism, occupation, and U.S. imperialism</w:t>
      </w:r>
      <w:r w:rsidRPr="00CE3EB4">
        <w:rPr>
          <w:rStyle w:val="StyleUnderline"/>
        </w:rPr>
        <w:t xml:space="preserve">. Assemblages of disability, capacity, and </w:t>
      </w:r>
      <w:r w:rsidRPr="006E760E">
        <w:rPr>
          <w:rStyle w:val="StyleUnderline"/>
          <w:highlight w:val="yellow"/>
        </w:rPr>
        <w:t>debility</w:t>
      </w:r>
      <w:r w:rsidRPr="00CE3EB4">
        <w:rPr>
          <w:rStyle w:val="StyleUnderline"/>
        </w:rPr>
        <w:t xml:space="preserve"> are elements of the biopolitical control of populations that </w:t>
      </w:r>
      <w:r w:rsidRPr="006E760E">
        <w:rPr>
          <w:rStyle w:val="StyleUnderline"/>
          <w:highlight w:val="yellow"/>
        </w:rPr>
        <w:t>foreground</w:t>
      </w:r>
      <w:r w:rsidRPr="00CE3EB4">
        <w:rPr>
          <w:rStyle w:val="StyleUnderline"/>
        </w:rPr>
        <w:t xml:space="preserve"> risk, prognosis, life chances, </w:t>
      </w:r>
      <w:r w:rsidRPr="006E760E">
        <w:rPr>
          <w:rStyle w:val="StyleUnderline"/>
          <w:highlight w:val="yellow"/>
        </w:rPr>
        <w:t>settler colonialism, war impairment, and capitalist exploitation.</w:t>
      </w:r>
      <w:r w:rsidRPr="00C2398C">
        <w:rPr>
          <w:sz w:val="16"/>
        </w:rPr>
        <w:t xml:space="preserve"> My analysis centralizes disability rights as a capacitating frame that recognizes some disabilities at the expense of other disabilities that do not fit the respectability and empowerment models of disability progress—what David Mitchell and Sharon Snyder term the “biopolitics of disability.”11 But </w:t>
      </w:r>
      <w:r w:rsidRPr="00C2398C">
        <w:rPr>
          <w:rStyle w:val="StyleUnderline"/>
        </w:rPr>
        <w:t>the normalization of disability as an empowered status purportedly recognized by the state is</w:t>
      </w:r>
      <w:r w:rsidRPr="00C2398C">
        <w:rPr>
          <w:sz w:val="16"/>
        </w:rPr>
        <w:t xml:space="preserve"> not contradicted by, but rather is </w:t>
      </w:r>
      <w:r w:rsidRPr="00C2398C">
        <w:rPr>
          <w:rStyle w:val="StyleUnderline"/>
        </w:rPr>
        <w:t>produced through, the creation and sustaining of debilitation on a mass scale</w:t>
      </w:r>
      <w:r w:rsidRPr="00C2398C">
        <w:rPr>
          <w:sz w:val="16"/>
        </w:rPr>
        <w:t xml:space="preserve">. </w:t>
      </w:r>
      <w:r w:rsidRPr="00C2398C">
        <w:rPr>
          <w:rStyle w:val="StyleUnderline"/>
          <w:highlight w:val="yellow"/>
        </w:rPr>
        <w:t>Debilitation is not a by-product of the operation of biopolitics but an intended result</w:t>
      </w:r>
      <w:r w:rsidRPr="00C2398C">
        <w:rPr>
          <w:sz w:val="16"/>
          <w:highlight w:val="yellow"/>
        </w:rPr>
        <w:t>,</w:t>
      </w:r>
      <w:r w:rsidRPr="00C2398C">
        <w:rPr>
          <w:sz w:val="16"/>
        </w:rPr>
        <w:t xml:space="preserve"> functioning both as a disruption of the non-disabled/disabled binary—as an in-between space—and as a supplement to disability, that which shadows and often overlaps with disability. </w:t>
      </w:r>
      <w:r w:rsidRPr="00CE3EB4">
        <w:rPr>
          <w:rStyle w:val="StyleUnderline"/>
        </w:rPr>
        <w:t>I therefore do not offer debility as an identity; it is instead a form of massification. My alternative conceptualization of the biopolitics of debilitation not only refers to the remaindering of what the liberal inclusion of disability fails to fully embrace, but also points to the forms of violent debilitation of those whose inevitable injuring is assumed by racial capitalism.</w:t>
      </w:r>
      <w:r w:rsidRPr="00C2398C">
        <w:rPr>
          <w:sz w:val="16"/>
        </w:rPr>
        <w:t xml:space="preserve"> I therefore seek to connect disability, usually routed through a conceptual frame of identification, and debilitation, a practice of rendering populations available for statistically likely injury. </w:t>
      </w:r>
    </w:p>
    <w:p xmlns:wp14="http://schemas.microsoft.com/office/word/2010/wordml" w:rsidRPr="00124B65" w:rsidR="001860AB" w:rsidP="001860AB" w:rsidRDefault="001860AB" w14:paraId="680A4E5D" wp14:textId="77777777"/>
    <w:p xmlns:wp14="http://schemas.microsoft.com/office/word/2010/wordml" w:rsidRPr="00C2398C" w:rsidR="001860AB" w:rsidP="001860AB" w:rsidRDefault="001860AB" w14:paraId="15E5FF46" wp14:textId="77777777">
      <w:pPr>
        <w:pStyle w:val="Heading4"/>
        <w:rPr>
          <w:rFonts w:cs="Arial"/>
        </w:rPr>
      </w:pPr>
      <w:r>
        <w:rPr>
          <w:rFonts w:cs="Arial"/>
        </w:rPr>
        <w:lastRenderedPageBreak/>
        <w:t>Our criticism aligns with the alternative – we must investigate colonization, antiblackness, and development discourse through the lens of racialized debilitation</w:t>
      </w:r>
    </w:p>
    <w:p xmlns:wp14="http://schemas.microsoft.com/office/word/2010/wordml" w:rsidRPr="00A570B7" w:rsidR="001860AB" w:rsidP="001860AB" w:rsidRDefault="001860AB" w14:paraId="78B0EF65" wp14:textId="77777777">
      <w:r w:rsidRPr="000E5450">
        <w:rPr>
          <w:rStyle w:val="Style13ptBold"/>
          <w:u w:val="none"/>
        </w:rPr>
        <w:t>Kola ́rˇova &amp; Wiedlack 16</w:t>
      </w:r>
      <w:r w:rsidRPr="00A570B7">
        <w:t>(Katerˇina</w:t>
      </w:r>
      <w:r>
        <w:t>,</w:t>
      </w:r>
      <w:r w:rsidRPr="00A570B7">
        <w:t xml:space="preserve"> Katharina M.</w:t>
      </w:r>
      <w:r>
        <w:t>, Ph.D in Anglo-American Literary Studies and professor at Charles University in Prague. Research Fellow at the Department for English and American Studies at the University of Vienna.</w:t>
      </w:r>
      <w:r w:rsidRPr="00A570B7">
        <w:t xml:space="preserve"> Guest Editors’ Introduction: Crip Notes on the Idea of Development</w:t>
      </w:r>
      <w:r>
        <w:t xml:space="preserve"> 2016</w:t>
      </w:r>
      <w:r w:rsidRPr="00A570B7">
        <w:t xml:space="preserve">) // ONW </w:t>
      </w:r>
    </w:p>
    <w:p xmlns:wp14="http://schemas.microsoft.com/office/word/2010/wordml" w:rsidRPr="00C2398C" w:rsidR="001860AB" w:rsidP="001860AB" w:rsidRDefault="001860AB" w14:paraId="6DCC6D1F" wp14:textId="77777777">
      <w:pPr>
        <w:rPr>
          <w:sz w:val="16"/>
        </w:rPr>
      </w:pPr>
      <w:r w:rsidRPr="00C2398C">
        <w:rPr>
          <w:sz w:val="16"/>
        </w:rPr>
        <w:t xml:space="preserve">Cripping Development foregrounds the epistemological dominance reﬂected in the Global North’s unwillingness to ‘conceive of the world “in terms of mutual belonging (co-belonging) across difference” but only in relationship of sameness’ (Mbembe qtd. in Grz ˇinic´ 2014: 135). The idea of development functions as a useful legitimising rationale for this compulsory sameness. </w:t>
      </w:r>
      <w:r w:rsidRPr="00C2398C">
        <w:rPr>
          <w:b/>
          <w:u w:val="single"/>
        </w:rPr>
        <w:t>Crip criticism of this notion of development focuses on disability as an axis of power that is frequently omitted from critiques of coloniality/modernity but is central to their workings</w:t>
      </w:r>
      <w:r w:rsidRPr="0032322B">
        <w:rPr>
          <w:rStyle w:val="StyleUnderline"/>
        </w:rPr>
        <w:t xml:space="preserve">. It seeks to show how the rationale of development is oftentimes upheld by disability and its interarticulations with race, indigeneity, class, gender and sexuality, and caste, and how precarious, disenfranchised, and dispossessed people in particular are the ones who are made to pay the price for the future promises of development. </w:t>
      </w:r>
      <w:r w:rsidRPr="00C2398C">
        <w:rPr>
          <w:b/>
          <w:u w:val="single"/>
        </w:rPr>
        <w:t>The issue</w:t>
      </w:r>
      <w:r w:rsidRPr="0032322B">
        <w:rPr>
          <w:rStyle w:val="StyleUnderline"/>
        </w:rPr>
        <w:t xml:space="preserve"> thence </w:t>
      </w:r>
      <w:r w:rsidRPr="00C2398C">
        <w:rPr>
          <w:b/>
          <w:u w:val="single"/>
        </w:rPr>
        <w:t>raises questions about ‘the geopolitics of disability in crip times’</w:t>
      </w:r>
      <w:r w:rsidRPr="00C2398C">
        <w:rPr>
          <w:sz w:val="16"/>
        </w:rPr>
        <w:t xml:space="preserve"> (McRuer 2010: 163) </w:t>
      </w:r>
      <w:r w:rsidRPr="00C2398C">
        <w:rPr>
          <w:b/>
          <w:u w:val="single"/>
        </w:rPr>
        <w:t xml:space="preserve">and the ‘global economy of debility’ </w:t>
      </w:r>
      <w:r w:rsidRPr="0032322B">
        <w:rPr>
          <w:rStyle w:val="StyleUnderline"/>
        </w:rPr>
        <w:t>(</w:t>
      </w:r>
      <w:r w:rsidRPr="00C2398C">
        <w:rPr>
          <w:sz w:val="16"/>
        </w:rPr>
        <w:t>Kola´rˇova´ 2015</w:t>
      </w:r>
      <w:r w:rsidRPr="0032322B">
        <w:rPr>
          <w:rStyle w:val="StyleUnderline"/>
        </w:rPr>
        <w:t xml:space="preserve">), </w:t>
      </w:r>
      <w:r w:rsidRPr="00C2398C">
        <w:rPr>
          <w:b/>
          <w:u w:val="single"/>
        </w:rPr>
        <w:t>where the ‘black disabled body’</w:t>
      </w:r>
      <w:r w:rsidRPr="00C2398C">
        <w:rPr>
          <w:sz w:val="16"/>
        </w:rPr>
        <w:t xml:space="preserve"> (Erevelles 2011) </w:t>
      </w:r>
      <w:r w:rsidRPr="00C2398C">
        <w:rPr>
          <w:b/>
          <w:u w:val="single"/>
        </w:rPr>
        <w:t>becomes a commodity in the transatlantic exchange and can be ‘recapacitated’ for proﬁt</w:t>
      </w:r>
      <w:r w:rsidRPr="00C2398C">
        <w:rPr>
          <w:sz w:val="16"/>
        </w:rPr>
        <w:t xml:space="preserve"> (Puar 2012). </w:t>
      </w:r>
      <w:r w:rsidRPr="0032322B">
        <w:rPr>
          <w:rStyle w:val="StyleUnderline"/>
        </w:rPr>
        <w:t>It builds off the collective efforts and deeds of disability studies work that strive to initiate dialogues with post-colonial, indigenous, and de-colonising projects along what remains,</w:t>
      </w:r>
      <w:r w:rsidRPr="00C2398C">
        <w:rPr>
          <w:sz w:val="16"/>
        </w:rPr>
        <w:t xml:space="preserve"> in Karen Soldatic and Shaun Grech’s recent wording, ‘anxious intersections’ (2015; see also Naidu Parekh, 2007; Barker and Murray 2010; Barker and Senier 2013). In the decades that have passed since the publication of Fanon’s essay, </w:t>
      </w:r>
      <w:r w:rsidRPr="00C2398C">
        <w:rPr>
          <w:b/>
          <w:u w:val="single"/>
        </w:rPr>
        <w:t>the alliance between medicine and colonialism has certainly not grown any weaker; the exploitation of ‘the black body’ that Erevelles posits as one of the starting points of the political project of disability studies continues in the neocolonial capitalism of the biocapital</w:t>
      </w:r>
      <w:r w:rsidRPr="0032322B">
        <w:rPr>
          <w:rStyle w:val="StyleUnderline"/>
        </w:rPr>
        <w:t xml:space="preserve">, </w:t>
      </w:r>
      <w:r w:rsidRPr="00C2398C">
        <w:rPr>
          <w:b/>
          <w:u w:val="single"/>
        </w:rPr>
        <w:t>pharmaceutical quest for</w:t>
      </w:r>
      <w:r w:rsidRPr="0032322B">
        <w:rPr>
          <w:rStyle w:val="StyleUnderline"/>
        </w:rPr>
        <w:t xml:space="preserve"> (use of) chemically innocent bodies</w:t>
      </w:r>
      <w:r w:rsidRPr="00C2398C">
        <w:rPr>
          <w:b/>
          <w:u w:val="single"/>
        </w:rPr>
        <w:t>, the use of bodies for medical experiment</w:t>
      </w:r>
      <w:r w:rsidRPr="0032322B">
        <w:rPr>
          <w:rStyle w:val="StyleUnderline"/>
        </w:rPr>
        <w:t>s, and the use of surrogate-mother or organ-donor bodies</w:t>
      </w:r>
      <w:r w:rsidRPr="00C2398C">
        <w:rPr>
          <w:sz w:val="16"/>
        </w:rPr>
        <w:t>. On another level, transnational health policies are framed as part of transnational developmental help and transnational health policies. ‘National health’ and health plans are turned into an indicator of ‘national development’ (or rather proof of underdevelopment), a correlation that can very easily reinforce stigmatised and racialised images of illness and disability. Tanya Titschosky and Katie Aubrecht’s analysis of the WHO MIND project (the short name for ‘Mental Health Improvements for Nations Development’) attests to and describes just this. Titschosky and Aubrecht demonstrate how the MIND project links ‘positive mental health’ to ‘a range of development outcomes...’ in a way that utilises health management ‘as a new form of imposed order on postcolonial countries’ (2015: 3). It is hard to overlook the more recent reverberations of reinforced stigmatisation and racialisations in panicky reports about the ‘rise of dementia and Alzheimer’s in the third world’. The discourse produced around dementia that guides the transnational health policies of (corporate) bodies such as the World Health Organization (WHO) in fact indicates the extent to which global capitalisation of debility is in fact buttressed by transnational structures. These transnational bodies express anxiety about the rise of ‘dementia’ in ‘low-income’ and ‘lower-middle-income’ countries and the economic burden it will put on them. And yet, ‘[</w:t>
      </w:r>
      <w:r w:rsidRPr="0032322B">
        <w:rPr>
          <w:rStyle w:val="StyleUnderline"/>
        </w:rPr>
        <w:t xml:space="preserve">i]t is </w:t>
      </w:r>
      <w:r w:rsidRPr="00C2398C">
        <w:rPr>
          <w:b/>
          <w:u w:val="single"/>
        </w:rPr>
        <w:t xml:space="preserve">a cruel paradox of the global economy of debility that the “developmental help” provided by transnational bodies to “low-income” countries will be calculated against assumed “work potential”, ultimately commodiﬁable as bio-capital in schemes of outsourced surrogate reproductive care to populations from wealthier nations’ </w:t>
      </w:r>
      <w:r w:rsidRPr="0032322B">
        <w:rPr>
          <w:rStyle w:val="StyleUnderline"/>
        </w:rPr>
        <w:t>(</w:t>
      </w:r>
      <w:r w:rsidRPr="00C2398C">
        <w:rPr>
          <w:sz w:val="16"/>
        </w:rPr>
        <w:t xml:space="preserve">Kola´rˇova´ 2015: 84–5). </w:t>
      </w:r>
      <w:r w:rsidRPr="00C2398C">
        <w:rPr>
          <w:b/>
          <w:u w:val="single"/>
        </w:rPr>
        <w:t>The violent histories of colonialism, slavery, and exploitation that continue to overshadow the post/neocolonial present, however, also leave their traces in the post-colonial and de-colonial criticism that considers disability—</w:t>
      </w:r>
      <w:r w:rsidRPr="0032322B">
        <w:rPr>
          <w:rStyle w:val="StyleUnderline"/>
        </w:rPr>
        <w:t xml:space="preserve">if it is noticed at all—as a mere effect of, or a ﬁgure of thought representing, colonial violence. </w:t>
      </w:r>
      <w:r w:rsidRPr="00C2398C">
        <w:rPr>
          <w:b/>
          <w:u w:val="single"/>
        </w:rPr>
        <w:t>Thu</w:t>
      </w:r>
      <w:r w:rsidRPr="0032322B">
        <w:rPr>
          <w:rStyle w:val="StyleUnderline"/>
        </w:rPr>
        <w:t>s</w:t>
      </w:r>
      <w:r w:rsidRPr="00C2398C">
        <w:rPr>
          <w:sz w:val="16"/>
        </w:rPr>
        <w:t xml:space="preserve">, Lucy Barker and Stuart Murray open their important issue exploring postcoloniality by echoing the concern of earlier disability studies’ appraisals of post-colonial theory and noting, </w:t>
      </w:r>
      <w:r w:rsidRPr="00C2398C">
        <w:rPr>
          <w:b/>
          <w:sz w:val="16"/>
        </w:rPr>
        <w:t>‘</w:t>
      </w:r>
      <w:r w:rsidRPr="00C2398C">
        <w:rPr>
          <w:b/>
          <w:u w:val="single"/>
        </w:rPr>
        <w:t xml:space="preserve">there is a pressing need ... to resist the too-easy censure of </w:t>
      </w:r>
      <w:r w:rsidRPr="00C2398C">
        <w:rPr>
          <w:b/>
          <w:u w:val="single"/>
        </w:rPr>
        <w:lastRenderedPageBreak/>
        <w:t>narratives that construct disability as loss’</w:t>
      </w:r>
      <w:r w:rsidRPr="00C2398C">
        <w:rPr>
          <w:b/>
          <w:sz w:val="16"/>
        </w:rPr>
        <w:t xml:space="preserve"> </w:t>
      </w:r>
      <w:r w:rsidRPr="00C2398C">
        <w:rPr>
          <w:sz w:val="16"/>
        </w:rPr>
        <w:t>(2010: 230). This critique does not lose its importance, as the intersections of these critical projects remain ‘anxious’</w:t>
      </w:r>
    </w:p>
    <w:p xmlns:wp14="http://schemas.microsoft.com/office/word/2010/wordml" w:rsidRPr="00C2398C" w:rsidR="001860AB" w:rsidP="001860AB" w:rsidRDefault="001860AB" w14:paraId="79154F3B" wp14:textId="77777777">
      <w:pPr>
        <w:pStyle w:val="Heading4"/>
        <w:rPr>
          <w:rFonts w:cs="Arial"/>
        </w:rPr>
      </w:pPr>
      <w:r>
        <w:rPr>
          <w:rFonts w:cs="Arial"/>
        </w:rPr>
        <w:t>Our reframing of disability studies is an intervention in capitalist, colonialist, and antiblack framing of the status quo</w:t>
      </w:r>
    </w:p>
    <w:p xmlns:wp14="http://schemas.microsoft.com/office/word/2010/wordml" w:rsidRPr="00A570B7" w:rsidR="001860AB" w:rsidP="001860AB" w:rsidRDefault="001860AB" w14:paraId="67E65994" wp14:textId="77777777">
      <w:r w:rsidRPr="000E5450">
        <w:rPr>
          <w:rStyle w:val="Style13ptBold"/>
          <w:u w:val="none"/>
        </w:rPr>
        <w:t>Kola ́rˇova &amp; Wiedlack 16</w:t>
      </w:r>
      <w:r w:rsidRPr="00A570B7">
        <w:t>(Katerˇina</w:t>
      </w:r>
      <w:r>
        <w:t>,</w:t>
      </w:r>
      <w:r w:rsidRPr="00A570B7">
        <w:t xml:space="preserve"> Katharina M.</w:t>
      </w:r>
      <w:r>
        <w:t>, Ph.D in Anglo-American Literary Studies and professor at Charles University in Prague. Research Fellow at the Department for English and American Studies at the University of Vienna.</w:t>
      </w:r>
      <w:r w:rsidRPr="00A570B7">
        <w:t xml:space="preserve"> Guest Editors’ Introduction: Crip Notes on the Idea of Development</w:t>
      </w:r>
      <w:r>
        <w:t xml:space="preserve"> 2016</w:t>
      </w:r>
      <w:r w:rsidRPr="00A570B7">
        <w:t xml:space="preserve">) // ONW </w:t>
      </w:r>
    </w:p>
    <w:p xmlns:wp14="http://schemas.microsoft.com/office/word/2010/wordml" w:rsidRPr="00C2398C" w:rsidR="001860AB" w:rsidP="001860AB" w:rsidRDefault="001860AB" w14:paraId="4499878B" wp14:textId="77777777">
      <w:pPr>
        <w:rPr>
          <w:sz w:val="16"/>
        </w:rPr>
      </w:pPr>
      <w:r w:rsidRPr="00C2398C">
        <w:rPr>
          <w:sz w:val="16"/>
        </w:rPr>
        <w:t xml:space="preserve">On the other hand, </w:t>
      </w:r>
      <w:r w:rsidRPr="00C2398C">
        <w:rPr>
          <w:b/>
          <w:u w:val="single"/>
        </w:rPr>
        <w:t>disability theory</w:t>
      </w:r>
      <w:r w:rsidRPr="009C674C">
        <w:rPr>
          <w:rStyle w:val="StyleUnderline"/>
        </w:rPr>
        <w:t xml:space="preserve"> </w:t>
      </w:r>
      <w:r w:rsidRPr="00C2398C">
        <w:rPr>
          <w:b/>
          <w:u w:val="single"/>
        </w:rPr>
        <w:t>and</w:t>
      </w:r>
      <w:r w:rsidRPr="009C674C">
        <w:rPr>
          <w:rStyle w:val="StyleUnderline"/>
        </w:rPr>
        <w:t xml:space="preserve"> </w:t>
      </w:r>
      <w:r w:rsidRPr="00C2398C">
        <w:rPr>
          <w:b/>
          <w:u w:val="single"/>
        </w:rPr>
        <w:t>disability studies need to reckon with the material hurt of colonial and racialised dominance</w:t>
      </w:r>
      <w:r w:rsidRPr="009C674C">
        <w:rPr>
          <w:rStyle w:val="StyleUnderline"/>
        </w:rPr>
        <w:t xml:space="preserve">. </w:t>
      </w:r>
      <w:r w:rsidRPr="00C2398C">
        <w:rPr>
          <w:b/>
          <w:u w:val="single"/>
        </w:rPr>
        <w:t>The ﬁeld needs to</w:t>
      </w:r>
      <w:r w:rsidRPr="009C674C">
        <w:rPr>
          <w:rStyle w:val="StyleUnderline"/>
        </w:rPr>
        <w:t xml:space="preserve"> rethink its epistemic paradigms </w:t>
      </w:r>
      <w:r w:rsidRPr="00C2398C">
        <w:rPr>
          <w:b/>
          <w:u w:val="single"/>
        </w:rPr>
        <w:t>and recognise colonial legacies and consider how it contributes to processes of racialisation</w:t>
      </w:r>
      <w:r w:rsidRPr="009C674C">
        <w:rPr>
          <w:rStyle w:val="StyleUnderline"/>
        </w:rPr>
        <w:t>. We need to question the way disability studies sometimes serves these colonial legacies on a global scale</w:t>
      </w:r>
      <w:r w:rsidRPr="00C2398C">
        <w:rPr>
          <w:b/>
          <w:u w:val="single"/>
        </w:rPr>
        <w:t>. Colonialism, slavery, and the exploitative practices of extracting vitality have left a material and embodied legacy of relationality ‘</w:t>
      </w:r>
      <w:r w:rsidRPr="009C674C">
        <w:rPr>
          <w:rStyle w:val="StyleUnderline"/>
        </w:rPr>
        <w:t>buried deep in the psyche and</w:t>
      </w:r>
      <w:r w:rsidRPr="00C2398C">
        <w:rPr>
          <w:b/>
          <w:u w:val="single"/>
        </w:rPr>
        <w:t xml:space="preserve"> embod</w:t>
      </w:r>
      <w:r w:rsidRPr="009C674C">
        <w:rPr>
          <w:rStyle w:val="StyleUnderline"/>
        </w:rPr>
        <w:t>ied</w:t>
      </w:r>
      <w:r w:rsidRPr="00C2398C">
        <w:rPr>
          <w:b/>
          <w:u w:val="single"/>
        </w:rPr>
        <w:t xml:space="preserve"> collective memory of the colonized</w:t>
      </w:r>
      <w:r>
        <w:rPr>
          <w:b/>
          <w:u w:val="single"/>
        </w:rPr>
        <w:t xml:space="preserve"> </w:t>
      </w:r>
      <w:r w:rsidRPr="00C2398C">
        <w:rPr>
          <w:b/>
          <w:u w:val="single"/>
        </w:rPr>
        <w:t>and the colonizer’</w:t>
      </w:r>
      <w:r w:rsidRPr="009C674C">
        <w:rPr>
          <w:rStyle w:val="StyleUnderline"/>
        </w:rPr>
        <w:t xml:space="preserve"> </w:t>
      </w:r>
      <w:r w:rsidRPr="00C2398C">
        <w:rPr>
          <w:sz w:val="16"/>
        </w:rPr>
        <w:t xml:space="preserve">(Grech 2015: 3). It is this legacy that constitutes the epistemic horizons and the horizons of knowledge production. And </w:t>
      </w:r>
      <w:r w:rsidRPr="009C674C">
        <w:rPr>
          <w:rStyle w:val="StyleUnderline"/>
        </w:rPr>
        <w:t>disability, as a notion and epistemic category, was and is deeply implicated in, produced by, and actively co-producing these ambivalent material histories</w:t>
      </w:r>
      <w:r w:rsidRPr="00C2398C">
        <w:rPr>
          <w:sz w:val="16"/>
        </w:rPr>
        <w:t xml:space="preserve">. Grech notes, ‘understanding the disability narrative in the global South means (re)positioning it and understanding it as a global historical narrative’ (2015: 3; cf. also Meekosha 2011). Yet, in thinking through this ‘global historical narrative’, as Rachel Gorman points out, we must be wary of the fallacy of the ‘global idea of disability.’ Gorman claims that this fallacy carries forth the epistemic legacy of coloniality. Gorman’s open-forum essay, ‘Disablement In and For Itself: Toward a “Global” Idea of Disability’, which draws on her involvement in anti-racist and anti-colonial community organising and activism, proposes a ‘relational/reﬂexive methodology’ (p. 251 in this issue). A ‘focus on the dialectic of disability—disablement’ (ibid.) provides a tool to halt the reproduction of disability as white identity and to account for the concerns, identities, and lived realities of racialised, Indigenous, and majority world disabled people. </w:t>
      </w:r>
      <w:r w:rsidRPr="009C674C">
        <w:rPr>
          <w:rStyle w:val="StyleUnderline"/>
        </w:rPr>
        <w:t>The epistemic challenge of thinking disability globally yet not reproducing the colonising act of ‘assuming’ that uses the epistemological frameworks of disability theory as articulated in the Global North and posits its global universality</w:t>
      </w:r>
      <w:r w:rsidRPr="00C2398C">
        <w:rPr>
          <w:sz w:val="16"/>
        </w:rPr>
        <w:t xml:space="preserve"> (Meekosha 2011 and 2013) </w:t>
      </w:r>
      <w:r w:rsidRPr="009C674C">
        <w:rPr>
          <w:rStyle w:val="StyleUnderline"/>
        </w:rPr>
        <w:t>is also taken up by the Virtual Roundtable</w:t>
      </w:r>
      <w:r w:rsidRPr="00C2398C">
        <w:rPr>
          <w:sz w:val="16"/>
        </w:rPr>
        <w:t xml:space="preserve">. Titled ‘What Kind of Development Are We Talking About?’, the roundtable thinks through the normative idea of development and its burden on disabled and racialised lives. The discussants also reﬂect on the various strategies of re-signiﬁcation of development that would allow it to make political alliances with other marginalised groups at different global geopolitical locations: Zimbabwe (Tsitsi Chataika), India (Nilika Mehrotra), Australia (Karen Soldatic), and the Czech Republic (Katerˇina Kola´rˇova´). </w:t>
      </w:r>
      <w:r w:rsidRPr="00C2398C">
        <w:rPr>
          <w:b/>
          <w:u w:val="single"/>
        </w:rPr>
        <w:t>These theorisations of global disability ‘translations’ and politics illustrate the many ways in which neoliberalism and neoliberal restructurings mould the horizon of what McRuer has called ‘crip times’</w:t>
      </w:r>
      <w:r w:rsidRPr="00C2398C">
        <w:rPr>
          <w:b/>
          <w:sz w:val="16"/>
        </w:rPr>
        <w:t xml:space="preserve"> (</w:t>
      </w:r>
      <w:r w:rsidRPr="00C2398C">
        <w:rPr>
          <w:sz w:val="16"/>
        </w:rPr>
        <w:t>2010 and forthcoming). In ‘Curb Cuts: Crip Displacements and El Ediﬁcio de Enfrente’, published in this volume, Robert McRuer reads (and crips) Livia Radwanski’s photographs documenting the eviction of the ‘Ediﬁcio Ame´rica’ housing complex in Mexico City. Drawing out the global dimensions of neoliberalised austerity, McRuer brings Radwanski’s archive of neoliberal city developments (read: gentriﬁcation, displacement, and dispossession) into dialogue with the so-called bedroom tax that has devastated the lives of the disabled in the UK. Through such crip juxtapositions, McRuer undercuts the ofﬁcial political narrative promoting ‘The Year of Mexico in the UK and the UK in Mexico’, ‘ostensibly a cultural initiative designed to promote awareness of both countries’ diversity and history’ (p. 198 in this issue). He highlights how the apparent developmental agendas – here explicitly hinged upon globalised version of disability access – serve as a ‘central component of a now-global austerity politics’. The fantasies of access serve to gloss over the dispossession of crip populations, where ‘crip’ often remains unrecognised by the identity understandings of disability championed by the transnational disability agenda.</w:t>
      </w:r>
    </w:p>
    <w:p xmlns:wp14="http://schemas.microsoft.com/office/word/2010/wordml" w:rsidRPr="00C2398C" w:rsidR="001860AB" w:rsidP="001860AB" w:rsidRDefault="001860AB" w14:paraId="73ACD1F5" wp14:textId="77777777">
      <w:pPr>
        <w:pStyle w:val="Heading4"/>
        <w:rPr>
          <w:rFonts w:cs="Arial"/>
        </w:rPr>
      </w:pPr>
      <w:r w:rsidRPr="00C2398C">
        <w:rPr>
          <w:rFonts w:cs="Arial"/>
        </w:rPr>
        <w:t>Cripping serves as a viable alternative to</w:t>
      </w:r>
      <w:r>
        <w:rPr>
          <w:rFonts w:cs="Arial"/>
        </w:rPr>
        <w:t xml:space="preserve"> racialized debilitation that produces crises like Flint, Michigan</w:t>
      </w:r>
    </w:p>
    <w:p xmlns:wp14="http://schemas.microsoft.com/office/word/2010/wordml" w:rsidRPr="00A570B7" w:rsidR="001860AB" w:rsidP="001860AB" w:rsidRDefault="001860AB" w14:paraId="0AC6F605" wp14:textId="77777777">
      <w:r w:rsidRPr="000E5450">
        <w:rPr>
          <w:rStyle w:val="Style13ptBold"/>
          <w:u w:val="none"/>
        </w:rPr>
        <w:t>Kola ́rˇova &amp; Wiedlack 16</w:t>
      </w:r>
      <w:r w:rsidRPr="00A570B7">
        <w:t>(Katerˇina</w:t>
      </w:r>
      <w:r>
        <w:t>,</w:t>
      </w:r>
      <w:r w:rsidRPr="00A570B7">
        <w:t xml:space="preserve"> Katharina M.</w:t>
      </w:r>
      <w:r>
        <w:t xml:space="preserve">, Ph.D in Anglo-American Literary Studies and professor at Charles University in Prague. Research Fellow at the Department for </w:t>
      </w:r>
      <w:r>
        <w:lastRenderedPageBreak/>
        <w:t>English and American Studies at the University of Vienna.</w:t>
      </w:r>
      <w:r w:rsidRPr="00A570B7">
        <w:t xml:space="preserve"> Guest Editors’ Introduction: Crip Notes on the Idea of Development</w:t>
      </w:r>
      <w:r>
        <w:t xml:space="preserve"> 2016</w:t>
      </w:r>
      <w:r w:rsidRPr="00A570B7">
        <w:t xml:space="preserve">) // ONW </w:t>
      </w:r>
    </w:p>
    <w:p xmlns:wp14="http://schemas.microsoft.com/office/word/2010/wordml" w:rsidRPr="003A71A2" w:rsidR="001860AB" w:rsidP="001860AB" w:rsidRDefault="001860AB" w14:paraId="3270233F" wp14:textId="77777777">
      <w:pPr>
        <w:pStyle w:val="textbox"/>
        <w:spacing w:before="0" w:beforeAutospacing="0" w:after="0" w:afterAutospacing="0" w:line="194" w:lineRule="atLeast"/>
        <w:rPr>
          <w:rFonts w:ascii="Arial" w:hAnsi="Arial" w:cs="Arial"/>
          <w:sz w:val="19"/>
          <w:szCs w:val="19"/>
        </w:rPr>
      </w:pPr>
      <w:r w:rsidRPr="003A71A2">
        <w:rPr>
          <w:rStyle w:val="StyleUnderline"/>
          <w:rFonts w:ascii="Arial" w:hAnsi="Arial" w:cs="Arial"/>
        </w:rPr>
        <w:t xml:space="preserve">The collective endeavour of </w:t>
      </w:r>
      <w:r w:rsidRPr="003A71A2">
        <w:rPr>
          <w:rFonts w:ascii="Arial" w:hAnsi="Arial" w:cs="Arial"/>
          <w:b/>
          <w:u w:val="single"/>
        </w:rPr>
        <w:t xml:space="preserve">Cripping Development </w:t>
      </w:r>
      <w:r w:rsidRPr="003A71A2">
        <w:rPr>
          <w:rStyle w:val="StyleUnderline"/>
          <w:rFonts w:ascii="Arial" w:hAnsi="Arial" w:cs="Arial"/>
        </w:rPr>
        <w:t xml:space="preserve">is to </w:t>
      </w:r>
      <w:r w:rsidRPr="003A71A2">
        <w:rPr>
          <w:rFonts w:ascii="Arial" w:hAnsi="Arial" w:cs="Arial"/>
          <w:b/>
          <w:u w:val="single"/>
        </w:rPr>
        <w:t>show how the hegemonic power of development, modernisation, and progress operates on various levels—political, social, cultural and economic</w:t>
      </w:r>
      <w:r w:rsidRPr="003A71A2">
        <w:rPr>
          <w:rStyle w:val="StyleUnderline"/>
          <w:rFonts w:ascii="Arial" w:hAnsi="Arial" w:cs="Arial"/>
        </w:rPr>
        <w:t>.</w:t>
      </w:r>
      <w:r w:rsidRPr="003A71A2">
        <w:rPr>
          <w:rFonts w:ascii="Arial" w:hAnsi="Arial" w:cs="Arial"/>
          <w:sz w:val="16"/>
        </w:rPr>
        <w:t xml:space="preserve"> </w:t>
      </w:r>
      <w:r w:rsidRPr="003A71A2">
        <w:rPr>
          <w:rStyle w:val="StyleUnderline"/>
          <w:rFonts w:ascii="Arial" w:hAnsi="Arial" w:cs="Arial"/>
        </w:rPr>
        <w:t xml:space="preserve">We also shed light on the ways in which the idea of development utilises disability as its ideological legitimisation. </w:t>
      </w:r>
      <w:r w:rsidRPr="003A71A2">
        <w:rPr>
          <w:rFonts w:ascii="Arial" w:hAnsi="Arial" w:cs="Arial"/>
          <w:b/>
          <w:u w:val="single"/>
        </w:rPr>
        <w:t>Developmental rationality reproduces itself through normative and oppressive understandings of disability</w:t>
      </w:r>
      <w:r w:rsidRPr="003A71A2">
        <w:rPr>
          <w:rStyle w:val="StyleUnderline"/>
          <w:rFonts w:ascii="Arial" w:hAnsi="Arial" w:cs="Arial"/>
        </w:rPr>
        <w:t>. This special issue also acknowledges the resistance and critiques articulated and put in practice by disability activists and communities of disabled people in various transnational contexts</w:t>
      </w:r>
      <w:r w:rsidRPr="009C674C">
        <w:rPr>
          <w:rStyle w:val="StyleUnderline"/>
          <w:rFonts w:ascii="Arial" w:hAnsi="Arial" w:cs="Arial"/>
        </w:rPr>
        <w:t>. Looking at the example of the recent scandalous events in Flint, Michigan, in the United States, where whole communities were deprived of access to clean and non-toxic water, we see how their racialised status relegated them to the zone of ‘no future’ and ‘no worth’ and thus also facilitated their immense and collective disablement.</w:t>
      </w:r>
      <w:r w:rsidRPr="003A71A2">
        <w:rPr>
          <w:rFonts w:ascii="Arial" w:hAnsi="Arial" w:cs="Arial"/>
          <w:sz w:val="16"/>
        </w:rPr>
        <w:t xml:space="preserve"> This shows that notions of development need also to be questioned in relation to local policies of divestment and abandonment. In the end, as McRuer’s analysis of the politics of austerity/disability access between the UK and Mexico City shows, the local and the global applications of the idea of development are in a constant process of translation. </w:t>
      </w:r>
      <w:r w:rsidRPr="003A71A2">
        <w:rPr>
          <w:rFonts w:ascii="Arial" w:hAnsi="Arial" w:cs="Arial"/>
          <w:b/>
          <w:u w:val="single"/>
        </w:rPr>
        <w:t>Gesturing towards the critical deconstruction of the idea of development, we want to think of cripping as a way of creatively reimagining the possibilities for a critical reorientation of development</w:t>
      </w:r>
      <w:r w:rsidRPr="003A71A2">
        <w:rPr>
          <w:rStyle w:val="StyleUnderline"/>
          <w:rFonts w:ascii="Arial" w:hAnsi="Arial" w:cs="Arial"/>
        </w:rPr>
        <w:t>.</w:t>
      </w:r>
      <w:r w:rsidRPr="003A71A2">
        <w:rPr>
          <w:rFonts w:ascii="Arial" w:hAnsi="Arial" w:cs="Arial"/>
          <w:sz w:val="16"/>
        </w:rPr>
        <w:t xml:space="preserve"> So instead of a conclusion, we offer further directions for questioning the ideology of development: </w:t>
      </w:r>
      <w:r w:rsidRPr="003A71A2">
        <w:rPr>
          <w:rFonts w:ascii="Arial" w:hAnsi="Arial" w:cs="Arial"/>
          <w:b/>
          <w:u w:val="single"/>
        </w:rPr>
        <w:t>What would it mean to embrace the notions of chronicity, stagnation, and debility as a focus for reorienting the idea of development</w:t>
      </w:r>
      <w:r w:rsidRPr="003A71A2">
        <w:rPr>
          <w:rFonts w:ascii="Arial" w:hAnsi="Arial" w:cs="Arial"/>
          <w:sz w:val="16"/>
        </w:rPr>
        <w:t xml:space="preserve"> (and the affective investments herein)? How would doing this reorient how we relate to the present and to what we imagine to be the ‘solution’ to the impasse of development? What forms of sustenance of life would it allow for?</w:t>
      </w:r>
    </w:p>
    <w:p xmlns:wp14="http://schemas.microsoft.com/office/word/2010/wordml" w:rsidR="001860AB" w:rsidP="001860AB" w:rsidRDefault="001860AB" w14:paraId="19219836" wp14:textId="77777777"/>
    <w:p xmlns:wp14="http://schemas.microsoft.com/office/word/2010/wordml" w:rsidRPr="00C2398C" w:rsidR="001860AB" w:rsidP="001860AB" w:rsidRDefault="001860AB" w14:paraId="43D68B73" wp14:textId="77777777">
      <w:pPr>
        <w:pStyle w:val="Heading4"/>
        <w:rPr>
          <w:rFonts w:cs="Arial"/>
        </w:rPr>
      </w:pPr>
      <w:r w:rsidRPr="00C2398C">
        <w:rPr>
          <w:rFonts w:cs="Arial"/>
        </w:rPr>
        <w:t xml:space="preserve">We should engage in a deconstruction of spatial logic that implements a hierarchy in the world. This can be seen in the Syrian Refugee crisis. </w:t>
      </w:r>
    </w:p>
    <w:p xmlns:wp14="http://schemas.microsoft.com/office/word/2010/wordml" w:rsidRPr="00C2398C" w:rsidR="001860AB" w:rsidP="001860AB" w:rsidRDefault="001860AB" w14:paraId="2A91F785" wp14:textId="77777777">
      <w:pPr>
        <w:pStyle w:val="textbox"/>
        <w:spacing w:before="0" w:beforeAutospacing="0" w:after="0" w:afterAutospacing="0" w:line="194" w:lineRule="atLeast"/>
        <w:rPr>
          <w:rFonts w:ascii="Arial" w:hAnsi="Arial" w:cs="Arial"/>
          <w:sz w:val="19"/>
          <w:szCs w:val="19"/>
        </w:rPr>
      </w:pPr>
      <w:r w:rsidRPr="00C2398C">
        <w:rPr>
          <w:rFonts w:ascii="Arial" w:hAnsi="Arial" w:cs="Arial"/>
          <w:b/>
          <w:sz w:val="19"/>
          <w:szCs w:val="19"/>
        </w:rPr>
        <w:t>Kola ́rˇova,</w:t>
      </w:r>
      <w:r w:rsidRPr="00C2398C">
        <w:rPr>
          <w:rFonts w:ascii="Arial" w:hAnsi="Arial" w:cs="Arial"/>
          <w:sz w:val="19"/>
          <w:szCs w:val="19"/>
        </w:rPr>
        <w:t xml:space="preserve"> Katerˇina and </w:t>
      </w:r>
      <w:r w:rsidRPr="00C2398C">
        <w:rPr>
          <w:rFonts w:ascii="Arial" w:hAnsi="Arial" w:cs="Arial"/>
          <w:b/>
          <w:sz w:val="19"/>
          <w:szCs w:val="19"/>
        </w:rPr>
        <w:t>Wiedlack</w:t>
      </w:r>
      <w:r w:rsidRPr="00C2398C">
        <w:rPr>
          <w:rFonts w:ascii="Arial" w:hAnsi="Arial" w:cs="Arial"/>
          <w:sz w:val="19"/>
          <w:szCs w:val="19"/>
        </w:rPr>
        <w:t xml:space="preserve">, Katharina M. ( Guest Editors’ Introduction: Crip Notes on the Idea of Development) // ONW </w:t>
      </w:r>
    </w:p>
    <w:p xmlns:wp14="http://schemas.microsoft.com/office/word/2010/wordml" w:rsidRPr="00C2398C" w:rsidR="001860AB" w:rsidP="001860AB" w:rsidRDefault="001860AB" w14:paraId="22EA3975" wp14:textId="77777777">
      <w:pPr>
        <w:pStyle w:val="textbox"/>
        <w:spacing w:before="0" w:beforeAutospacing="0" w:after="0" w:afterAutospacing="0" w:line="194" w:lineRule="atLeast"/>
        <w:rPr>
          <w:rFonts w:ascii="Arial" w:hAnsi="Arial" w:cs="Arial"/>
          <w:b/>
          <w:u w:val="single"/>
        </w:rPr>
      </w:pPr>
      <w:r w:rsidRPr="00C2398C">
        <w:rPr>
          <w:rFonts w:ascii="Arial" w:hAnsi="Arial" w:cs="Arial"/>
          <w:sz w:val="16"/>
        </w:rPr>
        <w:t xml:space="preserve">Three facets of development are central to our collective crip critique of development: affect, time, and space. The articles in this collection explore how affect, time and space overlap and understand development through affective materialisations of time and space. First, Cripping Development speaks of affective attachments that sustain the fantasy of development and its affective politics of promise. Development policies have taken a long time to arrive at the current visions of ‘inclusive development’ in the 2015 Development Agenda. Moreover, as Jonah I. Garde’s article, ‘Inclusive Development as Crip(dys)topic Promise: Querying Development, Dis/ability and Human Rights’, lays out such epistemologies of inclusive development in fact cement ableist, colonial, and racialised dichotomies. In effect, ‘inclusive development’ can effectively prohibit what it has actually been promising: ‘inclusion’ and ‘development’. Vandana Chaudhry’s ‘Labouring Self-Help: Dialectics of Disability and Development in South India’ expands this critique through her long-term ethnographic study of disability-oriented selfhelp group projects initiated by the World Bank in rural areas of South India. Chaudry critiques the shift away from a state-led welfare model to self-help-oriented people’s institutions as a form of neoliberal governance that is meant to ensure ‘a perennial supply of willing lowcost labour’ (p. 194 in this issue). </w:t>
      </w:r>
      <w:r w:rsidRPr="00C2398C">
        <w:rPr>
          <w:rFonts w:ascii="Arial" w:hAnsi="Arial" w:cs="Arial"/>
          <w:u w:val="single"/>
        </w:rPr>
        <w:t xml:space="preserve">The </w:t>
      </w:r>
      <w:r w:rsidRPr="00C2398C">
        <w:rPr>
          <w:rFonts w:ascii="Arial" w:hAnsi="Arial" w:cs="Arial"/>
          <w:b/>
          <w:u w:val="single"/>
        </w:rPr>
        <w:t>instrumentalisation of</w:t>
      </w:r>
      <w:r w:rsidRPr="00C2398C">
        <w:rPr>
          <w:rFonts w:ascii="Arial" w:hAnsi="Arial" w:cs="Arial"/>
          <w:u w:val="single"/>
        </w:rPr>
        <w:t xml:space="preserve"> (affective) </w:t>
      </w:r>
      <w:r w:rsidRPr="00C2398C">
        <w:rPr>
          <w:rFonts w:ascii="Arial" w:hAnsi="Arial" w:cs="Arial"/>
          <w:b/>
          <w:u w:val="single"/>
        </w:rPr>
        <w:t>labour falls in particular on disabled women through the promotion of ‘nurturing gender subjects as altruistic beings’</w:t>
      </w:r>
      <w:r w:rsidRPr="00C2398C">
        <w:rPr>
          <w:rFonts w:ascii="Arial" w:hAnsi="Arial" w:cs="Arial"/>
          <w:u w:val="single"/>
        </w:rPr>
        <w:t xml:space="preserve"> </w:t>
      </w:r>
      <w:r w:rsidRPr="00C2398C">
        <w:rPr>
          <w:rFonts w:ascii="Arial" w:hAnsi="Arial" w:cs="Arial"/>
          <w:sz w:val="16"/>
        </w:rPr>
        <w:t xml:space="preserve">(ibid.). Drawing attention to this, Chaudhry highlights how </w:t>
      </w:r>
      <w:r w:rsidRPr="00C2398C">
        <w:rPr>
          <w:rFonts w:ascii="Arial" w:hAnsi="Arial" w:cs="Arial"/>
          <w:u w:val="single"/>
        </w:rPr>
        <w:t xml:space="preserve">the </w:t>
      </w:r>
      <w:r w:rsidRPr="00C2398C">
        <w:rPr>
          <w:rFonts w:ascii="Arial" w:hAnsi="Arial" w:cs="Arial"/>
          <w:b/>
          <w:u w:val="single"/>
        </w:rPr>
        <w:t>normative ideal of ‘active citizenship’ underwrites the policies of self-help</w:t>
      </w:r>
      <w:r w:rsidRPr="00C2398C">
        <w:rPr>
          <w:rFonts w:ascii="Arial" w:hAnsi="Arial" w:cs="Arial"/>
          <w:u w:val="single"/>
        </w:rPr>
        <w:t xml:space="preserve"> and materialises further disadvantages along the lines of gender, race, and caste. The second axis of the crip critique of development focuses on normative visions of time and (futural) temporality</w:t>
      </w:r>
      <w:r w:rsidRPr="00C2398C">
        <w:rPr>
          <w:rFonts w:ascii="Arial" w:hAnsi="Arial" w:cs="Arial"/>
          <w:sz w:val="16"/>
        </w:rPr>
        <w:t xml:space="preserve">. Garde’s and Chaudhry’s analyses intimate how fundamentally important constructions of futurity are to the promise and politics of development. </w:t>
      </w:r>
      <w:r w:rsidRPr="00C2398C">
        <w:rPr>
          <w:rFonts w:ascii="Arial" w:hAnsi="Arial" w:cs="Arial"/>
          <w:b/>
          <w:u w:val="single"/>
        </w:rPr>
        <w:t>The very idea of development conveys a speciﬁc rationality and morality based in concepts of time.</w:t>
      </w:r>
      <w:r w:rsidRPr="00C2398C">
        <w:rPr>
          <w:rFonts w:ascii="Arial" w:hAnsi="Arial" w:cs="Arial"/>
          <w:u w:val="single"/>
        </w:rPr>
        <w:t xml:space="preserve"> The Oxford English Dictionary deﬁnes development, as ‘[a] gradual unfolding, a bringing into fuller view’, ‘[e]volution or bringing out from a latent or elementary condition’, or as ‘[t]he growth and unfolding of what is in the germ.’ Each deﬁnition </w:t>
      </w:r>
      <w:r w:rsidRPr="00C2398C">
        <w:rPr>
          <w:rFonts w:ascii="Arial" w:hAnsi="Arial" w:cs="Arial"/>
          <w:u w:val="single"/>
        </w:rPr>
        <w:lastRenderedPageBreak/>
        <w:t>shows how development is understood both by the morality of reaching assumedly better, more advanced forms of existence, and by a temporal plan and direction towards the future.</w:t>
      </w:r>
      <w:r w:rsidRPr="00C2398C">
        <w:rPr>
          <w:rFonts w:ascii="Arial" w:hAnsi="Arial" w:cs="Arial"/>
          <w:sz w:val="16"/>
        </w:rPr>
        <w:t xml:space="preserve"> </w:t>
      </w:r>
      <w:r w:rsidRPr="00C2398C">
        <w:rPr>
          <w:rFonts w:ascii="Arial" w:hAnsi="Arial" w:cs="Arial"/>
          <w:u w:val="single"/>
        </w:rPr>
        <w:t>Or as Mel Chen put it in their 2013 conference keynote, ﬁttingly titled ‘Keep Your Eyes on the Clock’, ‘“[d]evelopment” ... refer[s] to the notion of progression towards a seemingly desirable end,’ while—they also argued—development as ‘a set of almost homonymous senses refer[s] to human individual growth on the one hand and economic fate on the other’ (2013)</w:t>
      </w:r>
      <w:r w:rsidRPr="00C2398C">
        <w:rPr>
          <w:rFonts w:ascii="Arial" w:hAnsi="Arial" w:cs="Arial"/>
          <w:sz w:val="16"/>
        </w:rPr>
        <w:t xml:space="preserve">. In his above-cited essay, Walter Mignolo notes ‘[t]ime ... is a category of reckoning, not a category of experiencing’ (2011: 151). </w:t>
      </w:r>
      <w:r w:rsidRPr="00C2398C">
        <w:rPr>
          <w:rFonts w:ascii="Arial" w:hAnsi="Arial" w:cs="Arial"/>
          <w:b/>
          <w:u w:val="single"/>
        </w:rPr>
        <w:t>To crip development we must inquire into the overlay between affective politics of development and the culturally hegemonic understandings of time/temporality. It is the normative temporality inherent in development that generates the distinction between disability and ability, debility and capacity. ‘Disability too often serves as the agreed upon limit of our projected futures’</w:t>
      </w:r>
      <w:r w:rsidRPr="00C2398C">
        <w:rPr>
          <w:rFonts w:ascii="Arial" w:hAnsi="Arial" w:cs="Arial"/>
          <w:b/>
          <w:sz w:val="16"/>
        </w:rPr>
        <w:t xml:space="preserve"> (</w:t>
      </w:r>
      <w:r w:rsidRPr="00C2398C">
        <w:rPr>
          <w:rFonts w:ascii="Arial" w:hAnsi="Arial" w:cs="Arial"/>
          <w:sz w:val="16"/>
        </w:rPr>
        <w:t xml:space="preserve">2013: 27), as Alison Kafer so aptly puts it. </w:t>
      </w:r>
      <w:r w:rsidRPr="00C2398C">
        <w:rPr>
          <w:rFonts w:ascii="Arial" w:hAnsi="Arial" w:cs="Arial"/>
          <w:b/>
          <w:u w:val="single"/>
        </w:rPr>
        <w:t>The feminist queer crip critique of development</w:t>
      </w:r>
      <w:r w:rsidRPr="00C2398C">
        <w:rPr>
          <w:rFonts w:ascii="Arial" w:hAnsi="Arial" w:cs="Arial"/>
          <w:u w:val="single"/>
        </w:rPr>
        <w:t xml:space="preserve">, to borrow from Kafer, </w:t>
      </w:r>
      <w:r w:rsidRPr="00C2398C">
        <w:rPr>
          <w:rFonts w:ascii="Arial" w:hAnsi="Arial" w:cs="Arial"/>
          <w:b/>
          <w:u w:val="single"/>
        </w:rPr>
        <w:t>needs to look for and disrupt the ways in which normative temporality bears on conceptualisations of disability in (post)colonial times and turns disability into the milestone</w:t>
      </w:r>
      <w:r w:rsidRPr="00C2398C">
        <w:rPr>
          <w:rFonts w:ascii="Arial" w:hAnsi="Arial" w:cs="Arial"/>
          <w:u w:val="single"/>
        </w:rPr>
        <w:t xml:space="preserve"> of both individual and collective development (and the capacity for such development) or relegates disability to backwardness.</w:t>
      </w:r>
      <w:r w:rsidRPr="00C2398C">
        <w:rPr>
          <w:rFonts w:ascii="Arial" w:hAnsi="Arial" w:cs="Arial"/>
          <w:sz w:val="16"/>
        </w:rPr>
        <w:t xml:space="preserve"> </w:t>
      </w:r>
      <w:r w:rsidRPr="00C2398C">
        <w:rPr>
          <w:rFonts w:ascii="Arial" w:hAnsi="Arial" w:cs="Arial"/>
          <w:b/>
          <w:u w:val="single"/>
        </w:rPr>
        <w:t>Cripping Development invites</w:t>
      </w:r>
      <w:r w:rsidRPr="00C2398C">
        <w:rPr>
          <w:rFonts w:ascii="Arial" w:hAnsi="Arial" w:cs="Arial"/>
          <w:u w:val="single"/>
        </w:rPr>
        <w:t xml:space="preserve"> further </w:t>
      </w:r>
      <w:r w:rsidRPr="00C2398C">
        <w:rPr>
          <w:rFonts w:ascii="Arial" w:hAnsi="Arial" w:cs="Arial"/>
          <w:b/>
          <w:u w:val="single"/>
        </w:rPr>
        <w:t xml:space="preserve">inquiry into what the realisation that time has become ‘a fundamental concept of coloniality at large’ </w:t>
      </w:r>
      <w:r w:rsidRPr="00C2398C">
        <w:rPr>
          <w:rFonts w:ascii="Arial" w:hAnsi="Arial" w:cs="Arial"/>
          <w:u w:val="single"/>
        </w:rPr>
        <w:t>and remains ‘caught and woven into the imaginary of the modern/colonial world-system’</w:t>
      </w:r>
      <w:r w:rsidRPr="00C2398C">
        <w:rPr>
          <w:rFonts w:ascii="Arial" w:hAnsi="Arial" w:cs="Arial"/>
          <w:sz w:val="16"/>
        </w:rPr>
        <w:t xml:space="preserve"> (Mignolo 2011: 152) </w:t>
      </w:r>
      <w:r w:rsidRPr="00C2398C">
        <w:rPr>
          <w:rFonts w:ascii="Arial" w:hAnsi="Arial" w:cs="Arial"/>
          <w:u w:val="single"/>
        </w:rPr>
        <w:t xml:space="preserve">means for thinking disability and disability assemblages in relation to radical justice. Unsurprisingly, development’s normative temporality overlaps with geopolitical spatial hierarchies and the organisation of (global) space. </w:t>
      </w:r>
      <w:r w:rsidRPr="00C2398C">
        <w:rPr>
          <w:rFonts w:ascii="Arial" w:hAnsi="Arial" w:cs="Arial"/>
          <w:b/>
          <w:u w:val="single"/>
        </w:rPr>
        <w:t>A deconstruction of the spatial logic that organises the world along the hierarchy of assumed modernity and development thus constitutes the third aspect that we see as central for a crip critique of development</w:t>
      </w:r>
      <w:r w:rsidRPr="00C2398C">
        <w:rPr>
          <w:rFonts w:ascii="Arial" w:hAnsi="Arial" w:cs="Arial"/>
          <w:b/>
          <w:sz w:val="16"/>
        </w:rPr>
        <w:t xml:space="preserve">. </w:t>
      </w:r>
      <w:r w:rsidRPr="00C2398C">
        <w:rPr>
          <w:rFonts w:ascii="Arial" w:hAnsi="Arial" w:cs="Arial"/>
          <w:sz w:val="16"/>
        </w:rPr>
        <w:t xml:space="preserve">The appellations North, South, West and East represent the most apt manifestations of how the idea of development lingers in these spatial tropes and informs their relationality. Rather than a simple description of geographic locations the tropes function as powerful and essential identiﬁcations. Their respective positions on the imagined development scale ‘diagnose’ capacities and potential for further/future development. Modern Hegelian thought, as Mignolo argues, </w:t>
      </w:r>
      <w:r w:rsidRPr="00C2398C">
        <w:rPr>
          <w:rFonts w:ascii="Arial" w:hAnsi="Arial" w:cs="Arial"/>
          <w:b/>
          <w:u w:val="single"/>
        </w:rPr>
        <w:t>organised the ‘cosmo-polis on a temporal scale that relocated the special distribution of continents</w:t>
      </w:r>
      <w:r w:rsidRPr="00C2398C">
        <w:rPr>
          <w:rFonts w:ascii="Arial" w:hAnsi="Arial" w:cs="Arial"/>
          <w:u w:val="single"/>
        </w:rPr>
        <w:t xml:space="preserve"> ... in a chronological order that followed a certain directionality of history, from East to West’ (2011: 151). </w:t>
      </w:r>
      <w:r w:rsidRPr="00C2398C">
        <w:rPr>
          <w:rFonts w:ascii="Arial" w:hAnsi="Arial" w:cs="Arial"/>
          <w:b/>
          <w:u w:val="single"/>
        </w:rPr>
        <w:t>Thus, ‘the “coloniality” of modern world history is not a brute binary division’</w:t>
      </w:r>
      <w:r w:rsidRPr="00C2398C">
        <w:rPr>
          <w:rFonts w:ascii="Arial" w:hAnsi="Arial" w:cs="Arial"/>
          <w:u w:val="single"/>
        </w:rPr>
        <w:t>,</w:t>
      </w:r>
      <w:r w:rsidRPr="00C2398C">
        <w:rPr>
          <w:rFonts w:ascii="Arial" w:hAnsi="Arial" w:cs="Arial"/>
          <w:sz w:val="16"/>
        </w:rPr>
        <w:t xml:space="preserve"> Lisa Lowe notes, ‘but rather one that operates through precisely spatialized and temporalized processes of both differentiation and connection.’ (Lowe 2015: 8</w:t>
      </w:r>
      <w:r w:rsidRPr="00C2398C">
        <w:rPr>
          <w:rFonts w:ascii="Arial" w:hAnsi="Arial" w:cs="Arial"/>
          <w:u w:val="single"/>
        </w:rPr>
        <w:t xml:space="preserve">) What </w:t>
      </w:r>
      <w:r w:rsidRPr="00C2398C">
        <w:rPr>
          <w:rFonts w:ascii="Arial" w:hAnsi="Arial" w:cs="Arial"/>
          <w:b/>
          <w:u w:val="single"/>
        </w:rPr>
        <w:t>we need to add to this important critique is the acknowledgement that this gesture of spatial/temporal logic is deeply interwoven with racial and disability epistemologies</w:t>
      </w:r>
      <w:r w:rsidRPr="00C2398C">
        <w:rPr>
          <w:rFonts w:ascii="Arial" w:hAnsi="Arial" w:cs="Arial"/>
          <w:u w:val="single"/>
        </w:rPr>
        <w:t xml:space="preserve">. Coupling certain territories with race, the spatial/temporal logic simultaneously and crucially attributes these ‘race territories’ with a differentialised vision of in/capacity to development. Thus </w:t>
      </w:r>
      <w:r w:rsidRPr="00C2398C">
        <w:rPr>
          <w:rFonts w:ascii="Arial" w:hAnsi="Arial" w:cs="Arial"/>
          <w:b/>
          <w:u w:val="single"/>
        </w:rPr>
        <w:t>it ties race to disability, disability to race in eternal proximations of modernity</w:t>
      </w:r>
      <w:r w:rsidRPr="00C2398C">
        <w:rPr>
          <w:rFonts w:ascii="Arial" w:hAnsi="Arial" w:cs="Arial"/>
          <w:u w:val="single"/>
        </w:rPr>
        <w:t xml:space="preserve">. </w:t>
      </w:r>
      <w:r w:rsidRPr="00C2398C">
        <w:rPr>
          <w:rFonts w:ascii="Arial" w:hAnsi="Arial" w:cs="Arial"/>
          <w:sz w:val="16"/>
        </w:rPr>
        <w:t xml:space="preserve">Mel Chen’s open-forum essay, ‘“The Stuff of Slow Constitution”: Reading Down Syndrome for Race, Disability, and the Timing that Makes Them So’ carefully attends to historical genealogies of race and disability ‘comminglings’ in the construction of the concept today known as Down Syndrome but what has been once termed ‘mongoloid idiocy’. </w:t>
      </w:r>
      <w:r w:rsidRPr="00C2398C">
        <w:rPr>
          <w:rFonts w:ascii="Arial" w:hAnsi="Arial" w:cs="Arial"/>
          <w:u w:val="single"/>
        </w:rPr>
        <w:t xml:space="preserve">Chen thus exposes the ways in which the idea of development (and its pace) has been construed as speciﬁc to race. </w:t>
      </w:r>
      <w:r w:rsidRPr="00C2398C">
        <w:rPr>
          <w:rFonts w:ascii="Arial" w:hAnsi="Arial" w:cs="Arial"/>
          <w:b/>
          <w:u w:val="single"/>
        </w:rPr>
        <w:t>This positioning of development in relation to race reveals that it is at the intersection of the temporal/spatial norm of development, that race and disability have been moulded together in the modern conceptualisation of ‘the Human’</w:t>
      </w:r>
      <w:r w:rsidRPr="00C2398C">
        <w:rPr>
          <w:rFonts w:ascii="Arial" w:hAnsi="Arial" w:cs="Arial"/>
          <w:u w:val="single"/>
        </w:rPr>
        <w:t xml:space="preserve">. There are many examples that speak to the fact that the logic of development’s spatial/racial attribution of capacity keeps resounding in </w:t>
      </w:r>
      <w:r w:rsidRPr="00C2398C">
        <w:rPr>
          <w:rFonts w:ascii="Arial" w:hAnsi="Arial" w:cs="Arial"/>
          <w:u w:val="single"/>
        </w:rPr>
        <w:lastRenderedPageBreak/>
        <w:t xml:space="preserve">the present. </w:t>
      </w:r>
      <w:r w:rsidRPr="00C2398C">
        <w:rPr>
          <w:rFonts w:ascii="Arial" w:hAnsi="Arial" w:cs="Arial"/>
          <w:b/>
          <w:u w:val="single"/>
        </w:rPr>
        <w:t>The present neocolonial/neoliberal contexts of East Europe provide another vibrant example of how the three normative aspects of development overlap</w:t>
      </w:r>
      <w:r w:rsidRPr="00C2398C">
        <w:rPr>
          <w:rFonts w:ascii="Arial" w:hAnsi="Arial" w:cs="Arial"/>
          <w:b/>
          <w:sz w:val="16"/>
        </w:rPr>
        <w:t>.</w:t>
      </w:r>
      <w:r w:rsidRPr="00C2398C">
        <w:rPr>
          <w:rFonts w:ascii="Arial" w:hAnsi="Arial" w:cs="Arial"/>
          <w:sz w:val="16"/>
        </w:rPr>
        <w:t xml:space="preserve"> Development provided the ideological horizon in the post-socialist and neoliberal ‘transformations’, the process of Europeanisation, and even the formal ratiﬁcation of the United Nations Convention on the Rights of People with Disabilities by respective Central and East European states (the Czech Republic only ratiﬁed the Convention in 2009). Recently, </w:t>
      </w:r>
      <w:r w:rsidRPr="00C2398C">
        <w:rPr>
          <w:rFonts w:ascii="Arial" w:hAnsi="Arial" w:cs="Arial"/>
          <w:b/>
          <w:u w:val="single"/>
        </w:rPr>
        <w:t xml:space="preserve">the idea of development is being invoked in the context of the current ‘refugee crisis’. Those who paint a picture of waves of refugees </w:t>
      </w:r>
      <w:r w:rsidRPr="00C2398C">
        <w:rPr>
          <w:rFonts w:ascii="Arial" w:hAnsi="Arial" w:cs="Arial"/>
          <w:u w:val="single"/>
        </w:rPr>
        <w:t xml:space="preserve">sweeping through East and Central Europe </w:t>
      </w:r>
      <w:r w:rsidRPr="00C2398C">
        <w:rPr>
          <w:rFonts w:ascii="Arial" w:hAnsi="Arial" w:cs="Arial"/>
          <w:b/>
          <w:u w:val="single"/>
        </w:rPr>
        <w:t>often accentuate the threat that ‘immigrants’ allegedly pose to cultural values and to the (ﬁnally) achieved state of developmen</w:t>
      </w:r>
      <w:r w:rsidRPr="00C2398C">
        <w:rPr>
          <w:rFonts w:ascii="Arial" w:hAnsi="Arial" w:cs="Arial"/>
          <w:u w:val="single"/>
        </w:rPr>
        <w:t>t.</w:t>
      </w:r>
      <w:r w:rsidRPr="00C2398C">
        <w:rPr>
          <w:rFonts w:ascii="Arial" w:hAnsi="Arial" w:cs="Arial"/>
          <w:sz w:val="16"/>
        </w:rPr>
        <w:t xml:space="preserve"> The Visegrad Four, the Central and East European’s ‘former socialist’ and now </w:t>
      </w:r>
      <w:r w:rsidRPr="00C2398C">
        <w:rPr>
          <w:rFonts w:ascii="Arial" w:hAnsi="Arial" w:cs="Arial"/>
          <w:b/>
          <w:u w:val="single"/>
        </w:rPr>
        <w:t>EU countries</w:t>
      </w:r>
      <w:r w:rsidRPr="00C2398C">
        <w:rPr>
          <w:rFonts w:ascii="Arial" w:hAnsi="Arial" w:cs="Arial"/>
          <w:b/>
          <w:sz w:val="16"/>
        </w:rPr>
        <w:t xml:space="preserve"> (</w:t>
      </w:r>
      <w:r w:rsidRPr="00C2398C">
        <w:rPr>
          <w:rFonts w:ascii="Arial" w:hAnsi="Arial" w:cs="Arial"/>
          <w:sz w:val="16"/>
        </w:rPr>
        <w:t xml:space="preserve">Poland, Hungary, Slovak and Czech republics), </w:t>
      </w:r>
      <w:r w:rsidRPr="00C2398C">
        <w:rPr>
          <w:rFonts w:ascii="Arial" w:hAnsi="Arial" w:cs="Arial"/>
          <w:b/>
          <w:u w:val="single"/>
        </w:rPr>
        <w:t>have been</w:t>
      </w:r>
      <w:r w:rsidRPr="00C2398C">
        <w:rPr>
          <w:rFonts w:ascii="Arial" w:hAnsi="Arial" w:cs="Arial"/>
          <w:u w:val="single"/>
        </w:rPr>
        <w:t xml:space="preserve"> loudly </w:t>
      </w:r>
      <w:r w:rsidRPr="00C2398C">
        <w:rPr>
          <w:rFonts w:ascii="Arial" w:hAnsi="Arial" w:cs="Arial"/>
          <w:b/>
          <w:u w:val="single"/>
        </w:rPr>
        <w:t>criticising the politics of Germany</w:t>
      </w:r>
      <w:r w:rsidRPr="00C2398C">
        <w:rPr>
          <w:rFonts w:ascii="Arial" w:hAnsi="Arial" w:cs="Arial"/>
          <w:u w:val="single"/>
        </w:rPr>
        <w:t xml:space="preserve"> and other ‘big’ EU countries ‘</w:t>
      </w:r>
      <w:r w:rsidRPr="00C2398C">
        <w:rPr>
          <w:rFonts w:ascii="Arial" w:hAnsi="Arial" w:cs="Arial"/>
          <w:b/>
          <w:u w:val="single"/>
        </w:rPr>
        <w:t>irresponsibly’ welcoming and extending an ‘open invitation’ to people ﬂeeing the Syrian war, other war zones, and areas experiencing the violent aftermath of neocolonial exploitation.</w:t>
      </w:r>
      <w:r w:rsidRPr="00C2398C">
        <w:rPr>
          <w:rFonts w:ascii="Arial" w:hAnsi="Arial" w:cs="Arial"/>
          <w:u w:val="single"/>
        </w:rPr>
        <w:t xml:space="preserve"> A more nuanced discussion of such a stance is beyond the scope of this introduction, but sufﬁce it to say that on one level—demonstrated in the example of public debates in the Czech Republic—the ‘Eastern </w:t>
      </w:r>
      <w:r w:rsidRPr="00C2398C">
        <w:rPr>
          <w:rFonts w:ascii="Arial" w:hAnsi="Arial" w:cs="Arial"/>
          <w:b/>
          <w:u w:val="single"/>
        </w:rPr>
        <w:t>European’ rejection of ‘refugees’ is an expression of the anxiety of the ‘capitalist rehabilitation’ of the region, that is, the precariousness of the process of ‘catching up’ and developing to a state of ‘sameness’.</w:t>
      </w:r>
      <w:r w:rsidRPr="00C2398C">
        <w:rPr>
          <w:rFonts w:ascii="Arial" w:hAnsi="Arial" w:cs="Arial"/>
          <w:b/>
          <w:sz w:val="16"/>
        </w:rPr>
        <w:t xml:space="preserve">  The</w:t>
      </w:r>
      <w:r w:rsidRPr="00C2398C">
        <w:rPr>
          <w:rFonts w:ascii="Arial" w:hAnsi="Arial" w:cs="Arial"/>
          <w:sz w:val="16"/>
        </w:rPr>
        <w:t xml:space="preserve"> racist discourses about Muslims as culturally ‘backward’ seem to have resonated particularly strongly in a region that has been historically construed as the ‘backward’ zone of Europe (Wolff 1994). However, the conﬂict between the ‘old’ and the ‘new’ EU countries over migration policies and over the ‘refugee crisis’ reveals yet another layer of how the idea of development remains a meaning-producing concept in global politics. Dace Dzenovska argues that </w:t>
      </w:r>
      <w:r w:rsidRPr="00C2398C">
        <w:rPr>
          <w:rFonts w:ascii="Arial" w:hAnsi="Arial" w:cs="Arial"/>
          <w:b/>
          <w:u w:val="single"/>
        </w:rPr>
        <w:t>the popular and widespread critique</w:t>
      </w:r>
      <w:r w:rsidRPr="00C2398C">
        <w:rPr>
          <w:rFonts w:ascii="Arial" w:hAnsi="Arial" w:cs="Arial"/>
          <w:u w:val="single"/>
        </w:rPr>
        <w:t xml:space="preserve"> </w:t>
      </w:r>
      <w:r w:rsidRPr="00C2398C">
        <w:rPr>
          <w:rFonts w:ascii="Arial" w:hAnsi="Arial" w:cs="Arial"/>
          <w:b/>
          <w:u w:val="single"/>
        </w:rPr>
        <w:t xml:space="preserve">of </w:t>
      </w:r>
      <w:r w:rsidRPr="00C2398C">
        <w:rPr>
          <w:rFonts w:ascii="Arial" w:hAnsi="Arial" w:cs="Arial"/>
          <w:u w:val="single"/>
        </w:rPr>
        <w:t xml:space="preserve">Central and East </w:t>
      </w:r>
      <w:r w:rsidRPr="00C2398C">
        <w:rPr>
          <w:rFonts w:ascii="Arial" w:hAnsi="Arial" w:cs="Arial"/>
          <w:b/>
          <w:u w:val="single"/>
        </w:rPr>
        <w:t xml:space="preserve">European countries for not participating in the politics of compassion towards refugees reproduces a vision of East European as ‘uncivilised’ and ‘barbaric’ and ‘a failed subject’ of the development mission. (2015) </w:t>
      </w:r>
    </w:p>
    <w:p xmlns:wp14="http://schemas.microsoft.com/office/word/2010/wordml" w:rsidR="001860AB" w:rsidP="001860AB" w:rsidRDefault="001860AB" w14:paraId="296FEF7D" wp14:textId="77777777"/>
    <w:p xmlns:wp14="http://schemas.microsoft.com/office/word/2010/wordml" w:rsidR="001860AB" w:rsidP="001860AB" w:rsidRDefault="001860AB" w14:paraId="7194DBDC" wp14:textId="77777777"/>
    <w:p xmlns:wp14="http://schemas.microsoft.com/office/word/2010/wordml" w:rsidR="001860AB" w:rsidP="001860AB" w:rsidRDefault="001860AB" w14:paraId="03000C7B" wp14:textId="77777777">
      <w:pPr>
        <w:pStyle w:val="Heading3"/>
      </w:pPr>
      <w:r>
        <w:lastRenderedPageBreak/>
        <w:t>A2: Edelman</w:t>
      </w:r>
    </w:p>
    <w:p xmlns:wp14="http://schemas.microsoft.com/office/word/2010/wordml" w:rsidRPr="00C2398C" w:rsidR="001860AB" w:rsidP="001860AB" w:rsidRDefault="001860AB" w14:paraId="25990A8D" wp14:textId="77777777">
      <w:pPr>
        <w:pStyle w:val="Heading4"/>
        <w:rPr>
          <w:rFonts w:cs="Arial"/>
        </w:rPr>
      </w:pPr>
      <w:r w:rsidRPr="00C2398C">
        <w:rPr>
          <w:rFonts w:cs="Arial"/>
        </w:rPr>
        <w:t xml:space="preserve">Edelman’s construction of the child </w:t>
      </w:r>
      <w:r>
        <w:rPr>
          <w:rFonts w:cs="Arial"/>
        </w:rPr>
        <w:t xml:space="preserve">is able-bodied – it </w:t>
      </w:r>
      <w:r w:rsidRPr="00C2398C">
        <w:rPr>
          <w:rFonts w:cs="Arial"/>
        </w:rPr>
        <w:t>fail</w:t>
      </w:r>
      <w:r>
        <w:rPr>
          <w:rFonts w:cs="Arial"/>
        </w:rPr>
        <w:t>s</w:t>
      </w:r>
      <w:r w:rsidRPr="00C2398C">
        <w:rPr>
          <w:rFonts w:cs="Arial"/>
        </w:rPr>
        <w:t xml:space="preserve"> to recognize that </w:t>
      </w:r>
      <w:r>
        <w:rPr>
          <w:rFonts w:cs="Arial"/>
        </w:rPr>
        <w:t>reproductive futurity orchestrates the debilitation of other futures</w:t>
      </w:r>
      <w:r w:rsidRPr="00C2398C">
        <w:rPr>
          <w:rFonts w:cs="Arial"/>
        </w:rPr>
        <w:t xml:space="preserve"> </w:t>
      </w:r>
    </w:p>
    <w:p xmlns:wp14="http://schemas.microsoft.com/office/word/2010/wordml" w:rsidRPr="00C2398C" w:rsidR="001860AB" w:rsidP="001860AB" w:rsidRDefault="001860AB" w14:paraId="5B850539" wp14:textId="77777777">
      <w:r w:rsidRPr="00415E97">
        <w:rPr>
          <w:rStyle w:val="Style13ptBold"/>
        </w:rPr>
        <w:t>Fritsch</w:t>
      </w:r>
      <w:r>
        <w:rPr>
          <w:rStyle w:val="Style13ptBold"/>
        </w:rPr>
        <w:t xml:space="preserve"> 16</w:t>
      </w:r>
      <w:r w:rsidRPr="00C2398C">
        <w:rPr>
          <w:b/>
        </w:rPr>
        <w:t xml:space="preserve"> </w:t>
      </w:r>
      <w:r w:rsidRPr="00C2398C">
        <w:t>(Kelly. Ph.D in Social and Political Thought from York University. Research fields include: Disability studies, feminist theory, queer, and accessibility. Feral Feminism U</w:t>
      </w:r>
      <w:r>
        <w:t>n</w:t>
      </w:r>
      <w:r w:rsidRPr="00C2398C">
        <w:t>timely Bodies: Futurity, Resistance, and non-normative embodiment: Cripping Neoliberal Futurity: Marking the Elsewhere and Elsewhen of Desiring Otherwise.) //ONW</w:t>
      </w:r>
    </w:p>
    <w:p xmlns:wp14="http://schemas.microsoft.com/office/word/2010/wordml" w:rsidR="001860AB" w:rsidP="001860AB" w:rsidRDefault="001860AB" w14:paraId="0B083011" wp14:textId="77777777">
      <w:pPr>
        <w:rPr>
          <w:rFonts w:eastAsia="Times New Roman"/>
          <w:b/>
          <w:sz w:val="24"/>
          <w:szCs w:val="24"/>
          <w:u w:val="single"/>
        </w:rPr>
      </w:pPr>
      <w:r w:rsidRPr="00C2398C">
        <w:rPr>
          <w:rFonts w:eastAsia="Times New Roman"/>
          <w:sz w:val="16"/>
          <w:szCs w:val="24"/>
        </w:rPr>
        <w:t xml:space="preserve">While Edelman (2004) accounts for the ways in which the Child as the image of the future is central to the notion of progress, what he does not account for is how this Child relies on an economy of disability that is deeply entrenched in neoliberal practices of biocapitalism. That is, </w:t>
      </w:r>
      <w:r w:rsidRPr="00C2398C">
        <w:rPr>
          <w:rFonts w:eastAsia="Times New Roman"/>
          <w:b/>
          <w:sz w:val="24"/>
          <w:szCs w:val="24"/>
          <w:u w:val="single"/>
        </w:rPr>
        <w:t xml:space="preserve">neoliberal practices not only produce disability or are complicit in rising rates of disabling conditions </w:t>
      </w:r>
      <w:r w:rsidRPr="000E2615">
        <w:rPr>
          <w:rStyle w:val="StyleUnderline"/>
        </w:rPr>
        <w:t xml:space="preserve">through unsafe labour practices, war, and the systematic dismantling of the welfare state, </w:t>
      </w:r>
      <w:r w:rsidRPr="00C2398C">
        <w:rPr>
          <w:rFonts w:eastAsia="Times New Roman"/>
          <w:b/>
          <w:sz w:val="24"/>
          <w:szCs w:val="24"/>
          <w:u w:val="single"/>
        </w:rPr>
        <w:t>but</w:t>
      </w:r>
      <w:r w:rsidRPr="000E2615">
        <w:rPr>
          <w:rStyle w:val="StyleUnderline"/>
        </w:rPr>
        <w:t xml:space="preserve"> neoliberal practices </w:t>
      </w:r>
      <w:r w:rsidRPr="00C2398C">
        <w:rPr>
          <w:rFonts w:eastAsia="Times New Roman"/>
          <w:b/>
          <w:sz w:val="24"/>
          <w:szCs w:val="24"/>
          <w:u w:val="single"/>
        </w:rPr>
        <w:t>also demand that some succeed at the expense of others</w:t>
      </w:r>
      <w:r w:rsidRPr="000E2615">
        <w:rPr>
          <w:rStyle w:val="StyleUnderline"/>
        </w:rPr>
        <w:t xml:space="preserve">. In this way, </w:t>
      </w:r>
      <w:r w:rsidRPr="00C2398C">
        <w:rPr>
          <w:rFonts w:eastAsia="Times New Roman"/>
          <w:b/>
          <w:sz w:val="24"/>
          <w:szCs w:val="24"/>
          <w:u w:val="single"/>
        </w:rPr>
        <w:t>we cannot account for neoliberal futurity without addressing disability</w:t>
      </w:r>
      <w:r w:rsidRPr="00C2398C">
        <w:rPr>
          <w:rFonts w:eastAsia="Times New Roman"/>
          <w:sz w:val="16"/>
          <w:szCs w:val="24"/>
        </w:rPr>
        <w:t>.   Thus, while Edelman (2004) is correct in asserting that the contemporary political order favours heteronormativity in the ways in which it incites the heterosexual Child as the image of the future</w:t>
      </w:r>
      <w:r w:rsidRPr="000E2615">
        <w:rPr>
          <w:rStyle w:val="StyleUnderline"/>
        </w:rPr>
        <w:t xml:space="preserve">, I argue that </w:t>
      </w:r>
      <w:r w:rsidRPr="00C2398C">
        <w:rPr>
          <w:rFonts w:eastAsia="Times New Roman"/>
          <w:b/>
          <w:sz w:val="24"/>
          <w:szCs w:val="24"/>
          <w:u w:val="single"/>
        </w:rPr>
        <w:t>this image of the Child as the future</w:t>
      </w:r>
      <w:r w:rsidRPr="000E2615">
        <w:rPr>
          <w:rStyle w:val="StyleUnderline"/>
        </w:rPr>
        <w:t xml:space="preserve"> also continuously </w:t>
      </w:r>
      <w:r w:rsidRPr="00C2398C">
        <w:rPr>
          <w:rFonts w:eastAsia="Times New Roman"/>
          <w:b/>
          <w:sz w:val="24"/>
          <w:szCs w:val="24"/>
          <w:u w:val="single"/>
        </w:rPr>
        <w:t>incites compulsory enhanced-bodiediness/mindedness, as the child of reproductive futurism is not only able-bodied, but must also be better than able-bodied or able-minded</w:t>
      </w:r>
      <w:r w:rsidRPr="00C2398C">
        <w:rPr>
          <w:rFonts w:eastAsia="Times New Roman"/>
          <w:sz w:val="16"/>
          <w:szCs w:val="24"/>
        </w:rPr>
        <w:t xml:space="preserve">. As Robert McRuer points out, “‘everybody,’ after all, or so the saying goes, ‘wants a healthy baby’” (2008). Edelman’s sharp and scathing critique of reproductive futurity is important, as is McRuer’s argument that </w:t>
      </w:r>
      <w:r w:rsidRPr="00906D41">
        <w:rPr>
          <w:rStyle w:val="StyleUnderline"/>
        </w:rPr>
        <w:t>Edelman’s Child is able-bodied.</w:t>
      </w:r>
      <w:r w:rsidRPr="00C2398C">
        <w:rPr>
          <w:rFonts w:eastAsia="Times New Roman"/>
          <w:sz w:val="16"/>
          <w:szCs w:val="24"/>
        </w:rPr>
        <w:t xml:space="preserve"> Yet </w:t>
      </w:r>
      <w:r w:rsidRPr="000E2615">
        <w:rPr>
          <w:rStyle w:val="StyleUnderline"/>
        </w:rPr>
        <w:t xml:space="preserve">what neither Edelman or McRuer elucidate is how </w:t>
      </w:r>
      <w:r w:rsidRPr="00C2398C">
        <w:rPr>
          <w:rFonts w:eastAsia="Times New Roman"/>
          <w:b/>
          <w:sz w:val="24"/>
          <w:szCs w:val="24"/>
          <w:u w:val="single"/>
        </w:rPr>
        <w:t>reproductive futurity relies on both a capacitated and enhanced Child and also for some disabled children to grow up at the expense of others whom dominant structures never intend to grow up</w:t>
      </w:r>
      <w:r w:rsidRPr="000E2615">
        <w:rPr>
          <w:rStyle w:val="StyleUnderline"/>
        </w:rPr>
        <w:t>.</w:t>
      </w:r>
      <w:r w:rsidRPr="00C2398C">
        <w:rPr>
          <w:rFonts w:eastAsia="Times New Roman"/>
          <w:sz w:val="16"/>
          <w:szCs w:val="24"/>
        </w:rPr>
        <w:t xml:space="preserve"> While McRuer is right to point out that </w:t>
      </w:r>
      <w:r w:rsidRPr="000E2615">
        <w:rPr>
          <w:rStyle w:val="StyleUnderline"/>
        </w:rPr>
        <w:t xml:space="preserve">no child can fully embody the desirable able-bodied child and, thus, sets up disability as the impediment to a desirable future, I argue that </w:t>
      </w:r>
      <w:r w:rsidRPr="00C2398C">
        <w:rPr>
          <w:rFonts w:eastAsia="Times New Roman"/>
          <w:b/>
          <w:sz w:val="24"/>
          <w:szCs w:val="24"/>
          <w:u w:val="single"/>
        </w:rPr>
        <w:t>the better-than-able-bodied-and-minded Child requires some capacitated disabled children to flourish at the expense of other disabled children in order to give meaning to the figure of the Child</w:t>
      </w:r>
      <w:r w:rsidRPr="00C2398C">
        <w:rPr>
          <w:rFonts w:eastAsia="Times New Roman"/>
          <w:sz w:val="16"/>
          <w:szCs w:val="24"/>
        </w:rPr>
        <w:t xml:space="preserve">.  There is, then, an important ambivalent tension within neoliberal futurity; the disabled child is at once a figure with no future while at the same time also a figure of neoliberal futurity mobilized through biocapitalism, cure, and enhancement. Therefore, I argue that </w:t>
      </w:r>
      <w:r w:rsidRPr="000E2615">
        <w:rPr>
          <w:rStyle w:val="StyleUnderline"/>
        </w:rPr>
        <w:t xml:space="preserve">we are deeply invested in narratives of suffering children, but </w:t>
      </w:r>
      <w:r w:rsidRPr="00C2398C">
        <w:rPr>
          <w:rFonts w:eastAsia="Times New Roman"/>
          <w:b/>
          <w:sz w:val="24"/>
          <w:szCs w:val="24"/>
          <w:u w:val="single"/>
        </w:rPr>
        <w:t xml:space="preserve">some of those children are always supposed to remain children, never growing up, while others are celebrated, enhanced, and capacitated precisely because they can be made to fit into the neoliberal biocapitalist promise of the future.  </w:t>
      </w:r>
    </w:p>
    <w:p xmlns:wp14="http://schemas.microsoft.com/office/word/2010/wordml" w:rsidR="001860AB" w:rsidP="001860AB" w:rsidRDefault="00AE574E" w14:paraId="7D5C2028" wp14:textId="77777777">
      <w:pPr>
        <w:pStyle w:val="Heading3"/>
      </w:pPr>
      <w:r>
        <w:lastRenderedPageBreak/>
        <w:t>Queer Pess--</w:t>
      </w:r>
      <w:r w:rsidR="001860AB">
        <w:t>Permutation</w:t>
      </w:r>
    </w:p>
    <w:p xmlns:wp14="http://schemas.microsoft.com/office/word/2010/wordml" w:rsidR="001860AB" w:rsidP="001860AB" w:rsidRDefault="001860AB" w14:paraId="75F590F2" wp14:textId="77777777">
      <w:pPr>
        <w:pStyle w:val="Heading4"/>
      </w:pPr>
      <w:r>
        <w:t>Perm do both – we must analyze both debility and sexuality through the lens of non-representation – the alternative results in queer exceptionalism, ableism and homonationalism</w:t>
      </w:r>
    </w:p>
    <w:p xmlns:wp14="http://schemas.microsoft.com/office/word/2010/wordml" w:rsidRPr="0058336F" w:rsidR="001860AB" w:rsidP="001860AB" w:rsidRDefault="001860AB" w14:paraId="77B7E4BB" wp14:textId="77777777">
      <w:pPr>
        <w:rPr>
          <w:sz w:val="16"/>
        </w:rPr>
      </w:pPr>
      <w:r w:rsidRPr="001641E7">
        <w:rPr>
          <w:rStyle w:val="Style13ptBold"/>
        </w:rPr>
        <w:t>Puar 17</w:t>
      </w:r>
      <w:r w:rsidRPr="001641E7">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w:t>
      </w:r>
      <w:r>
        <w:t>124-5]</w:t>
      </w:r>
    </w:p>
    <w:p xmlns:wp14="http://schemas.microsoft.com/office/word/2010/wordml" w:rsidR="001860AB" w:rsidP="001860AB" w:rsidRDefault="001860AB" w14:paraId="574886B2" wp14:textId="77777777">
      <w:r w:rsidRPr="00EC3F1C">
        <w:rPr>
          <w:rStyle w:val="StyleUnderline"/>
        </w:rPr>
        <w:t>Pinkwashing is</w:t>
      </w:r>
      <w:r>
        <w:t xml:space="preserve"> thus </w:t>
      </w:r>
      <w:r w:rsidRPr="00EC3F1C">
        <w:rPr>
          <w:rStyle w:val="StyleUnderline"/>
        </w:rPr>
        <w:t>not a queer issue per se, or even one that instrumentalizes queers in specific for biopolitical ends. It is not about sexual identity in this regard but rather a powerful manifestation of the regulation of identity in an increasingly homonationalist world—a world that evaluates nationhood on the basis of the treatment of its homosexuals. Pinkwashing, then, works not only to obfuscate the occupation, to marginalize and pathologize and temporally quarantine Palestinian queers beholden to a reification of Palestinian homophobia. More trenchantly, I would argue, it actually works as a foil to the pronatalist, eugenically oriented practices of sexual reproduction—both homo and hetero—mapping certain ableist prototypes of homosexuality as a form of capacity that can potentiate, on the side of life. Disability,</w:t>
      </w:r>
      <w:r>
        <w:t xml:space="preserve"> with the exception of veterans disabled through war injuries, </w:t>
      </w:r>
      <w:r w:rsidRPr="00EC3F1C">
        <w:rPr>
          <w:rStyle w:val="StyleUnderline"/>
        </w:rPr>
        <w:t>remains firmly on the side of debility and death</w:t>
      </w:r>
      <w:r>
        <w:t xml:space="preserve">, limited state recognition notwithstanding. </w:t>
      </w:r>
      <w:r w:rsidRPr="00EC3F1C">
        <w:rPr>
          <w:rStyle w:val="StyleUnderline"/>
        </w:rPr>
        <w:t>Again, thinking about nonrepresentationalist understandings of sexuality as assemblage is crucial here, as one population “suffers” at the hands of the state through its representational success, the other through its representational absence/erasure/foreclosure. Given these interconnected and multiple rubrics, enacted in the name of sex, sexual freedom, and stellar technological achievement (as with art), any anti-pinkwashing stance that does not address the biopolitics of reproduction and regeneration may come dangerously close to reiterating the ableism not only of the Israeli state but also of (secular) queerness itself.</w:t>
      </w:r>
      <w:r>
        <w:t xml:space="preserve"> Whereas the effeminate Jew was antithetical to the project of Zionism, and homosexuality was considered an Orientalist (and therefore, Arab) vice, the rehabilitation project of the Israeli state now embraces the potential for the new muscular Judaism to be the muscular homosexual Jew.131 The rehabilitation of the effeminate sickly Jew of the diaspora realizes its apex in the child-rearing gay Israeli man. </w:t>
      </w:r>
      <w:r w:rsidRPr="00F652F4">
        <w:rPr>
          <w:rStyle w:val="StyleUnderline"/>
        </w:rPr>
        <w:t>Building social movements through disability is a valuable way of countering the sexual exceptionalism of queerness—</w:t>
      </w:r>
      <w:r w:rsidRPr="00F54F34">
        <w:rPr>
          <w:rStyle w:val="StyleUnderline"/>
        </w:rPr>
        <w:t>homonationalism— pretty much anywhere,</w:t>
      </w:r>
      <w:r>
        <w:t xml:space="preserve"> but perhaps especially so in the context of Israel, </w:t>
      </w:r>
      <w:r w:rsidRPr="00F54F34">
        <w:rPr>
          <w:rStyle w:val="StyleUnderline"/>
        </w:rPr>
        <w:t>where the subject positionings of the “queer disabled” and the “disabled queer” are thoroughly foreclosed. Given the territorial logics of saturation and control of space, land, and the underground, “disability access” in this context must be redefined not only as enabling the mobility of those with physical disabilities but also as challenging the restricted mobilities of those living under occupation. The political question, then, remains how to enliven, literally enliven, the figuration of disability without rehabilitating it into a form of capacitation that functions to the detriment of so many others</w:t>
      </w:r>
      <w:r>
        <w:t>, as in the case of the Israeli state itself.</w:t>
      </w:r>
    </w:p>
    <w:p xmlns:wp14="http://schemas.microsoft.com/office/word/2010/wordml" w:rsidRPr="00C2398C" w:rsidR="001860AB" w:rsidP="001860AB" w:rsidRDefault="001860AB" w14:paraId="769D0D3C" wp14:textId="77777777">
      <w:pPr>
        <w:rPr>
          <w:rFonts w:eastAsia="Times New Roman"/>
          <w:b/>
          <w:sz w:val="24"/>
          <w:szCs w:val="24"/>
          <w:u w:val="single"/>
        </w:rPr>
      </w:pPr>
    </w:p>
    <w:p xmlns:wp14="http://schemas.microsoft.com/office/word/2010/wordml" w:rsidR="001860AB" w:rsidP="00F338DA" w:rsidRDefault="001860AB" w14:paraId="68B6B922" wp14:textId="77777777">
      <w:pPr>
        <w:pStyle w:val="Heading2"/>
      </w:pPr>
      <w:r>
        <w:lastRenderedPageBreak/>
        <w:t>NEG Answers</w:t>
      </w:r>
    </w:p>
    <w:p xmlns:wp14="http://schemas.microsoft.com/office/word/2010/wordml" w:rsidR="001860AB" w:rsidP="001860AB" w:rsidRDefault="001860AB" w14:paraId="7DC9D9BA" wp14:textId="77777777">
      <w:pPr>
        <w:pStyle w:val="Heading3"/>
      </w:pPr>
      <w:r>
        <w:lastRenderedPageBreak/>
        <w:t>No Solvency</w:t>
      </w:r>
    </w:p>
    <w:p xmlns:wp14="http://schemas.microsoft.com/office/word/2010/wordml" w:rsidR="001860AB" w:rsidP="001860AB" w:rsidRDefault="001860AB" w14:paraId="00CDC2F7" wp14:textId="77777777">
      <w:pPr>
        <w:pStyle w:val="Heading4"/>
      </w:pPr>
      <w:r>
        <w:t xml:space="preserve">The AFF can’t society and only marginalizes material experiences </w:t>
      </w:r>
    </w:p>
    <w:p xmlns:wp14="http://schemas.microsoft.com/office/word/2010/wordml" w:rsidRPr="003B1839" w:rsidR="001860AB" w:rsidP="001860AB" w:rsidRDefault="001860AB" w14:paraId="2FA1F05B" wp14:textId="77777777">
      <w:r w:rsidRPr="00210DAA">
        <w:rPr>
          <w:rStyle w:val="Style13ptBold"/>
        </w:rPr>
        <w:t>Vehmas &amp; Watson 13</w:t>
      </w:r>
      <w:r w:rsidRPr="003B1839">
        <w:t xml:space="preserve"> (Simo Vehmas &amp; Nick Watson, “Moral wrongs, disadvantages, and disability: a critique of critical disability studies”, p. 648-649)</w:t>
      </w:r>
    </w:p>
    <w:p xmlns:wp14="http://schemas.microsoft.com/office/word/2010/wordml" w:rsidRPr="00233244" w:rsidR="001860AB" w:rsidP="001860AB" w:rsidRDefault="001860AB" w14:paraId="30EFFF1D" wp14:textId="77777777">
      <w:pPr>
        <w:rPr>
          <w:sz w:val="16"/>
        </w:rPr>
      </w:pPr>
      <w:r w:rsidRPr="002B5219">
        <w:rPr>
          <w:sz w:val="16"/>
        </w:rPr>
        <w:t xml:space="preserve">Further, </w:t>
      </w:r>
      <w:r w:rsidRPr="002B5219">
        <w:rPr>
          <w:rStyle w:val="StyleUnderline"/>
        </w:rPr>
        <w:t>deconstructing differences will not in and of itself produce respect and equality between all people with various characteristics. Neither will it result in a social order free from a sense of difference. It is simply unrealistic to assume that a society could exist were people would not see some other people as different</w:t>
      </w:r>
      <w:r w:rsidRPr="002B5219">
        <w:rPr>
          <w:sz w:val="16"/>
        </w:rPr>
        <w:t xml:space="preserve">, and their lives or characteristics as representing a deviation from some norm considered important regarding good human life. This is because </w:t>
      </w:r>
      <w:r w:rsidRPr="002B5219">
        <w:rPr>
          <w:rStyle w:val="StyleUnderline"/>
        </w:rPr>
        <w:t>some</w:t>
      </w:r>
      <w:r w:rsidRPr="002B5219">
        <w:rPr>
          <w:sz w:val="16"/>
        </w:rPr>
        <w:t xml:space="preserve"> of the </w:t>
      </w:r>
      <w:r w:rsidRPr="002B5219">
        <w:rPr>
          <w:rStyle w:val="StyleUnderline"/>
        </w:rPr>
        <w:t>individual characteristics</w:t>
      </w:r>
      <w:r w:rsidRPr="002B5219">
        <w:rPr>
          <w:sz w:val="16"/>
        </w:rPr>
        <w:t xml:space="preserve"> that define disabled people </w:t>
      </w:r>
      <w:r w:rsidRPr="002B5219">
        <w:rPr>
          <w:rStyle w:val="StyleUnderline"/>
        </w:rPr>
        <w:t>are, sometimes</w:t>
      </w:r>
      <w:r w:rsidRPr="002B5219">
        <w:rPr>
          <w:sz w:val="16"/>
        </w:rPr>
        <w:t xml:space="preserve"> with good reason, </w:t>
      </w:r>
      <w:r w:rsidRPr="002B5219">
        <w:rPr>
          <w:rStyle w:val="StyleUnderline"/>
        </w:rPr>
        <w:t>undesirable, even in a utopia where all differences would have been queered.</w:t>
      </w:r>
      <w:r w:rsidRPr="002B5219">
        <w:rPr>
          <w:sz w:val="16"/>
        </w:rPr>
        <w:t xml:space="preserve"> </w:t>
      </w:r>
      <w:r w:rsidRPr="002B5219">
        <w:rPr>
          <w:b/>
          <w:u w:val="single"/>
        </w:rPr>
        <w:t>Disability is not the same</w:t>
      </w:r>
      <w:r w:rsidRPr="002B5219">
        <w:rPr>
          <w:rStyle w:val="StyleUnderline"/>
        </w:rPr>
        <w:t xml:space="preserve"> as</w:t>
      </w:r>
      <w:r w:rsidRPr="002B5219">
        <w:rPr>
          <w:sz w:val="16"/>
        </w:rPr>
        <w:t xml:space="preserve"> many </w:t>
      </w:r>
      <w:r w:rsidRPr="002B5219">
        <w:rPr>
          <w:rStyle w:val="StyleUnderline"/>
        </w:rPr>
        <w:t>other group identities</w:t>
      </w:r>
      <w:r w:rsidRPr="002B5219">
        <w:rPr>
          <w:sz w:val="16"/>
        </w:rPr>
        <w:t xml:space="preserve"> and we need to explore both morally and socially disability and difference rather than simply use difference as a concept through which to critique the disability identity. </w:t>
      </w:r>
      <w:r w:rsidRPr="002B5219">
        <w:rPr>
          <w:rStyle w:val="StyleUnderline"/>
        </w:rPr>
        <w:t>There are no rational reasons to consider homosexuality or gender undesirable characteristics whatever the social context,</w:t>
      </w:r>
      <w:r w:rsidRPr="002B5219">
        <w:rPr>
          <w:sz w:val="16"/>
        </w:rPr>
        <w:t xml:space="preserve"> but there are many impairments that can reasonably be seen as undesirable (Shakespeare 2006). </w:t>
      </w:r>
      <w:r w:rsidRPr="002B5219">
        <w:rPr>
          <w:rStyle w:val="StyleUnderline"/>
        </w:rPr>
        <w:t>Motor neuron disease, depression or spinal cord injury are</w:t>
      </w:r>
      <w:r w:rsidRPr="002B5219">
        <w:rPr>
          <w:sz w:val="16"/>
        </w:rPr>
        <w:t xml:space="preserve"> the kinds of </w:t>
      </w:r>
      <w:r w:rsidRPr="002B5219">
        <w:rPr>
          <w:rStyle w:val="StyleUnderline"/>
        </w:rPr>
        <w:t>conditions</w:t>
      </w:r>
      <w:r w:rsidRPr="002B5219">
        <w:rPr>
          <w:sz w:val="16"/>
        </w:rPr>
        <w:t xml:space="preserve"> that </w:t>
      </w:r>
      <w:r w:rsidRPr="002B5219">
        <w:rPr>
          <w:rStyle w:val="StyleUnderline"/>
        </w:rPr>
        <w:t xml:space="preserve">we would prefer not to have, and this is not merely because of the cultural representations attached to them but because </w:t>
      </w:r>
      <w:r w:rsidRPr="002B5219">
        <w:rPr>
          <w:b/>
          <w:u w:val="single"/>
        </w:rPr>
        <w:t>these conditions are the kinds of predicaments that cause suffering irrespective of one’s cultural environment.</w:t>
      </w:r>
      <w:r w:rsidRPr="002B5219">
        <w:rPr>
          <w:rStyle w:val="StyleUnderline"/>
        </w:rPr>
        <w:t xml:space="preserve"> In acknowledging that impairments can include an undesirable dimension </w:t>
      </w:r>
      <w:r w:rsidRPr="002B5219">
        <w:rPr>
          <w:b/>
          <w:u w:val="single"/>
        </w:rPr>
        <w:t>does not imply devaluing people with impairments</w:t>
      </w:r>
      <w:r w:rsidRPr="002B5219">
        <w:rPr>
          <w:rStyle w:val="StyleUnderline"/>
        </w:rPr>
        <w:t xml:space="preserve"> nor their positive group identity</w:t>
      </w:r>
      <w:r w:rsidRPr="002B5219">
        <w:rPr>
          <w:sz w:val="16"/>
        </w:rPr>
        <w:t xml:space="preserve"> (Shakespeare and Watson 2010). As long as people are genuinely free to decide for themselves and feel about themselves however they wish to feel, we are pretty close to relational justice, free from hierarchical evils. </w:t>
      </w:r>
      <w:r w:rsidRPr="002B5219">
        <w:rPr>
          <w:rStyle w:val="StyleUnderline"/>
        </w:rPr>
        <w:t>Imposing on people ableist or disablist assumptions is certainly wrong, but so would be the denial of the personal experiences</w:t>
      </w:r>
      <w:r w:rsidRPr="002B5219">
        <w:rPr>
          <w:sz w:val="16"/>
        </w:rPr>
        <w:t xml:space="preserve"> of fearing the loss of one’s physical and mental capacities, or the fear of dying (Carel 2008). </w:t>
      </w:r>
      <w:r w:rsidRPr="002B5219">
        <w:rPr>
          <w:rStyle w:val="StyleUnderline"/>
        </w:rPr>
        <w:t>To explain the psychological anguish related to conditions such as motor neurone disease or depression merely in terms of internalized oppression and ableism would be insensitive</w:t>
      </w:r>
      <w:r w:rsidRPr="002B5219">
        <w:rPr>
          <w:sz w:val="16"/>
        </w:rPr>
        <w:t>, disrespectful and simply nonsensical.</w:t>
      </w:r>
    </w:p>
    <w:p xmlns:wp14="http://schemas.microsoft.com/office/word/2010/wordml" w:rsidRPr="00424030" w:rsidR="001860AB" w:rsidP="001860AB" w:rsidRDefault="001860AB" w14:paraId="54CD245A" wp14:textId="77777777"/>
    <w:p xmlns:wp14="http://schemas.microsoft.com/office/word/2010/wordml" w:rsidR="001860AB" w:rsidP="001860AB" w:rsidRDefault="001860AB" w14:paraId="1766E3E1" wp14:textId="77777777">
      <w:pPr>
        <w:pStyle w:val="Heading3"/>
      </w:pPr>
      <w:r>
        <w:lastRenderedPageBreak/>
        <w:t>T/ Puar</w:t>
      </w:r>
    </w:p>
    <w:p xmlns:wp14="http://schemas.microsoft.com/office/word/2010/wordml" w:rsidRPr="003F01F5" w:rsidR="001860AB" w:rsidP="001860AB" w:rsidRDefault="001860AB" w14:paraId="7CA07606" wp14:textId="77777777">
      <w:pPr>
        <w:pStyle w:val="Heading4"/>
      </w:pPr>
      <w:r w:rsidRPr="003F01F5">
        <w:t xml:space="preserve">Puar’s usage of the binary </w:t>
      </w:r>
      <w:r>
        <w:t>of</w:t>
      </w:r>
      <w:r w:rsidRPr="003F01F5">
        <w:t xml:space="preserve"> debility and capability </w:t>
      </w:r>
      <w:r>
        <w:t>re-entrenches ableism, turns case.</w:t>
      </w:r>
    </w:p>
    <w:p xmlns:wp14="http://schemas.microsoft.com/office/word/2010/wordml" w:rsidRPr="00C2398C" w:rsidR="001860AB" w:rsidP="001860AB" w:rsidRDefault="001860AB" w14:paraId="53A90B94" wp14:textId="77777777">
      <w:r w:rsidRPr="00906D41">
        <w:rPr>
          <w:rStyle w:val="Style13ptBold"/>
        </w:rPr>
        <w:t>Inckle 15</w:t>
      </w:r>
      <w:r w:rsidRPr="00C2398C">
        <w:rPr>
          <w:b/>
        </w:rPr>
        <w:t xml:space="preserve"> </w:t>
      </w:r>
      <w:r w:rsidRPr="00C2398C">
        <w:t>(Kay. Professor at the London School of Economics and Political Science in the fields of sociology of health and medicine. Feminist Review:</w:t>
      </w:r>
      <w:r>
        <w:t xml:space="preserve"> </w:t>
      </w:r>
      <w:r w:rsidRPr="00C2398C">
        <w:t xml:space="preserve">debilitating times: compulsory ablebodiedness and white privilege in theory and practice. 2015) ///ONW </w:t>
      </w:r>
    </w:p>
    <w:p xmlns:wp14="http://schemas.microsoft.com/office/word/2010/wordml" w:rsidRPr="00C2398C" w:rsidR="001860AB" w:rsidP="001860AB" w:rsidRDefault="001860AB" w14:paraId="4F93B249" wp14:textId="77777777">
      <w:pPr>
        <w:jc w:val="both"/>
        <w:rPr>
          <w:sz w:val="16"/>
        </w:rPr>
      </w:pPr>
      <w:r w:rsidRPr="00C2398C">
        <w:rPr>
          <w:sz w:val="16"/>
        </w:rPr>
        <w:t xml:space="preserve">A recent contribution to disability scholarship is the work of Jasbir </w:t>
      </w:r>
      <w:r w:rsidRPr="00BF31F0">
        <w:rPr>
          <w:rStyle w:val="StyleUnderline"/>
        </w:rPr>
        <w:t xml:space="preserve">Puar </w:t>
      </w:r>
      <w:r w:rsidRPr="00C2398C">
        <w:rPr>
          <w:sz w:val="16"/>
        </w:rPr>
        <w:t xml:space="preserve">who </w:t>
      </w:r>
      <w:r w:rsidRPr="00BF31F0">
        <w:rPr>
          <w:rStyle w:val="StyleUnderline"/>
        </w:rPr>
        <w:t>argues for a conceptualisation of ‘debility’ in order to move beyond the problematic binary of disabled/ablebodied.</w:t>
      </w:r>
      <w:r w:rsidRPr="00C2398C">
        <w:rPr>
          <w:sz w:val="16"/>
        </w:rPr>
        <w:t xml:space="preserve"> She promises a theorisation that confronts ‘the debilitating aspects of neoliberalism’ (Puar, 2012, p. 149) alongside ‘a methodology that inhabits the intersection of disability studies, the affective turn and theories of posthumanism’ (ibid., p. 154). However, for me, </w:t>
      </w:r>
      <w:r w:rsidRPr="00BF31F0">
        <w:rPr>
          <w:rStyle w:val="StyleUnderline"/>
        </w:rPr>
        <w:t>Puar not only fails to deliver these promises, but also reiterates some of the fundamental problems of the social model in terms of the negation of the disabled body, and perpetuates ablebodied privilege</w:t>
      </w:r>
      <w:r w:rsidRPr="00C2398C">
        <w:rPr>
          <w:sz w:val="16"/>
        </w:rPr>
        <w:t xml:space="preserve">. In her paper ‘Prognosis time’ Puar (2009, p. 166) argues for a move from disability to debility in order to ‘invite a deconstruction of what ability and capacity mean .… and to push for a broader politics of debility’. </w:t>
      </w:r>
      <w:r w:rsidRPr="00BF31F0">
        <w:rPr>
          <w:rStyle w:val="StyleUnderline"/>
        </w:rPr>
        <w:t>She argues for a politics of affect or hope that, significantly, are not tied to bodily capacity. She suggests that by removing identity from bodily capacity and locating it in a temporal framework of risk, prognosis and debility, a contemporaneous politics of transformation can be achieved. However, for me, Puar fails to achieve this, not least because as with the social model, in seeking a politics that is estranged from embodied experience she encounters a range of political and conceptual problems.</w:t>
      </w:r>
      <w:r w:rsidRPr="00C2398C">
        <w:rPr>
          <w:sz w:val="16"/>
        </w:rPr>
        <w:t xml:space="preserve"> For example, notwithstanding her attempt to escape the body, </w:t>
      </w:r>
      <w:r w:rsidRPr="00BF31F0">
        <w:rPr>
          <w:rStyle w:val="StyleUnderline"/>
        </w:rPr>
        <w:t>Puar’s conceptualisation of debility reinforces a materially based and dualistic framework of capacity and incapacity: ‘affective capacity … occupies a steady tension with its opposite, incapacity, or what I will refer to in this essay as “debility”’</w:t>
      </w:r>
      <w:r w:rsidRPr="00C2398C">
        <w:rPr>
          <w:sz w:val="16"/>
        </w:rPr>
        <w:t xml:space="preserve"> (ibid., p. 162). Thus, debility is conflated with incapacity and therefore apparently functions in much the same way as impairment. Furthermore, while Puar argues that ‘capacity’ is not solely a property of the body, it is nonetheless tied to ‘body limits’ that include ‘incapacity, disability and debility’ (ibid., p. 163). Therefore, like impairment, capacity, incapacity and debility rely on an idealised norm, against which the disabled body is measured as lacking. It is unclear, then, how this conception of debility and incapacity offers anything more than are wording of disability and impairment since they appear to function insimilar ways. </w:t>
      </w:r>
      <w:r w:rsidRPr="00BF31F0">
        <w:rPr>
          <w:rStyle w:val="StyleUnderline"/>
        </w:rPr>
        <w:t>Moreover, while claiming that these terms challenge dualistic categorisations Puar continues to position them in binary opposition to one another, for example capacity and incapacity.</w:t>
      </w:r>
      <w:r w:rsidRPr="00C2398C">
        <w:rPr>
          <w:sz w:val="16"/>
        </w:rPr>
        <w:t xml:space="preserve"> Throughout ‘Prognosis time’ Puar argues that ‘debility’ is not deployed simply as disability, but rather as a means of ‘deconstructing the presumed, taken-for-granted capacities-enabled status of abled-bodies’ (ibid., p.166).Thus, she suggests that her purpose is to interrogate able bodiedness rather than disability. However, she illustrates debility first with an example of miners in Botswana, drawn from Livingston’s (2005) work, who gain physical disabilities as a result of injuries sustained in the mines. Second, </w:t>
      </w:r>
      <w:r w:rsidRPr="00BF31F0">
        <w:rPr>
          <w:rStyle w:val="StyleUnderline"/>
        </w:rPr>
        <w:t>she explores the ways in which capitalism and medicalisation work hand-in-hand to pathologise what Szasz (2007) refers to as ‘problems of living’ and which creates a lucrative market for ‘big pharma’ in the treatment of conditions such as depression and social anxiety disorder.</w:t>
      </w:r>
      <w:r w:rsidRPr="00C2398C">
        <w:rPr>
          <w:sz w:val="16"/>
        </w:rPr>
        <w:t xml:space="preserve"> Clearly, if a diagnosis of mental illness is considered a disability, and diagnoses are expanding, then there will be an increasing number of the population who can be considered debilitated or disabled by reason of mental illness. However, it is not clear how this interrogates able bodiedness. Instead, </w:t>
      </w:r>
      <w:r w:rsidRPr="00BF31F0">
        <w:rPr>
          <w:rStyle w:val="StyleUnderline"/>
        </w:rPr>
        <w:t>this analysis seems to reinforce the conflation of disability and sickness, rather than explore the ablebodied norm. Moreover, this conflation illustrate show, as with the social model, Puar’s attempt to move beyond normative conceptions of disability continues to frame the disabled body as negative: as lacking, impaired or debilitated. Indeed, by illustrating debility with physical disability and mental illness, Puar shores up the medicalisation of physical/sensory/ intellectual disability as a state of ill-health rather than as a social identity or a non-normative form of embodiment.</w:t>
      </w:r>
      <w:r w:rsidRPr="00C2398C">
        <w:rPr>
          <w:sz w:val="16"/>
        </w:rPr>
        <w:t xml:space="preserve"> In her later paper ‘Coda’—which has the telling subtitle ‘the cost of getting better’—Puar again uses the term debility in ways that emerge from a negative conceptualisation of disability. However, in this paper debility is not defined as an interrogation of able bodiedness but, rather, as a means to conceptualise a ‘slow death’ (Puar, 2012, p. 153), namely, those who are disadvantaged by global capitalism. Despite having previously rejected material or bodily </w:t>
      </w:r>
      <w:r w:rsidRPr="00C2398C">
        <w:rPr>
          <w:sz w:val="16"/>
        </w:rPr>
        <w:lastRenderedPageBreak/>
        <w:t xml:space="preserve">notions of identity and capacity, Puar defines slow death in corporeal terms, first in relation to the bodies that are defined as expendable within global capitalism, and second in relation to medical capitalism’s continuing pathologisation of the human body and creation of pharmaceutical interventions. Disability, Puar asserts, ‘must be rethought in terms of precarious populations’ (ibid., p. 154). </w:t>
      </w:r>
      <w:r w:rsidRPr="00BF31F0">
        <w:rPr>
          <w:rStyle w:val="StyleUnderline"/>
        </w:rPr>
        <w:t xml:space="preserve">For Puar such precariousness is exemplified by people in debt. However, it is unclear how debt relates to disability in any meaningful way. For example, how does the experience of debt relate to the specific social and material exclusion that pewids experience, including institutional abuse and hate crimes? </w:t>
      </w:r>
      <w:r w:rsidRPr="00C2398C">
        <w:rPr>
          <w:sz w:val="16"/>
        </w:rPr>
        <w:t xml:space="preserve">(Leonard Cheshire Disability, 2008; EHRC, 2010). And how does a refusal of the bodily nature of these experiences promote a greater understanding of them? Furthermore, </w:t>
      </w:r>
      <w:r w:rsidRPr="00BF31F0">
        <w:rPr>
          <w:rStyle w:val="StyleUnderline"/>
        </w:rPr>
        <w:t>universalising disability in this way does not undermine binary positions, or challenge structures of inequality, but merely increases the proportion of the population ascribed to the negative side of the binary. Binary oppositions permeate ‘Prognosis time’ both in terms of Puar’s conceptualisation of debility and her deployment of the ‘analytic power of conviviality’</w:t>
      </w:r>
      <w:r w:rsidRPr="00C2398C">
        <w:rPr>
          <w:sz w:val="16"/>
        </w:rPr>
        <w:t xml:space="preserve"> (Puar, 2009, p. 168) as her politics of redress. </w:t>
      </w:r>
      <w:r w:rsidRPr="00BF31F0">
        <w:rPr>
          <w:rStyle w:val="StyleUnderline"/>
        </w:rPr>
        <w:t>She argues that conviviality ‘complicates how subjects are positioned’ and highlights ‘more fluid relations between capacity and debility’</w:t>
      </w:r>
      <w:r w:rsidRPr="00C2398C">
        <w:rPr>
          <w:sz w:val="16"/>
        </w:rPr>
        <w:t xml:space="preserve"> (ibid., p. 168). </w:t>
      </w:r>
      <w:r w:rsidRPr="00BF31F0">
        <w:rPr>
          <w:rStyle w:val="StyleUnderline"/>
        </w:rPr>
        <w:t>But this merely reinforces capacity and debility as discreet, opposing positions that can be mediated, rather than transformed by a politics of conviviality</w:t>
      </w:r>
      <w:r w:rsidRPr="00C2398C">
        <w:rPr>
          <w:sz w:val="16"/>
        </w:rPr>
        <w:t xml:space="preserve">. This is illustrated at the end of the paper where Puar asserts that conviviality exposes ‘the instability of the divisions between capacity-endowed and debility-laden bodies’ (ibid., p. 169). However, </w:t>
      </w:r>
      <w:r w:rsidRPr="00BF31F0">
        <w:rPr>
          <w:rStyle w:val="StyleUnderline"/>
        </w:rPr>
        <w:t>by re-iterating the binaries between bodies that are ‘able’ (capacity-endowed) and disabled (debility-laden), which she claims to challenge, Puar merely shores up the status of these as inevitable, defining categorisations</w:t>
      </w:r>
      <w:r w:rsidRPr="00C2398C">
        <w:rPr>
          <w:sz w:val="16"/>
        </w:rPr>
        <w:t xml:space="preserve">. In ‘Coda’, Puar (2012) again sets out to use affect as an alternative to identity politics and to operationalise the concept of debility to remove identity from the body. Instead of identity she argues for ‘capacity’ as ‘a source of generative affective politics’ (Puar, 2012, p. 156). </w:t>
      </w:r>
      <w:r w:rsidRPr="00BF31F0">
        <w:rPr>
          <w:rStyle w:val="StyleUnderline"/>
        </w:rPr>
        <w:t>Thus, she attempts to separate the body and corporeal identifications from politics, not unlike the way in which the social model attempts to separate the body from society. This creates a paradox where debility is set against capacity in a binary opposition, and capacity is seen as the means of redress for debility: ‘the subject of redress and grievance thus functions here as a recapacitation of a debilitated body’</w:t>
      </w:r>
      <w:r w:rsidRPr="00C2398C">
        <w:rPr>
          <w:sz w:val="16"/>
        </w:rPr>
        <w:t xml:space="preserve"> (ibid., p. 152). It is unclear what recapacitation means in this context; it may be an expression of agency yet, if so, it is based on the presumption that disabled or debilitated bodies need to be endowed with agency via the benefice of a wider, that is, non-disability focused, politics. As such, recapacitation functions like rehabilitation where those who are debilitated are ‘made better’ on the terms of those with political power and privilege. </w:t>
      </w:r>
      <w:r w:rsidRPr="00BF31F0">
        <w:rPr>
          <w:rStyle w:val="StyleUnderline"/>
        </w:rPr>
        <w:t>Thus, like the social model, Puar ultimately reinforces the hierarchy of bodies and fails to challenge the underpinning normative structure of them. Puar’s notion of capacity is also problematic in her earlier paper where she argues that capacity can function as a universal politics. She suggest that all bodies have capacity in that, notwithstanding an interrogation of who is included in ‘all bodies’, all bodies have the capacity to yield bioinformatics</w:t>
      </w:r>
      <w:r w:rsidRPr="00C2398C">
        <w:rPr>
          <w:sz w:val="16"/>
        </w:rPr>
        <w:t xml:space="preserve"> (Puar, 2009, p. 163). Such a claim to a universal politics and speaking position infers that despite the ways in which inequality is structured there is no specific identity or embodied experience that pewids (or indeed other minoritised groups) inhabit. </w:t>
      </w:r>
      <w:r w:rsidRPr="00BF31F0">
        <w:rPr>
          <w:rStyle w:val="StyleUnderline"/>
        </w:rPr>
        <w:t xml:space="preserve">This leads Puar towards a dangerous scenario where by she risks the same mistakes in regard to disability as many white feminists made in regard to gender, in claiming to speak about and on behalf of women as a whole. For me, any claim to universal politics is symptomatic of a privileged position whereby those who occupy the ‘norm’ such as whiteness or able bodiedness claim a universally representative speaking position (see below). Finally, Puar’s claim that capacity can be applied to everyone because all bodies can yield bioinformatics seems a very flimsy basis on which to dismiss the existence of specific disability identity and experience. It also functions as a troubling attempt to legitimate Puar’s lack of engagement with disability studies, activism and research despite her critique of them. For example, in ‘Coda’, Puar(2012, p.153) critiques ‘the binaried production of disabled versus nondisabled bodies that both disability studies and disability rights activism’ are allegedly based upon, but provides no evidence to support this. She then contradicts this by stating that the </w:t>
      </w:r>
      <w:r w:rsidRPr="00BF31F0">
        <w:rPr>
          <w:rStyle w:val="StyleUnderline"/>
        </w:rPr>
        <w:lastRenderedPageBreak/>
        <w:t>mantra of the disability rights movement is‘ you are only able bodied until you are disabled’</w:t>
      </w:r>
      <w:r w:rsidRPr="00C2398C">
        <w:rPr>
          <w:sz w:val="16"/>
        </w:rPr>
        <w:t xml:space="preserve"> (Puar,2009,p.166,2012,p.152), which is clearly a continuum rather than binary approach. This assertion is all the more problematic because the central motto of the disability movement is ‘Nothing About Us Without Us!’ (see Charlton, 2000)</w:t>
      </w:r>
    </w:p>
    <w:p xmlns:wp14="http://schemas.microsoft.com/office/word/2010/wordml" w:rsidRPr="00C2398C" w:rsidR="001860AB" w:rsidP="001860AB" w:rsidRDefault="001860AB" w14:paraId="47DA5137" wp14:textId="77777777">
      <w:pPr>
        <w:pStyle w:val="Heading4"/>
        <w:rPr>
          <w:rFonts w:cs="Arial"/>
        </w:rPr>
      </w:pPr>
      <w:r w:rsidRPr="00C2398C">
        <w:rPr>
          <w:rFonts w:cs="Arial"/>
        </w:rPr>
        <w:t xml:space="preserve">Puar’s framing of the physically disabled is wrong and reproduces </w:t>
      </w:r>
      <w:r>
        <w:rPr>
          <w:rFonts w:cs="Arial"/>
        </w:rPr>
        <w:t>ableist heiararchies</w:t>
      </w:r>
    </w:p>
    <w:p xmlns:wp14="http://schemas.microsoft.com/office/word/2010/wordml" w:rsidRPr="00C2398C" w:rsidR="001860AB" w:rsidP="001860AB" w:rsidRDefault="001860AB" w14:paraId="7F1D08FB" wp14:textId="77777777">
      <w:r w:rsidRPr="00906D41">
        <w:rPr>
          <w:rStyle w:val="Style13ptBold"/>
        </w:rPr>
        <w:t>Inckle 15</w:t>
      </w:r>
      <w:r w:rsidRPr="00C2398C">
        <w:rPr>
          <w:b/>
        </w:rPr>
        <w:t xml:space="preserve"> </w:t>
      </w:r>
      <w:r w:rsidRPr="00C2398C">
        <w:t xml:space="preserve">(Kay. Professor at the London School of Economics and Political Science in the fields of sociology of health and medicine. Feminist Review:debilitating times: compulsory ablebodiedness and white privilege in theory and practice. 2015) ///ONW </w:t>
      </w:r>
    </w:p>
    <w:p xmlns:wp14="http://schemas.microsoft.com/office/word/2010/wordml" w:rsidRPr="00C2398C" w:rsidR="001860AB" w:rsidP="001860AB" w:rsidRDefault="001860AB" w14:paraId="20259ADB" wp14:textId="77777777">
      <w:pPr>
        <w:rPr>
          <w:sz w:val="14"/>
        </w:rPr>
      </w:pPr>
      <w:r w:rsidRPr="00C2398C">
        <w:rPr>
          <w:sz w:val="14"/>
        </w:rPr>
        <w:t xml:space="preserve">In two further paragraphs of ‘Coda’, Puar (2012) critiques ‘disability scholars and activists’‘ attachments to the difference of disabled bodies’ (p. 153) because of the ‘exceptionalism’ (i.e., privileging) of some kinds of disabled bodies that this invokes (p. 154). </w:t>
      </w:r>
      <w:r w:rsidRPr="00C2398C">
        <w:rPr>
          <w:b/>
          <w:u w:val="single"/>
        </w:rPr>
        <w:t>Puar suggests that disability discourse privileges certain kinds of bodies in the same ways in which identity politics more generally promote the privilege and exceptionalism of some kinds of bodies over others.</w:t>
      </w:r>
      <w:r w:rsidRPr="00321107">
        <w:rPr>
          <w:rStyle w:val="StyleUnderline"/>
        </w:rPr>
        <w:t xml:space="preserve"> Puar argues that within disability studies and activism the ‘exceptional’ bodies are those with visible, physical disabilities and that physically disabled people have taken precedence over other disabled people.</w:t>
      </w:r>
      <w:r w:rsidRPr="00C2398C">
        <w:rPr>
          <w:sz w:val="14"/>
        </w:rPr>
        <w:t xml:space="preserve"> </w:t>
      </w:r>
      <w:r w:rsidRPr="00C2398C">
        <w:rPr>
          <w:b/>
          <w:u w:val="single"/>
        </w:rPr>
        <w:t>Yet she provides no evidence to substantiate this claim. And while there may well be various hierarchies at work among disabled people, evidence points to these functioning to privilege (white) men</w:t>
      </w:r>
      <w:r w:rsidRPr="00C2398C">
        <w:rPr>
          <w:sz w:val="14"/>
        </w:rPr>
        <w:t xml:space="preserve"> (Morris, 1996; Thomas, 2000), people with the least visible disabilities (Shakespeare et al., 1996) and global north perspectives (Grech and Soldatic, 2014). Paradoxically, </w:t>
      </w:r>
      <w:r w:rsidRPr="00C2398C">
        <w:rPr>
          <w:b/>
          <w:u w:val="single"/>
        </w:rPr>
        <w:t>Puar’s claim regarding the exceptionalism of physically disabled people by which she attempts to challenge bodily based identity politics, relies precisely on bodily based identity categorisations, which she argues against</w:t>
      </w:r>
      <w:r w:rsidRPr="00321107">
        <w:rPr>
          <w:rStyle w:val="StyleUnderline"/>
        </w:rPr>
        <w:t xml:space="preserve">. Thus, </w:t>
      </w:r>
      <w:r w:rsidRPr="00C2398C">
        <w:rPr>
          <w:b/>
          <w:u w:val="single"/>
        </w:rPr>
        <w:t>Puar’s attempt to remove the body from identity and politics is not only unsustainable within her own conceptualisation, but is also based on erasing the bodies and experiences of pewids from her analysis</w:t>
      </w:r>
      <w:r w:rsidRPr="00321107">
        <w:rPr>
          <w:rStyle w:val="StyleUnderline"/>
        </w:rPr>
        <w:t xml:space="preserve"> .</w:t>
      </w:r>
      <w:r w:rsidRPr="00C2398C">
        <w:rPr>
          <w:sz w:val="14"/>
        </w:rPr>
        <w:t xml:space="preserve">As noted above, it is impossible to separate the body from self, society, identity and politics, and those who achieve this can only do so on the basis of occupying the privileged side of the binary. </w:t>
      </w:r>
      <w:r w:rsidRPr="00321107">
        <w:rPr>
          <w:rStyle w:val="StyleUnderline"/>
        </w:rPr>
        <w:t>These fun</w:t>
      </w:r>
      <w:r w:rsidRPr="00C2398C">
        <w:rPr>
          <w:b/>
          <w:u w:val="single"/>
        </w:rPr>
        <w:t>damental gaps in Puar’s analysis are compounded again and again as she sets out what she claims to be new conundrums facing disability discours</w:t>
      </w:r>
      <w:r w:rsidRPr="00321107">
        <w:rPr>
          <w:rStyle w:val="StyleUnderline"/>
        </w:rPr>
        <w:t>e—which are in fact very old questions</w:t>
      </w:r>
      <w:r w:rsidRPr="00C2398C">
        <w:rPr>
          <w:sz w:val="14"/>
        </w:rPr>
        <w:t xml:space="preserve">. </w:t>
      </w:r>
      <w:r w:rsidRPr="00321107">
        <w:rPr>
          <w:rStyle w:val="StyleUnderline"/>
        </w:rPr>
        <w:t xml:space="preserve">She asks, for example, how theorisations of disability can account for hierarchies of disabilities (Puar, 2009) or incorporate those who do not conflate their bodily figurations with the label disability (Puar, 2012). Yet these topics have been key to disability debates for nearly two decades now, with the 1990s producing particularly productive discussions around ‘coming out’ as disabled and hierarchies within disability theories and identities (Morris, 1996; Shakespeare et al., 1996). Puar (2009) also poses questions regarding the status of people with congenital disabilities in the age of DNA informatics. It is unclear why Puar poses this as a ‘new’ question since foetal screening in order to abort disabled foetuses, alongside the sterilisation of pewids, already has a long history in redressing the ‘problem’ of congenital disability (Wilkerson, 2002; Saxton, 2014), and there is no reason to assume that DNA informatics will do anything other than build on this already established trajectory. </w:t>
      </w:r>
      <w:r w:rsidRPr="00C2398C">
        <w:rPr>
          <w:b/>
          <w:u w:val="single"/>
        </w:rPr>
        <w:t>Puar’s lack of engagement with disability studies and activism, about which she makes bold assertions, is politically and ethically troubling and reverts to a framework of disability as theorised through an uncritical ablebodied consciousness. Overall, then, many of the conceptual and political problems of the social model are shared by Puar’s attempts to ‘re-theorise’ disability as debility</w:t>
      </w:r>
      <w:r w:rsidRPr="00C2398C">
        <w:rPr>
          <w:sz w:val="14"/>
        </w:rPr>
        <w:t xml:space="preserve">. </w:t>
      </w:r>
      <w:r w:rsidRPr="00321107">
        <w:rPr>
          <w:rStyle w:val="StyleUnderline"/>
        </w:rPr>
        <w:t>Both approaches reiterate the disabled body as negative</w:t>
      </w:r>
      <w:r w:rsidRPr="00C2398C">
        <w:rPr>
          <w:sz w:val="14"/>
        </w:rPr>
        <w:t xml:space="preserve"> (e.g., as impaired or incapacitated); </w:t>
      </w:r>
      <w:r w:rsidRPr="00321107">
        <w:rPr>
          <w:rStyle w:val="StyleUnderline"/>
        </w:rPr>
        <w:t>both perspectives attempt to remove the body from theory and politics</w:t>
      </w:r>
      <w:r w:rsidRPr="00C2398C">
        <w:rPr>
          <w:sz w:val="14"/>
        </w:rPr>
        <w:t xml:space="preserve"> (focusing instead on social barriers or in/capacity); </w:t>
      </w:r>
      <w:r w:rsidRPr="00321107">
        <w:rPr>
          <w:rStyle w:val="StyleUnderline"/>
        </w:rPr>
        <w:t xml:space="preserve">and both ultimately reinforce dualisms of body/society (politics), disability </w:t>
      </w:r>
      <w:r w:rsidRPr="00321107">
        <w:rPr>
          <w:rStyle w:val="StyleUnderline"/>
        </w:rPr>
        <w:lastRenderedPageBreak/>
        <w:t>(debility)/ableb odiedness</w:t>
      </w:r>
      <w:r w:rsidRPr="00C2398C">
        <w:rPr>
          <w:sz w:val="14"/>
        </w:rPr>
        <w:t xml:space="preserve"> (capacity). The continual repetition of perspectives that are based on the negation of the disabled body naturalises them and makes them ‘compulsory’ in McRuer’s terms (2006, 2014). Therefore, I suggest that a more productive critical engagement with the structures of ability and disability emerges from a critique of the norm—compulsory able bodiedness—rather than the ongoing analysis of the disabled Other. In the following section I use the work of Inahara (2009) as a critical starting point for interrogating able bodied privilege—including in Puar’s work—and I argue that this process is as crucial and necessary in re-theorising disability as is the interrogation of white privilege in challenging the structures of racialisation and racism.</w:t>
      </w:r>
    </w:p>
    <w:p xmlns:wp14="http://schemas.microsoft.com/office/word/2010/wordml" w:rsidRPr="00BF31F0" w:rsidR="001860AB" w:rsidP="001860AB" w:rsidRDefault="00C32374" w14:paraId="3F749DD3" wp14:textId="77777777">
      <w:pPr>
        <w:pStyle w:val="Heading3"/>
      </w:pPr>
      <w:r>
        <w:lastRenderedPageBreak/>
        <w:t>Visibility K--</w:t>
      </w:r>
      <w:r w:rsidR="001860AB">
        <w:t>L: Recognition/Spectatorship</w:t>
      </w:r>
    </w:p>
    <w:p xmlns:wp14="http://schemas.microsoft.com/office/word/2010/wordml" w:rsidRPr="00C24B98" w:rsidR="001860AB" w:rsidP="001860AB" w:rsidRDefault="001860AB" w14:paraId="5597C551" wp14:textId="77777777">
      <w:pPr>
        <w:pStyle w:val="Heading4"/>
      </w:pPr>
      <w:r>
        <w:t>The affirmative’s presentation of disability is voyeuristic, placing disability in a violent relationship with spectatorship that reinforces the binary between normalcy and difference</w:t>
      </w:r>
    </w:p>
    <w:p xmlns:wp14="http://schemas.microsoft.com/office/word/2010/wordml" w:rsidRPr="00FD7332" w:rsidR="001860AB" w:rsidP="001860AB" w:rsidRDefault="001860AB" w14:paraId="6A6E7994" wp14:textId="77777777">
      <w:r w:rsidRPr="00FD7332">
        <w:rPr>
          <w:rStyle w:val="Style13ptBold"/>
        </w:rPr>
        <w:t>SLEMBROUK 14</w:t>
      </w:r>
      <w:r w:rsidRPr="00FD7332">
        <w:t xml:space="preserve"> [JANE H. VAN SLEMBROUCK, Ph.D. M.A., Hunter College B.A., Hillsdale College, TRUE BODIES/FALSE BODIES: DISABILITY, APPEARANCE, AND THE POLITICS OF PERSONAL SINCERITY, UMI 3643389 Published by ProQuest LLC (2014). Dissertation. June, 2014] </w:t>
      </w:r>
    </w:p>
    <w:p xmlns:wp14="http://schemas.microsoft.com/office/word/2010/wordml" w:rsidRPr="001F5F8E" w:rsidR="001860AB" w:rsidP="001860AB" w:rsidRDefault="001860AB" w14:paraId="760E81EF" wp14:textId="77777777">
      <w:pPr>
        <w:widowControl w:val="0"/>
        <w:autoSpaceDE w:val="0"/>
        <w:autoSpaceDN w:val="0"/>
        <w:adjustRightInd w:val="0"/>
        <w:rPr>
          <w:rStyle w:val="StyleUnderline"/>
        </w:rPr>
      </w:pPr>
      <w:r w:rsidRPr="00C24B98">
        <w:rPr>
          <w:rStyle w:val="StyleUnderline"/>
        </w:rPr>
        <w:t>Those who had the chance to meet Helen Keller in person often remarked afterward on the beauty of her blue eyes, describing them as “animated” and possessing “none of the lack-luster look of the blind”</w:t>
      </w:r>
      <w:r w:rsidRPr="00C24B98">
        <w:rPr>
          <w:sz w:val="14"/>
        </w:rPr>
        <w:t xml:space="preserve"> (Nielson 134). </w:t>
      </w:r>
      <w:r w:rsidRPr="00C24B98">
        <w:rPr>
          <w:rStyle w:val="StyleUnderline"/>
        </w:rPr>
        <w:t>Where they perhaps expected to see “inanimate” or lifeless eyes, observers found vitality and intelligence, and even the attractive illusion of sight. Keller’s eyes epitomize her public performance of disability. The slight bewilderment they produced (how could such animated eyes be blind?) was key to their appeal: they simulated the visual exchange expected of social interaction even as they invited onlookers to voyeuristically ponder what it might be like to possess the appearance of sight but be unable to return an onlooker’s gaze. Keller’s blue eyes promised that disability can be an aesthetic encounter, even a voyeuristic one, but not one that would destabilize conventional standards of beauty.</w:t>
      </w:r>
      <w:r w:rsidRPr="00C24B98">
        <w:rPr>
          <w:sz w:val="14"/>
        </w:rPr>
        <w:t xml:space="preserve"> Invested with all of the symbolism ascribed to vision in Western culture, Keller’s eyes seemed to offer direct access to her exemplary inner life, promising that no more was she a closed-off enigma (as she was before Annie Sullivan entered her life and educated her) but a lucid intellect whose “true” self could be divined by sympathetic onlookers. The ironic fact of the matter was that Keller’s blue eyes were made of glass. As a young woman in her twenties </w:t>
      </w:r>
      <w:r w:rsidRPr="00C24B98">
        <w:rPr>
          <w:rStyle w:val="StyleUnderline"/>
        </w:rPr>
        <w:t xml:space="preserve">she had secretly undergone surgery to have both of her own eyes removed </w:t>
      </w:r>
      <w:r w:rsidRPr="00C24B98">
        <w:rPr>
          <w:sz w:val="14"/>
        </w:rPr>
        <w:t xml:space="preserve">(one was visibly disfigured from the illness that blinded her as a child) </w:t>
      </w:r>
      <w:r w:rsidRPr="00C24B98">
        <w:rPr>
          <w:rStyle w:val="StyleUnderline"/>
        </w:rPr>
        <w:t xml:space="preserve">and replaced with artificial eyes. Their opacity masquerading as transparency, Keller’s eyes exemplify the pressures faced by disabled individuals to at once disclose and conceal their differences. </w:t>
      </w:r>
      <w:r w:rsidRPr="00C24B98">
        <w:rPr>
          <w:sz w:val="14"/>
        </w:rPr>
        <w:t xml:space="preserve">This abiding tension between performance and interiority is at the heart of “True Bodies/False Bodies: Disability, Appearance, and the Politics of Personal Sincerity.” My dissertation considers how American literary </w:t>
      </w:r>
      <w:r w:rsidRPr="00C24B98">
        <w:rPr>
          <w:rStyle w:val="StyleUnderline"/>
        </w:rPr>
        <w:t xml:space="preserve">representations of bodily difference </w:t>
      </w:r>
      <w:r w:rsidRPr="00C24B98">
        <w:rPr>
          <w:sz w:val="14"/>
        </w:rPr>
        <w:t xml:space="preserve">in the second half of the nineteenth century </w:t>
      </w:r>
      <w:r w:rsidRPr="00C24B98">
        <w:rPr>
          <w:rStyle w:val="StyleUnderline"/>
        </w:rPr>
        <w:t>are framed by concerns about character, specifically the social expectation that individuals be “authentic.” Accounts of disability underscore concerns about the knowability of others and reveal that expectations of disclosure are often motivated by a need to strengthen the borderline between normalcy and difference. Obligatory authenticity becomes</w:t>
      </w:r>
      <w:r w:rsidRPr="00C24B98">
        <w:rPr>
          <w:sz w:val="14"/>
        </w:rPr>
        <w:t xml:space="preserve"> still more </w:t>
      </w:r>
      <w:r w:rsidRPr="00C24B98">
        <w:rPr>
          <w:rStyle w:val="StyleUnderline"/>
        </w:rPr>
        <w:t>fraught when differences are invisible</w:t>
      </w:r>
      <w:r w:rsidRPr="00C24B98">
        <w:rPr>
          <w:sz w:val="14"/>
        </w:rPr>
        <w:t xml:space="preserve">, allowing individuals to pass as normal. This project is motivated by my interest in how </w:t>
      </w:r>
      <w:r w:rsidRPr="00C24B98">
        <w:rPr>
          <w:rStyle w:val="StyleUnderline"/>
        </w:rPr>
        <w:t>individuals perform their identities</w:t>
      </w:r>
      <w:r w:rsidRPr="00C24B98">
        <w:rPr>
          <w:rFonts w:ascii="Times" w:hAnsi="Times" w:cs="Times"/>
          <w:color w:val="1A1A1A"/>
          <w:sz w:val="14"/>
          <w:szCs w:val="38"/>
          <w:u w:color="1A1A1A"/>
        </w:rPr>
        <w:t xml:space="preserve"> </w:t>
      </w:r>
      <w:r w:rsidRPr="00C24B98">
        <w:rPr>
          <w:sz w:val="14"/>
        </w:rPr>
        <w:t xml:space="preserve">(or refuse to, or are unable to) </w:t>
      </w:r>
      <w:r w:rsidRPr="00C24B98">
        <w:rPr>
          <w:rStyle w:val="StyleUnderline"/>
        </w:rPr>
        <w:t>given the conflicting pressures to offer a “true” self and a socially acceptable one.</w:t>
      </w:r>
      <w:r w:rsidRPr="00C24B98">
        <w:rPr>
          <w:sz w:val="14"/>
        </w:rPr>
        <w:t xml:space="preserve"> I trace first-person nineteenth-century accounts of disability ranging from the metaphorical to the literal and spanning a period when the sentimental social duty to sincerely perform one’s identity (the contradiction is key) coexisted with emerging medical epistemological theories and techniques. In fact, social and scientific ways of knowing were in some ways interdependent; both were grounded in a confidence about the legibility of bodies and character. Literature of the second half of the nineteenth century echoes with questions about where the “true” self resides and whether onlookers can hope to discern it. In The House of Seven Gables, the young daguerreotypist Holgrave envisions his technology burning through “merest surface” and bringing out “secret character” (85). In The Confidence Man, Melville analogizes the difficult work of authenticating currency and the challenge of validating the character of people. Such inquiries reflected a wider attempt to grapple with middleclass values of sincerity. Karen Halttunen argues that middleclass social interactions at midcentury were informed by a “sentimental demand for transparent sincerity,” the belief that the outer self, perceived with care, would offer up the inner. That belief, she writes, crystalized in time into a demand for the mere “skillful social performance” of sincerity (188-9). As sincerity codified into genteel manners, the work of distinguishing between truth and hypocrisy became even more challenging. The constant enterprise (in every sense of the word) of projecting an authentic self, and in turn interpreting the possibly misleading appearances of others, increasingly cast doubt on sentimental epistemologies. And yet, as I hope to show, the ideal of the constant, transparent self lingered on even as skepticism took root. Robert Montgomery Bird is an early example of a writer happy to jettison that ideal, yet his work is defined by questions of masquerading and selfhood. Bird’s experimental novel Sheppard Lee, the point where my discussion opens, takes it as gospel that identity is nothing if not malleable and performative. Positing a multifarious self that is made and unmade within the emerging capitalist economy, Sheppard Lee lays the groundwork for considering tropes of bodily difference and appearance. There is no interiority in Sheppard Lee to be disclosed or divined. Identity is material and therefore mutable: the soul resides in the body like “water in sponges...changed with its changes, and so intimately united with the fleshly matrix, that the mere cutting off of a leg [will] leave the spirit limping for life” (181). In its conviction that selfhood is shaped by the vicissitudes of the capitalist marketplace, Lee’s narrative anticipates Helen Keller, the writer </w:t>
      </w:r>
      <w:r w:rsidRPr="00C24B98">
        <w:rPr>
          <w:sz w:val="14"/>
        </w:rPr>
        <w:lastRenderedPageBreak/>
        <w:t>with whom I’ll conclude. Writing at the turn of the century, Keller had to negotiate the line between projecting a credible self and being inventive and adaptable. In fact, reading Sheppard Lee and Keller side by side shows just how prescient Bird was in diagnosing an emergent materialist vision of self-making that centered on bodily appearance and social reception.</w:t>
      </w:r>
      <w:r w:rsidRPr="00C24B98">
        <w:rPr>
          <w:rStyle w:val="StyleUnderline"/>
        </w:rPr>
        <w:t xml:space="preserve"> Keller’s work betrays the fundamental contradiction inherent in her reception: the public desire that she should have a single, transcendent self across all her writing and visual media, even as her celebrity derived from her own history of self-transformation.</w:t>
      </w:r>
    </w:p>
    <w:p xmlns:wp14="http://schemas.microsoft.com/office/word/2010/wordml" w:rsidR="001860AB" w:rsidP="001860AB" w:rsidRDefault="001860AB" w14:paraId="1231BE67" wp14:textId="77777777"/>
    <w:p xmlns:wp14="http://schemas.microsoft.com/office/word/2010/wordml" w:rsidR="001860AB" w:rsidP="001860AB" w:rsidRDefault="00A11D5E" w14:paraId="7028F15C" wp14:textId="77777777">
      <w:pPr>
        <w:pStyle w:val="Heading3"/>
      </w:pPr>
      <w:r>
        <w:lastRenderedPageBreak/>
        <w:t>Visibility K--</w:t>
      </w:r>
      <w:r w:rsidR="001860AB">
        <w:t>L: Sentimentality</w:t>
      </w:r>
    </w:p>
    <w:p xmlns:wp14="http://schemas.microsoft.com/office/word/2010/wordml" w:rsidRPr="00C24B98" w:rsidR="001860AB" w:rsidP="001860AB" w:rsidRDefault="001860AB" w14:paraId="60AAF116" wp14:textId="77777777">
      <w:pPr>
        <w:pStyle w:val="Heading4"/>
      </w:pPr>
      <w:r>
        <w:t>The AFF is a politics of sentimentality that seeks to reveal the interior truth of wounded disability, forcing codification and disclosure of disability that reifies deviance</w:t>
      </w:r>
    </w:p>
    <w:p xmlns:wp14="http://schemas.microsoft.com/office/word/2010/wordml" w:rsidRPr="00FD7332" w:rsidR="001860AB" w:rsidP="001860AB" w:rsidRDefault="001860AB" w14:paraId="007104FE" wp14:textId="77777777">
      <w:r w:rsidRPr="00FD7332">
        <w:rPr>
          <w:rStyle w:val="Style13ptBold"/>
        </w:rPr>
        <w:t>SLEMBROUK 14</w:t>
      </w:r>
      <w:r w:rsidRPr="00FD7332">
        <w:t xml:space="preserve"> [JANE H. VAN SLEMBROUCK, Ph.D. M.A., Hunter College B.A., Hillsdale College, TRUE BODIES/FALSE BODIES: DISABILITY, APPEARANCE, AND THE POLITICS OF PERSONAL SINCERITY, UMI 3643389 Published by ProQuest LLC (2014). Dissertation. June, 2014] </w:t>
      </w:r>
    </w:p>
    <w:p xmlns:wp14="http://schemas.microsoft.com/office/word/2010/wordml" w:rsidRPr="00E13D7A" w:rsidR="001860AB" w:rsidP="001860AB" w:rsidRDefault="001860AB" w14:paraId="69EB6DC5" wp14:textId="77777777">
      <w:pPr>
        <w:rPr>
          <w:sz w:val="16"/>
          <w:szCs w:val="26"/>
          <w:u w:color="1A1A1A"/>
        </w:rPr>
      </w:pPr>
      <w:r w:rsidRPr="00C24B98">
        <w:rPr>
          <w:rStyle w:val="StyleUnderline"/>
        </w:rPr>
        <w:t>I have talked about the interpretive work of sentimental culture that shaped social interaction and placed great significance on outer appearance. Disability itself—a central component of this dissertation—is tied up in these networks of visual interpretation, Referring to the presumption that identities should be seen, Lennard Davis has described disability as a “specular moment”</w:t>
      </w:r>
      <w:r w:rsidRPr="00E13D7A">
        <w:rPr>
          <w:sz w:val="16"/>
        </w:rPr>
        <w:t xml:space="preserve"> (Enforcing</w:t>
      </w:r>
      <w:r w:rsidRPr="00E13D7A">
        <w:rPr>
          <w:i/>
          <w:iCs/>
          <w:sz w:val="16"/>
          <w:szCs w:val="30"/>
          <w:u w:color="1A1A1A"/>
        </w:rPr>
        <w:t xml:space="preserve"> </w:t>
      </w:r>
      <w:r w:rsidRPr="00E13D7A">
        <w:rPr>
          <w:sz w:val="16"/>
        </w:rPr>
        <w:t xml:space="preserve">12). I would add that </w:t>
      </w:r>
      <w:r w:rsidRPr="00C24B98">
        <w:rPr>
          <w:rStyle w:val="StyleUnderline"/>
        </w:rPr>
        <w:t xml:space="preserve">it is also a hermeneutic one. As a manifestation of human embodiment and experience, physical difference is rarely </w:t>
      </w:r>
      <w:r w:rsidRPr="00E13D7A">
        <w:rPr>
          <w:i/>
          <w:iCs/>
          <w:sz w:val="16"/>
          <w:u w:color="1A1A1A"/>
        </w:rPr>
        <w:t xml:space="preserve">not </w:t>
      </w:r>
      <w:r w:rsidRPr="00C24B98">
        <w:rPr>
          <w:rStyle w:val="StyleUnderline"/>
        </w:rPr>
        <w:t>figural. “The effort to narrate disability’s myriad variations is an attempt to bring the body’s unruliness under control,”</w:t>
      </w:r>
      <w:r w:rsidRPr="00E13D7A">
        <w:rPr>
          <w:sz w:val="16"/>
        </w:rPr>
        <w:t xml:space="preserve"> write David Mitchell and Sharon Snyder (6). </w:t>
      </w:r>
      <w:r w:rsidRPr="00C24B98">
        <w:rPr>
          <w:rStyle w:val="StyleUnderline"/>
        </w:rPr>
        <w:t>Bodies that disrupt the visual field invite explanation, and where explanation lacks, onlookers will rush to supply it. An amputee veteran may be a figure of sacrifice or of pity. A visibly pregnant woman may be a symbol of new life or of dependency. It all depends on who is doing the looking. Symbols inform even the most casual of visual encounters, prompting observers to ask for some form of self-justification—a story that will publicly knit together the disabled subject’s inner and outer selves. Those with invisible differences face an especially complex task of reconciling the inner and outer, ostensibly to satisfy the ideal of authentic selfhood but in actuality to offer up their nonconformity as a foil for normalcy.</w:t>
      </w:r>
      <w:r w:rsidRPr="00E13D7A">
        <w:rPr>
          <w:sz w:val="16"/>
          <w:u w:color="1A1A1A"/>
        </w:rPr>
        <w:t xml:space="preserve"> </w:t>
      </w:r>
      <w:r w:rsidRPr="00E13D7A">
        <w:rPr>
          <w:sz w:val="16"/>
        </w:rPr>
        <w:t xml:space="preserve">Michael Bérubé writes that </w:t>
      </w:r>
      <w:r w:rsidRPr="00C24B98">
        <w:rPr>
          <w:rStyle w:val="StyleUnderline"/>
        </w:rPr>
        <w:t>disability is sometimes regarded as “the foundation of character itself”</w:t>
      </w:r>
      <w:r w:rsidRPr="00E13D7A">
        <w:rPr>
          <w:sz w:val="16"/>
        </w:rPr>
        <w:t xml:space="preserve"> (570). </w:t>
      </w:r>
      <w:r w:rsidRPr="00C24B98">
        <w:rPr>
          <w:rStyle w:val="StyleUnderline"/>
        </w:rPr>
        <w:t>What happens, then, when disabilities aren’t conspicuous—when anatomy resists being an overt measure of character?</w:t>
      </w:r>
      <w:r w:rsidRPr="00E13D7A">
        <w:rPr>
          <w:sz w:val="16"/>
          <w:u w:color="1A1A1A"/>
        </w:rPr>
        <w:t xml:space="preserve"> </w:t>
      </w:r>
      <w:r w:rsidRPr="00C24B98">
        <w:rPr>
          <w:rStyle w:val="StyleUnderline"/>
        </w:rPr>
        <w:t>The works I examine offer various responses to the expectation that individuals outside the corporeal mainstream perform “true” selves—through autobiographical narratives and other forms of self-staging—even as the identities they claim may be doubted.</w:t>
      </w:r>
      <w:r w:rsidRPr="00E13D7A">
        <w:rPr>
          <w:sz w:val="16"/>
          <w:u w:color="1A1A1A"/>
        </w:rPr>
        <w:t xml:space="preserve"> </w:t>
      </w:r>
      <w:r w:rsidRPr="00E13D7A">
        <w:rPr>
          <w:sz w:val="16"/>
        </w:rPr>
        <w:t xml:space="preserve">It is the “narrative of disability’s very unknowability that consolidates the need to tell a story about it,” write Mitchell and Snyder (6). </w:t>
      </w:r>
      <w:r w:rsidRPr="00C24B98">
        <w:rPr>
          <w:rStyle w:val="StyleUnderline"/>
        </w:rPr>
        <w:t>Bodily differences seem to all but invite questions and unsolicited interpretation. Freak shows exploit the desire for readable bodies in crudely literal ways, forcing difference into view with strategies such as dividing the bodies of intersex performers down the middle between male and female coded grooming and attire.</w:t>
      </w:r>
      <w:r w:rsidRPr="00E13D7A">
        <w:rPr>
          <w:sz w:val="16"/>
          <w:u w:color="1A1A1A"/>
        </w:rPr>
        <w:t xml:space="preserve"> </w:t>
      </w:r>
      <w:r w:rsidRPr="00C24B98">
        <w:rPr>
          <w:rStyle w:val="StyleUnderline"/>
        </w:rPr>
        <w:t>Even outside those hyperbolic performance spaces, disabled individuals face pressure to explain themselves to curious onlookers—to divulge the exact nature of their difference, to share “what happened.” Such expectations in effect ask an already potentially marginalized person to provide a narrative that justifies his or her marginalization by making the perceived (or imperceptible) difference the most salient fact about the person and presuming that a private fact is indeed public. The expectation of self-justification shifts the onus away from society to rethink its boundaries and reinforces a view of disability as a defect that the individual in question must divulge and resolve.</w:t>
      </w:r>
      <w:r w:rsidRPr="00E13D7A">
        <w:rPr>
          <w:sz w:val="16"/>
          <w:u w:color="1A1A1A"/>
        </w:rPr>
        <w:t xml:space="preserve"> </w:t>
      </w:r>
      <w:r w:rsidRPr="00C24B98">
        <w:rPr>
          <w:rStyle w:val="StyleUnderline"/>
        </w:rPr>
        <w:t>Considering nonvisible and inconspicuous disability like Keller’s deafblindness or Laurence’s intersexuality</w:t>
      </w:r>
      <w:r w:rsidRPr="00E13D7A">
        <w:rPr>
          <w:sz w:val="16"/>
          <w:u w:color="1A1A1A"/>
        </w:rPr>
        <w:t xml:space="preserve"> </w:t>
      </w:r>
      <w:r w:rsidRPr="00E13D7A">
        <w:rPr>
          <w:sz w:val="16"/>
        </w:rPr>
        <w:t xml:space="preserve">(a social disability, as is Keller’s to a great extent) </w:t>
      </w:r>
      <w:r w:rsidRPr="00C24B98">
        <w:rPr>
          <w:rStyle w:val="StyleUnderline"/>
        </w:rPr>
        <w:t>helps expand disability studies beyond its</w:t>
      </w:r>
      <w:r w:rsidRPr="00E13D7A">
        <w:rPr>
          <w:sz w:val="16"/>
          <w:u w:color="1A1A1A"/>
        </w:rPr>
        <w:t xml:space="preserve"> </w:t>
      </w:r>
      <w:r w:rsidRPr="00E13D7A">
        <w:rPr>
          <w:sz w:val="16"/>
        </w:rPr>
        <w:t xml:space="preserve">early, almost </w:t>
      </w:r>
      <w:r w:rsidRPr="00C24B98">
        <w:rPr>
          <w:rStyle w:val="StyleUnderline"/>
        </w:rPr>
        <w:t xml:space="preserve">exclusive </w:t>
      </w:r>
      <w:r w:rsidRPr="00C24B98">
        <w:rPr>
          <w:rStyle w:val="StyleUnderline"/>
        </w:rPr>
        <w:lastRenderedPageBreak/>
        <w:t xml:space="preserve">focus on </w:t>
      </w:r>
      <w:r w:rsidRPr="00E13D7A">
        <w:rPr>
          <w:sz w:val="16"/>
        </w:rPr>
        <w:t xml:space="preserve">figures with easily </w:t>
      </w:r>
      <w:r w:rsidRPr="00C24B98">
        <w:rPr>
          <w:rStyle w:val="StyleUnderline"/>
        </w:rPr>
        <w:t>ascertainable differences</w:t>
      </w:r>
      <w:r w:rsidRPr="00E13D7A">
        <w:rPr>
          <w:sz w:val="16"/>
        </w:rPr>
        <w:t>: the disfigured war veteran, the man in the wheelchair, the woman in leg braces. Led by critics including Tom Shakespeare, Tobin Siebers, and Liz Crow, disability scholarship in recent years has been opening to include conditions like chronic pain and illness—liminal disabilities that may be primarily a product of social exclusion (like Laurence’s) or may originate both inside and outside the body (like Keller’s).</w:t>
      </w:r>
      <w:r w:rsidRPr="00C24B98">
        <w:rPr>
          <w:rStyle w:val="StyleUnderline"/>
        </w:rPr>
        <w:t xml:space="preserve"> Nonvisible disabilities deserve attention not only for the obvious ethical reasons of inclusion but also because of the major role that epistemological systems play in the classification and ranking of bodies. Those systems are both revealed and put to the test by the presence of ambiguous or “unknowable” bodies. </w:t>
      </w:r>
      <w:r w:rsidRPr="00E13D7A">
        <w:rPr>
          <w:sz w:val="16"/>
        </w:rPr>
        <w:t xml:space="preserve">Robert McRuer argues that </w:t>
      </w:r>
      <w:r w:rsidRPr="00C24B98">
        <w:rPr>
          <w:rStyle w:val="StyleUnderline"/>
        </w:rPr>
        <w:t>the cultural mandate of “compulsory able-bodiedness” requires examples of disabled bodies to prove the norm of ability. Marginal bodies, notes Rosemarie Garland-Thomson, are deployed as foils for dominant identities: “without the female body to distinguish the shape of the male, and without the pathological to give form to the normal, the taxonomies of bodily value that underlie political, social, and economic arrangements would collapse”</w:t>
      </w:r>
      <w:r w:rsidRPr="00E13D7A">
        <w:rPr>
          <w:sz w:val="16"/>
          <w:u w:color="1A1A1A"/>
        </w:rPr>
        <w:t xml:space="preserve"> </w:t>
      </w:r>
      <w:r w:rsidRPr="00E13D7A">
        <w:rPr>
          <w:sz w:val="16"/>
        </w:rPr>
        <w:t xml:space="preserve">(20). </w:t>
      </w:r>
      <w:r w:rsidRPr="00C24B98">
        <w:rPr>
          <w:rStyle w:val="StyleUnderline"/>
        </w:rPr>
        <w:t>Appearances need to line up to expected or presumed “essences” in order retain the sharp distinction between normal and abnormal. Bodies that resist disclosure complicate that boundary</w:t>
      </w:r>
      <w:r w:rsidRPr="00E13D7A">
        <w:rPr>
          <w:sz w:val="16"/>
        </w:rPr>
        <w:t xml:space="preserve">, much as miscegenation and racial passing threaten cherished racial categories. </w:t>
      </w:r>
      <w:r w:rsidRPr="00C24B98">
        <w:rPr>
          <w:rStyle w:val="StyleUnderline"/>
        </w:rPr>
        <w:t>Artistic representations magnify the real-world work of interpretation. Relative to other minority identities, disability is widely represented in literature, but disabled characters tend to be figured as underdeveloped outsiders who exist primarily to draw emotional responses from readers</w:t>
      </w:r>
      <w:r w:rsidRPr="00E13D7A">
        <w:rPr>
          <w:sz w:val="16"/>
        </w:rPr>
        <w:t xml:space="preserve"> (as is sometimes the case in sentimental fiction) or produce other rhetorical effects (Garland-Thomson, EB</w:t>
      </w:r>
      <w:r w:rsidRPr="00E13D7A">
        <w:rPr>
          <w:i/>
          <w:iCs/>
          <w:sz w:val="16"/>
          <w:szCs w:val="30"/>
          <w:u w:color="1A1A1A"/>
        </w:rPr>
        <w:t xml:space="preserve"> </w:t>
      </w:r>
      <w:r w:rsidRPr="00E13D7A">
        <w:rPr>
          <w:sz w:val="16"/>
        </w:rPr>
        <w:t xml:space="preserve">9). </w:t>
      </w:r>
      <w:r w:rsidRPr="00C24B98">
        <w:rPr>
          <w:rStyle w:val="StyleUnderline"/>
        </w:rPr>
        <w:t>The range of figural types available to disabled characters include sentimental symbols designed to elicit readers’ sympathy or pity</w:t>
      </w:r>
      <w:r w:rsidRPr="00E13D7A">
        <w:rPr>
          <w:sz w:val="16"/>
          <w:u w:color="1A1A1A"/>
        </w:rPr>
        <w:t xml:space="preserve"> </w:t>
      </w:r>
      <w:r w:rsidRPr="00E13D7A">
        <w:rPr>
          <w:sz w:val="16"/>
        </w:rPr>
        <w:t xml:space="preserve">(Holmes, Garland-Thomson); </w:t>
      </w:r>
      <w:r w:rsidRPr="00C24B98">
        <w:rPr>
          <w:rStyle w:val="StyleUnderline"/>
        </w:rPr>
        <w:t xml:space="preserve">representations of monstrosity </w:t>
      </w:r>
      <w:r w:rsidRPr="00E13D7A">
        <w:rPr>
          <w:sz w:val="16"/>
        </w:rPr>
        <w:t>(Bogdan</w:t>
      </w:r>
      <w:r w:rsidRPr="00C24B98">
        <w:rPr>
          <w:rStyle w:val="StyleUnderline"/>
        </w:rPr>
        <w:t xml:space="preserve">); narrative widgets for resolving problems in the plot and revealing important facts about able-bodied characters </w:t>
      </w:r>
      <w:r w:rsidRPr="00E13D7A">
        <w:rPr>
          <w:sz w:val="16"/>
        </w:rPr>
        <w:t xml:space="preserve">(Mitchell and Snyder); </w:t>
      </w:r>
      <w:r w:rsidRPr="00C24B98">
        <w:rPr>
          <w:rStyle w:val="StyleUnderline"/>
        </w:rPr>
        <w:t>expressions of excess embodiment whose presence frees normal subjects from the limitations of embodiment</w:t>
      </w:r>
      <w:r w:rsidRPr="00E13D7A">
        <w:rPr>
          <w:sz w:val="16"/>
          <w:u w:color="1A1A1A"/>
        </w:rPr>
        <w:t xml:space="preserve"> </w:t>
      </w:r>
      <w:r w:rsidRPr="00E13D7A">
        <w:rPr>
          <w:sz w:val="16"/>
        </w:rPr>
        <w:t>(Garland-Thomson EB</w:t>
      </w:r>
      <w:r w:rsidRPr="00E13D7A">
        <w:rPr>
          <w:i/>
          <w:iCs/>
          <w:sz w:val="16"/>
          <w:szCs w:val="30"/>
          <w:u w:color="1A1A1A"/>
        </w:rPr>
        <w:t xml:space="preserve"> </w:t>
      </w:r>
      <w:r w:rsidRPr="00E13D7A">
        <w:rPr>
          <w:sz w:val="16"/>
        </w:rPr>
        <w:t xml:space="preserve">7); </w:t>
      </w:r>
      <w:r w:rsidRPr="00C24B98">
        <w:rPr>
          <w:rStyle w:val="StyleUnderline"/>
        </w:rPr>
        <w:t>and metaphors for other forms of alterity</w:t>
      </w:r>
      <w:r w:rsidRPr="00E13D7A">
        <w:rPr>
          <w:sz w:val="16"/>
          <w:szCs w:val="48"/>
          <w:u w:color="1A1A1A"/>
        </w:rPr>
        <w:t xml:space="preserve"> </w:t>
      </w:r>
      <w:r w:rsidRPr="00C24B98">
        <w:rPr>
          <w:rStyle w:val="StyleUnderline"/>
        </w:rPr>
        <w:t>in a dominant culture whose normal body remains young, healthy, white, male, and heterosexual</w:t>
      </w:r>
      <w:r w:rsidRPr="00E13D7A">
        <w:rPr>
          <w:sz w:val="16"/>
          <w:u w:color="1A1A1A"/>
        </w:rPr>
        <w:t xml:space="preserve"> </w:t>
      </w:r>
      <w:r w:rsidRPr="00E13D7A">
        <w:rPr>
          <w:sz w:val="16"/>
        </w:rPr>
        <w:t>(McRuer). Literary scholars in turn posit their own symbolic uses for disability as a category of study. Disability is the common bond of human vulnerability (Kittay; Siebers, Disability Aesthetics); a bodily aesthetic reflected in the fragmented human forms of modern art (“Art of Disability,” Siebers); a figure for the social body or the body politic (Russell). The range of figural readings of disability itself</w:t>
      </w:r>
      <w:r w:rsidRPr="00E13D7A">
        <w:rPr>
          <w:i/>
          <w:iCs/>
          <w:sz w:val="16"/>
          <w:szCs w:val="30"/>
          <w:u w:color="1A1A1A"/>
        </w:rPr>
        <w:t xml:space="preserve"> </w:t>
      </w:r>
      <w:r w:rsidRPr="00E13D7A">
        <w:rPr>
          <w:sz w:val="16"/>
        </w:rPr>
        <w:t>(never mind the representations of particular disabled individuals) underscores the close alignment of textuality and corporeality. This dissertation may be said to offer a metacommentary on the very business of reading and interpreting marginal bodies in a culture highly invested in the knowability of others.</w:t>
      </w:r>
    </w:p>
    <w:p xmlns:wp14="http://schemas.microsoft.com/office/word/2010/wordml" w:rsidR="001860AB" w:rsidP="001860AB" w:rsidRDefault="001860AB" w14:paraId="5E60D783" wp14:textId="77777777">
      <w:pPr>
        <w:pStyle w:val="Heading3"/>
      </w:pPr>
      <w:r>
        <w:lastRenderedPageBreak/>
        <w:t>Cap K</w:t>
      </w:r>
      <w:r w:rsidR="003C3421">
        <w:t>--</w:t>
      </w:r>
      <w:r>
        <w:t>L: No class analysis</w:t>
      </w:r>
    </w:p>
    <w:p xmlns:wp14="http://schemas.microsoft.com/office/word/2010/wordml" w:rsidRPr="00851A4F" w:rsidR="001860AB" w:rsidP="001860AB" w:rsidRDefault="001860AB" w14:paraId="7EB74F08" wp14:textId="77777777">
      <w:pPr>
        <w:pStyle w:val="Heading4"/>
      </w:pPr>
      <w:r w:rsidRPr="00851A4F">
        <w:t xml:space="preserve">Theories of disability elide class analysis and reproduce material violence - a historical materialist framework is necessary </w:t>
      </w:r>
    </w:p>
    <w:p xmlns:wp14="http://schemas.microsoft.com/office/word/2010/wordml" w:rsidRPr="004B6F1E" w:rsidR="001860AB" w:rsidP="001860AB" w:rsidRDefault="001860AB" w14:paraId="41BE1872" wp14:textId="77777777">
      <w:r w:rsidRPr="001F5F8E">
        <w:rPr>
          <w:rStyle w:val="Style13ptBold"/>
        </w:rPr>
        <w:t>Erevelles 11</w:t>
      </w:r>
      <w:r w:rsidRPr="007F3FBF">
        <w:t xml:space="preserve"> </w:t>
      </w:r>
      <w:r>
        <w:t>[</w:t>
      </w:r>
      <w:r w:rsidRPr="004B6F1E">
        <w:t>Nirmala</w:t>
      </w:r>
      <w:r>
        <w:t xml:space="preserve">, </w:t>
      </w:r>
      <w:r w:rsidRPr="004B6F1E">
        <w:t>Professor in the Social Foundations of Education and Instructional Department of Education Leadership, Policy, and Technology Studies at the University of Alabama, 2011, “Disability and Difference in Global Contexts,” pg. 5-7, accessed 7.12.2017</w:t>
      </w:r>
      <w:r>
        <w:t>//TRossow]</w:t>
      </w:r>
    </w:p>
    <w:p xmlns:wp14="http://schemas.microsoft.com/office/word/2010/wordml" w:rsidRPr="00D63583" w:rsidR="001860AB" w:rsidP="001860AB" w:rsidRDefault="001860AB" w14:paraId="52099633" wp14:textId="77777777">
      <w:pPr>
        <w:rPr>
          <w:sz w:val="16"/>
        </w:rPr>
      </w:pPr>
      <w:r w:rsidRPr="00D63583">
        <w:rPr>
          <w:sz w:val="16"/>
        </w:rPr>
        <w:t xml:space="preserve">Thomas’s innocent observation brought to the forefront the significance of social class in disability studies scholarship. </w:t>
      </w:r>
      <w:r w:rsidRPr="001F5F8E">
        <w:rPr>
          <w:rStyle w:val="StyleUnderline"/>
        </w:rPr>
        <w:t>While social class does show up in disability studies’ narratives, it is usually conceived of as a social/ cultural experience</w:t>
      </w:r>
      <w:r w:rsidRPr="00D63583">
        <w:rPr>
          <w:sz w:val="16"/>
        </w:rPr>
        <w:t xml:space="preserve"> (Davis, 2002), </w:t>
      </w:r>
      <w:r w:rsidRPr="001F5F8E">
        <w:rPr>
          <w:rStyle w:val="StyleUnderline"/>
        </w:rPr>
        <w:t>not as a critical analytical category</w:t>
      </w:r>
      <w:r w:rsidRPr="00D63583">
        <w:rPr>
          <w:sz w:val="16"/>
        </w:rPr>
        <w:t xml:space="preserve">. Moreover, </w:t>
      </w:r>
      <w:r w:rsidRPr="001F5F8E">
        <w:rPr>
          <w:rStyle w:val="StyleUnderline"/>
        </w:rPr>
        <w:t xml:space="preserve">there has been an increasing hostility, and often an almost- </w:t>
      </w:r>
      <w:r w:rsidRPr="00851A4F">
        <w:rPr>
          <w:b/>
          <w:u w:val="single"/>
        </w:rPr>
        <w:t>disdainful dismissal</w:t>
      </w:r>
      <w:r w:rsidRPr="001F5F8E">
        <w:rPr>
          <w:rStyle w:val="StyleUnderline"/>
        </w:rPr>
        <w:t xml:space="preserve"> of class analyses in contemporary disability studies scholarship</w:t>
      </w:r>
      <w:r w:rsidRPr="00D63583">
        <w:rPr>
          <w:sz w:val="16"/>
        </w:rPr>
        <w:t xml:space="preserve"> (Corker &amp; Shakespeare, 2002; Davis, 2002; Paterson &amp; and Hughes, 1999; Tremain, 2001). As a result, </w:t>
      </w:r>
      <w:r w:rsidRPr="001F5F8E">
        <w:rPr>
          <w:rStyle w:val="StyleUnderline"/>
        </w:rPr>
        <w:t>most disability studies scholars theorize disability through the medium of experience and textuality/ discourse</w:t>
      </w:r>
      <w:r w:rsidRPr="00D63583">
        <w:rPr>
          <w:sz w:val="16"/>
        </w:rPr>
        <w:t xml:space="preserve"> (</w:t>
      </w:r>
      <w:r w:rsidRPr="001F5F8E">
        <w:rPr>
          <w:rStyle w:val="StyleUnderline"/>
        </w:rPr>
        <w:t>Davis</w:t>
      </w:r>
      <w:r w:rsidRPr="00D63583">
        <w:rPr>
          <w:sz w:val="16"/>
        </w:rPr>
        <w:t xml:space="preserve">, 2002; </w:t>
      </w:r>
      <w:r w:rsidRPr="001F5F8E">
        <w:rPr>
          <w:rStyle w:val="StyleUnderline"/>
        </w:rPr>
        <w:t>Garland- Thomson,</w:t>
      </w:r>
      <w:r w:rsidRPr="00D63583">
        <w:rPr>
          <w:sz w:val="16"/>
        </w:rPr>
        <w:t xml:space="preserve"> 1997; Linton, 1998; </w:t>
      </w:r>
      <w:r w:rsidRPr="001F5F8E">
        <w:rPr>
          <w:rStyle w:val="StyleUnderline"/>
        </w:rPr>
        <w:t>McRuer</w:t>
      </w:r>
      <w:r w:rsidRPr="00D63583">
        <w:rPr>
          <w:sz w:val="16"/>
        </w:rPr>
        <w:t xml:space="preserve">, 2006; Mitchell &amp; Snyder, 1997; Siebers, 2008; Snyder, Brueggemann &amp; Garland, 2002; </w:t>
      </w:r>
      <w:r w:rsidRPr="001F5F8E">
        <w:rPr>
          <w:rStyle w:val="StyleUnderline"/>
        </w:rPr>
        <w:t>Wendell</w:t>
      </w:r>
      <w:r w:rsidRPr="00D63583">
        <w:rPr>
          <w:sz w:val="16"/>
        </w:rPr>
        <w:t xml:space="preserve">, 1996). Even though I am very appreciative of the theoretical/literary brilliance of the rich pastiche of the disability experience represented in contemporary disability studies scholarship, in this book, </w:t>
      </w:r>
      <w:r w:rsidRPr="001F5F8E">
        <w:rPr>
          <w:rStyle w:val="StyleUnderline"/>
        </w:rPr>
        <w:t xml:space="preserve">I critically engage this extensive scholarship in order to make the case for the </w:t>
      </w:r>
      <w:r w:rsidRPr="00851A4F">
        <w:rPr>
          <w:b/>
          <w:u w:val="single"/>
        </w:rPr>
        <w:t>reintroduction of a class analysis in disability studies</w:t>
      </w:r>
      <w:r w:rsidRPr="00D63583">
        <w:rPr>
          <w:sz w:val="16"/>
        </w:rPr>
        <w:t xml:space="preserve">. Broadly speaking, then, </w:t>
      </w:r>
      <w:r w:rsidRPr="001F5F8E">
        <w:rPr>
          <w:rStyle w:val="StyleUnderline"/>
        </w:rPr>
        <w:t>the specific focus of this book is to advance the scholarship in disability studies by exploring the complex relationships that exist between disability and the other categories of difference</w:t>
      </w:r>
      <w:r w:rsidRPr="00D63583">
        <w:rPr>
          <w:sz w:val="16"/>
        </w:rPr>
        <w:t xml:space="preserve"> (i.e., race, gender, and sexuality) </w:t>
      </w:r>
      <w:r w:rsidRPr="001F5F8E">
        <w:rPr>
          <w:rStyle w:val="StyleUnderline"/>
        </w:rPr>
        <w:t>and between the disabled and the nondisabled world when (re)constituted by transnational capitalism.</w:t>
      </w:r>
      <w:r w:rsidRPr="00D63583">
        <w:rPr>
          <w:sz w:val="12"/>
        </w:rPr>
        <w:t>¶</w:t>
      </w:r>
      <w:r w:rsidRPr="00D63583">
        <w:rPr>
          <w:sz w:val="12"/>
          <w:u w:val="single"/>
        </w:rPr>
        <w:t xml:space="preserve"> </w:t>
      </w:r>
      <w:r w:rsidRPr="00D63583">
        <w:rPr>
          <w:sz w:val="16"/>
        </w:rPr>
        <w:t xml:space="preserve">While authors such as Oliver (1990), Morris (1991), Charlton (1998), Russell (1998), and Thomas (1999) have produced </w:t>
      </w:r>
      <w:r w:rsidRPr="001F5F8E">
        <w:rPr>
          <w:rStyle w:val="StyleUnderline"/>
        </w:rPr>
        <w:t>persuasive analyses about the political economy of disability</w:t>
      </w:r>
      <w:r w:rsidRPr="00D63583">
        <w:rPr>
          <w:sz w:val="16"/>
        </w:rPr>
        <w:t xml:space="preserve">, their projects </w:t>
      </w:r>
      <w:r w:rsidRPr="001F5F8E">
        <w:rPr>
          <w:rStyle w:val="StyleUnderline"/>
        </w:rPr>
        <w:t>have focused specifically on the experiences of persons with disabilities.</w:t>
      </w:r>
      <w:r w:rsidRPr="00D63583">
        <w:rPr>
          <w:sz w:val="16"/>
        </w:rPr>
        <w:t xml:space="preserve"> Though they have all hinted at possible connections between disability and the other constructs of difference, </w:t>
      </w:r>
      <w:r w:rsidRPr="001F5F8E">
        <w:rPr>
          <w:rStyle w:val="StyleUnderline"/>
        </w:rPr>
        <w:t>further exploration of these issues has been outside the scope of their respective projects</w:t>
      </w:r>
      <w:r w:rsidRPr="00D63583">
        <w:rPr>
          <w:sz w:val="16"/>
        </w:rPr>
        <w:t xml:space="preserve">. There has also been scholarship that has done much to advance the field of disability studies along the axes of difference. </w:t>
      </w:r>
      <w:r w:rsidRPr="001F5F8E">
        <w:rPr>
          <w:rStyle w:val="StyleUnderline"/>
        </w:rPr>
        <w:t>Harry and Kligner (2005), Ferri and Connor (2006), and Connor (2007) have noted that special education classrooms in US public schools are overpopulated by African American/Latino students</w:t>
      </w:r>
      <w:r w:rsidRPr="00D63583">
        <w:rPr>
          <w:sz w:val="16"/>
        </w:rPr>
        <w:t xml:space="preserve">, </w:t>
      </w:r>
      <w:r w:rsidRPr="001F5F8E">
        <w:rPr>
          <w:rStyle w:val="StyleUnderline"/>
        </w:rPr>
        <w:t>thereby acknowledging that race and disability coexist as uneasy bedfellows in educational contexts</w:t>
      </w:r>
      <w:r w:rsidRPr="00D63583">
        <w:rPr>
          <w:sz w:val="16"/>
        </w:rPr>
        <w:t xml:space="preserve">. Fine and Asch (1988), Morris (1991), Wendell (1996), Garland- Thomson (1997), Thomas (1999), and Smith and Hutchinson (2004) have discussed how issues of disability have exacerbated tensions within the feminist movement. McRuer (2006) has explored the relationship between queer theory and disability studies, and Quayson (2007) has examined the intersection of disability and postcolonialism within the context of literary studies. All this scholarship has done much to advance the field of disability studies. </w:t>
      </w:r>
      <w:r w:rsidRPr="001F5F8E">
        <w:rPr>
          <w:rStyle w:val="StyleUnderline"/>
        </w:rPr>
        <w:t>My project begins where their analyses have left off</w:t>
      </w:r>
      <w:r w:rsidRPr="00D63583">
        <w:rPr>
          <w:sz w:val="16"/>
        </w:rPr>
        <w:t>. In this book, I weave together each of these different strands of scholarship to situate disability as the central analytic, or more importantly, the ideological linchpin utilized to (re) constitute social difference along the axes of race, gender, and sexuality in dialectical relationship to the economic/social relations produced within the historical context of transnational capitalism.</w:t>
      </w:r>
      <w:r w:rsidRPr="00D63583">
        <w:rPr>
          <w:sz w:val="12"/>
        </w:rPr>
        <w:t>¶</w:t>
      </w:r>
      <w:r w:rsidRPr="00D63583">
        <w:rPr>
          <w:sz w:val="16"/>
        </w:rPr>
        <w:t xml:space="preserve"> </w:t>
      </w:r>
      <w:r w:rsidRPr="001F5F8E">
        <w:rPr>
          <w:rStyle w:val="StyleUnderline"/>
        </w:rPr>
        <w:t>My argument in this book begins with the body</w:t>
      </w:r>
      <w:r w:rsidRPr="00D63583">
        <w:rPr>
          <w:sz w:val="16"/>
        </w:rPr>
        <w:t xml:space="preserve">— the disabled body. Because contemporary feminist theories of the body have barely addressed disability, </w:t>
      </w:r>
      <w:r w:rsidRPr="001F5F8E">
        <w:rPr>
          <w:rStyle w:val="StyleUnderline"/>
        </w:rPr>
        <w:t>feminist disability studies scholars</w:t>
      </w:r>
      <w:r w:rsidRPr="00D63583">
        <w:rPr>
          <w:sz w:val="16"/>
        </w:rPr>
        <w:t xml:space="preserve"> have attempted to redress this omission by demonstrating that the transgressive properties of disability can yield radical (re)conceptualizations of the body (Garland- Thomson, 1997; Wendell, 1996). However, they, too, </w:t>
      </w:r>
      <w:r w:rsidRPr="001F5F8E">
        <w:rPr>
          <w:rStyle w:val="StyleUnderline"/>
        </w:rPr>
        <w:t>have dismissed political economy, conceiving it as being hostile to body theory</w:t>
      </w:r>
      <w:r w:rsidRPr="00D63583">
        <w:rPr>
          <w:sz w:val="16"/>
        </w:rPr>
        <w:t xml:space="preserve">. I intend to remedy that misconception. </w:t>
      </w:r>
      <w:r w:rsidRPr="001F5F8E">
        <w:rPr>
          <w:rStyle w:val="StyleUnderline"/>
        </w:rPr>
        <w:t>Bodies do matter in political economy, and its analyses are not limited to the laboring body.</w:t>
      </w:r>
      <w:r w:rsidRPr="00D63583">
        <w:rPr>
          <w:sz w:val="16"/>
        </w:rPr>
        <w:t xml:space="preserve"> Rather, I extend feminist poststructuralist Judith Butler’s (1993) question: “</w:t>
      </w:r>
      <w:r w:rsidRPr="001F5F8E">
        <w:rPr>
          <w:rStyle w:val="StyleUnderline"/>
        </w:rPr>
        <w:t>Which bodies matter, and which bodies are yet to emerge as critical matters of concern?</w:t>
      </w:r>
      <w:r w:rsidRPr="00D63583">
        <w:rPr>
          <w:sz w:val="16"/>
        </w:rPr>
        <w:t xml:space="preserve">” (p. 4) by posing my own— </w:t>
      </w:r>
      <w:r w:rsidRPr="001F5F8E">
        <w:rPr>
          <w:rStyle w:val="StyleUnderline"/>
        </w:rPr>
        <w:t xml:space="preserve">Why do some bodies matter more than others? In raising </w:t>
      </w:r>
      <w:r w:rsidRPr="001F5F8E">
        <w:rPr>
          <w:rStyle w:val="StyleUnderline"/>
        </w:rPr>
        <w:lastRenderedPageBreak/>
        <w:t xml:space="preserve">this question “why,” I intend to shift the tenor of the discussion from description to explanation. </w:t>
      </w:r>
      <w:r w:rsidRPr="00D63583">
        <w:rPr>
          <w:sz w:val="12"/>
        </w:rPr>
        <w:t>¶</w:t>
      </w:r>
      <w:r w:rsidRPr="00D63583">
        <w:rPr>
          <w:sz w:val="12"/>
          <w:u w:val="single"/>
        </w:rPr>
        <w:t xml:space="preserve"> </w:t>
      </w:r>
      <w:r w:rsidRPr="00D63583">
        <w:rPr>
          <w:sz w:val="16"/>
        </w:rPr>
        <w:t xml:space="preserve">To do this, </w:t>
      </w:r>
      <w:r w:rsidRPr="001F5F8E">
        <w:rPr>
          <w:rStyle w:val="StyleUnderline"/>
        </w:rPr>
        <w:t xml:space="preserve">I draw on the analytical framework of </w:t>
      </w:r>
      <w:r w:rsidRPr="00851A4F">
        <w:rPr>
          <w:b/>
          <w:u w:val="single"/>
        </w:rPr>
        <w:t>historical materialism</w:t>
      </w:r>
      <w:r w:rsidRPr="00D63583">
        <w:rPr>
          <w:sz w:val="16"/>
        </w:rPr>
        <w:t>, which Ebert (1996) describes as</w:t>
      </w:r>
      <w:r w:rsidRPr="00D63583">
        <w:rPr>
          <w:sz w:val="12"/>
        </w:rPr>
        <w:t>¶</w:t>
      </w:r>
      <w:r w:rsidRPr="00D63583">
        <w:rPr>
          <w:sz w:val="16"/>
        </w:rPr>
        <w:t xml:space="preserve"> </w:t>
      </w:r>
      <w:r w:rsidRPr="001F5F8E">
        <w:rPr>
          <w:rStyle w:val="StyleUnderline"/>
        </w:rPr>
        <w:t>a mode of knowing that inquires into what is not said, into the silences and the suppressed or missing, in order to uncover the concealed operations of power and the socio- economic relations connecting the myriad details and representation of our lives</w:t>
      </w:r>
      <w:r w:rsidRPr="00D63583">
        <w:rPr>
          <w:sz w:val="16"/>
        </w:rPr>
        <w:t xml:space="preserve"> . . . [</w:t>
      </w:r>
      <w:r w:rsidRPr="001F5F8E">
        <w:rPr>
          <w:rStyle w:val="StyleUnderline"/>
        </w:rPr>
        <w:t>Historical materialism</w:t>
      </w:r>
      <w:r w:rsidRPr="00D63583">
        <w:rPr>
          <w:sz w:val="16"/>
        </w:rPr>
        <w:t xml:space="preserve">] . . . </w:t>
      </w:r>
      <w:r w:rsidRPr="001F5F8E">
        <w:rPr>
          <w:rStyle w:val="StyleUnderline"/>
        </w:rPr>
        <w:t>disrupts “what is” to explain how social differences</w:t>
      </w:r>
      <w:r w:rsidRPr="00D63583">
        <w:rPr>
          <w:sz w:val="16"/>
        </w:rPr>
        <w:t xml:space="preserve">— </w:t>
      </w:r>
      <w:r w:rsidRPr="001F5F8E">
        <w:rPr>
          <w:rStyle w:val="StyleUnderline"/>
        </w:rPr>
        <w:t>specifically gender, race, sexuality, and class</w:t>
      </w:r>
      <w:r w:rsidRPr="00D63583">
        <w:rPr>
          <w:sz w:val="16"/>
        </w:rPr>
        <w:t xml:space="preserve"> [</w:t>
      </w:r>
      <w:r w:rsidRPr="001F5F8E">
        <w:rPr>
          <w:rStyle w:val="StyleUnderline"/>
        </w:rPr>
        <w:t>and to which I add disability</w:t>
      </w:r>
      <w:r w:rsidRPr="00D63583">
        <w:rPr>
          <w:sz w:val="16"/>
        </w:rPr>
        <w:t xml:space="preserve">]— </w:t>
      </w:r>
      <w:r w:rsidRPr="001F5F8E">
        <w:rPr>
          <w:rStyle w:val="StyleUnderline"/>
        </w:rPr>
        <w:t xml:space="preserve">have been </w:t>
      </w:r>
      <w:r w:rsidRPr="00851A4F">
        <w:rPr>
          <w:b/>
          <w:u w:val="single"/>
        </w:rPr>
        <w:t>systematically produced and continue to operate within regimes of exploitation, so that we can change them. It is the means for producing transformative knowledges.</w:t>
      </w:r>
      <w:r w:rsidRPr="00D63583">
        <w:rPr>
          <w:sz w:val="16"/>
        </w:rPr>
        <w:t xml:space="preserve"> (p. 7)</w:t>
      </w:r>
      <w:r w:rsidRPr="00D63583">
        <w:rPr>
          <w:sz w:val="12"/>
        </w:rPr>
        <w:t>¶</w:t>
      </w:r>
      <w:r w:rsidRPr="00D63583">
        <w:rPr>
          <w:sz w:val="16"/>
        </w:rPr>
        <w:t xml:space="preserve"> </w:t>
      </w:r>
      <w:r w:rsidRPr="001F5F8E">
        <w:rPr>
          <w:rStyle w:val="StyleUnderline"/>
        </w:rPr>
        <w:t xml:space="preserve">Using the analytical framework of historical materialism, the central focus of this book is to explore how the body, particularly the disabled body, is </w:t>
      </w:r>
      <w:r w:rsidRPr="00851A4F">
        <w:rPr>
          <w:b/>
          <w:u w:val="single"/>
        </w:rPr>
        <w:t>constituted within the social relations of production and consumption of transnational capitalism</w:t>
      </w:r>
      <w:r w:rsidRPr="00D63583">
        <w:rPr>
          <w:sz w:val="16"/>
        </w:rPr>
        <w:t xml:space="preserve">, </w:t>
      </w:r>
      <w:r w:rsidRPr="001F5F8E">
        <w:rPr>
          <w:rStyle w:val="StyleUnderline"/>
        </w:rPr>
        <w:t>and to foreground the implications these social/ economic arrangements have for making bodies matter (or not).</w:t>
      </w:r>
      <w:r w:rsidRPr="00D63583">
        <w:rPr>
          <w:sz w:val="16"/>
        </w:rPr>
        <w:t xml:space="preserve"> Thus, while asking why some bodies matter more than others, there are also other related questions that I explore: What are the possibilities and limits of different conceptual frameworks in attempting to explain how the (disabled) body matters? What historical conditions make some bodies matter more than others? Why does it not even matter to us that some bodies are actually invisible? What is the social/political/economic impact of this invisibility? Is it even possible for us to reimagine the historical conditions within which Other bodies can be made to matter?</w:t>
      </w:r>
      <w:r w:rsidRPr="00D63583">
        <w:rPr>
          <w:sz w:val="12"/>
        </w:rPr>
        <w:t>¶</w:t>
      </w:r>
      <w:r w:rsidRPr="00D63583">
        <w:rPr>
          <w:sz w:val="16"/>
        </w:rPr>
        <w:t xml:space="preserve"> The issues that I raise in this introduction and throughout the book are theoretical, political, and personal. Even though I use Robert’s story in the introduction to this book, his story was neither the inspiration for this book, nor is it going to be its central focus. In fact, this book may have been completed by now, if Robert’s diagnosis had not forced all other plans to the back burner for four tumultuous years. Unable to write during that time, I had, however, a lot of time to think, and it soon became apparent to me that I was actually living out the argument that I had been planning to write about. The diagnosis of the brain tumor brought to the fore the materiality of the body— marking its “dys- appearance” (Leder, 1990) in ways that demanded a passionate engagement with the matter of bodies, both theoretically and personally. Determined not to allow Robert to be reduced to his diagnosis (e.g., the GBM in room 7), aware of the social and political struggles that the disability community has faced over the years (segregation, economic violence, invisibility, even death), and imagining the possibilities if the social arrangements we lived in were different, I have come to realize that in writing this book I am simultaneously “living theory” while “theorizing life.”</w:t>
      </w:r>
    </w:p>
    <w:p xmlns:wp14="http://schemas.microsoft.com/office/word/2010/wordml" w:rsidRPr="00851A4F" w:rsidR="001860AB" w:rsidP="001860AB" w:rsidRDefault="001860AB" w14:paraId="2EC6B0B4" wp14:textId="77777777">
      <w:pPr>
        <w:pStyle w:val="Heading4"/>
      </w:pPr>
      <w:r>
        <w:t>Post-structuralist</w:t>
      </w:r>
      <w:r w:rsidRPr="00851A4F">
        <w:t xml:space="preserve"> theories of disability reproduce class conflict -- only via the privilege of possessing economic resources can one narrate and re-conceptualize </w:t>
      </w:r>
      <w:r>
        <w:t>the body</w:t>
      </w:r>
      <w:r w:rsidRPr="00851A4F">
        <w:t xml:space="preserve"> </w:t>
      </w:r>
    </w:p>
    <w:p xmlns:wp14="http://schemas.microsoft.com/office/word/2010/wordml" w:rsidRPr="004B6F1E" w:rsidR="001860AB" w:rsidP="001860AB" w:rsidRDefault="001860AB" w14:paraId="2E5343A4" wp14:textId="77777777">
      <w:r w:rsidRPr="001F5F8E">
        <w:rPr>
          <w:rStyle w:val="Style13ptBold"/>
        </w:rPr>
        <w:t>Erevelles 11</w:t>
      </w:r>
      <w:r w:rsidRPr="007F3FBF">
        <w:t xml:space="preserve"> </w:t>
      </w:r>
      <w:r>
        <w:t>[</w:t>
      </w:r>
      <w:r w:rsidRPr="004B6F1E">
        <w:t>Nirmala</w:t>
      </w:r>
      <w:r>
        <w:t xml:space="preserve">, </w:t>
      </w:r>
      <w:r w:rsidRPr="004B6F1E">
        <w:t>Professor in the Social Foundations of Education and Instructional Department of Education Leadership, Policy, and Technology Studies at the University of Alabama, 2011, “Disability and Difference in Global Contexts,” pg. 5-7, accessed 7.12.2017</w:t>
      </w:r>
      <w:r>
        <w:t>//TRossow]</w:t>
      </w:r>
    </w:p>
    <w:p xmlns:wp14="http://schemas.microsoft.com/office/word/2010/wordml" w:rsidRPr="001F5F8E" w:rsidR="001860AB" w:rsidP="001860AB" w:rsidRDefault="001860AB" w14:paraId="4652F69D" wp14:textId="77777777">
      <w:pPr>
        <w:rPr>
          <w:rStyle w:val="StyleUnderline"/>
        </w:rPr>
      </w:pPr>
      <w:r w:rsidRPr="001F5F8E">
        <w:rPr>
          <w:rStyle w:val="StyleUnderline"/>
        </w:rPr>
        <w:t>Poststructuralism’s</w:t>
      </w:r>
      <w:r w:rsidRPr="001F5F8E">
        <w:rPr>
          <w:sz w:val="12"/>
        </w:rPr>
        <w:t xml:space="preserve"> deconstructive potential along with its </w:t>
      </w:r>
      <w:r w:rsidRPr="001F5F8E">
        <w:rPr>
          <w:rStyle w:val="StyleUnderline"/>
        </w:rPr>
        <w:t>limitless possibilities for (re)imagining the transgressive body makes for seductive scholarship</w:t>
      </w:r>
      <w:r w:rsidRPr="001F5F8E">
        <w:rPr>
          <w:sz w:val="12"/>
        </w:rPr>
        <w:t xml:space="preserve">— </w:t>
      </w:r>
      <w:r w:rsidRPr="001F5F8E">
        <w:rPr>
          <w:rStyle w:val="StyleUnderline"/>
        </w:rPr>
        <w:t>a point not lost on disability studies scholars</w:t>
      </w:r>
      <w:r w:rsidRPr="001F5F8E">
        <w:rPr>
          <w:sz w:val="12"/>
        </w:rPr>
        <w:t xml:space="preserve"> who have done radical work in retheorizing disability outside the constricting limits of dominant discourse. </w:t>
      </w:r>
      <w:r w:rsidRPr="001F5F8E">
        <w:rPr>
          <w:rStyle w:val="StyleUnderline"/>
        </w:rPr>
        <w:t>Seduced by this ludic form of poststructuralism that reads the social as a matter of discourse/textuality and that posits desire/pleasure as the dynamic that can transform the social</w:t>
      </w:r>
      <w:r w:rsidRPr="001F5F8E">
        <w:rPr>
          <w:sz w:val="12"/>
        </w:rPr>
        <w:t xml:space="preserve"> (Ebert, 1996), </w:t>
      </w:r>
      <w:r w:rsidRPr="001F5F8E">
        <w:rPr>
          <w:rStyle w:val="StyleUnderline"/>
        </w:rPr>
        <w:t>contemporary social theorists have dismissed other modes of theorizing as obsolete</w:t>
      </w:r>
      <w:r w:rsidRPr="001F5F8E">
        <w:rPr>
          <w:sz w:val="12"/>
        </w:rPr>
        <w:t xml:space="preserve">. To go against the grain and critically engage poststructuralism using historical materialism therefore runs the risk of being designated as an outmoded modernist. In spite of that risk, </w:t>
      </w:r>
      <w:r w:rsidRPr="001F5F8E">
        <w:rPr>
          <w:rStyle w:val="StyleUnderline"/>
        </w:rPr>
        <w:t>I cannot but ask: How does one theorize the disabled body as if it exists outside of the specific historical conditions that constitute its material reality?</w:t>
      </w:r>
      <w:r w:rsidRPr="001F5F8E">
        <w:rPr>
          <w:sz w:val="12"/>
        </w:rPr>
        <w:t>¶</w:t>
      </w:r>
      <w:r>
        <w:rPr>
          <w:sz w:val="12"/>
          <w:u w:val="single"/>
        </w:rPr>
        <w:t xml:space="preserve"> </w:t>
      </w:r>
      <w:r w:rsidRPr="001F5F8E">
        <w:rPr>
          <w:sz w:val="12"/>
        </w:rPr>
        <w:t xml:space="preserve">The continued importance of that question, even in the face of poststructuralist deconstruction, was brought home to us in early December 2007. At that time we learned that even after two brain surgeries, six weeks of radiation, and three different chemotherapy regimens over the course of a year and a half, the tumor still persisted. Finding ourselves faced with the option of either turning to a new treatment regimen or watching and waiting helplessly while the tumor spread through Robert’s brain, we were once again offered a possibility. According to several studies published in late 2007, two drugs, Avastin and CPT- 11, which had previously been approved for colorectal cancer by the Food and Drug Administration (FDA) were proving to be effective for patients with recurring malignant gliomas by keeping them cancer- free or at least stable for a minimum of an additional six months. However, there was a problem. Since the drugs had not yet been approved by the FDA to treat brain tumors, our insurance company would not cover the drugs that, without the benefit of insurance discounts, would cost us about $30,000 for each bimonthly treatment.¶ For three terrifying weeks, we tried to imagine all our available options— selling our house, drawing on our retirement savings, borrowing from family, maximizing our credit cards— and realized that this would barely cover a mere three months of treatment. As a wife and mother, I found this to be a traumatic moment. Do you pour all your personal resources (modest as they were) into a medical treatment that may or may not work? Could you allow your </w:t>
      </w:r>
      <w:r w:rsidRPr="001F5F8E">
        <w:rPr>
          <w:sz w:val="12"/>
        </w:rPr>
        <w:lastRenderedPageBreak/>
        <w:t xml:space="preserve">partner (a husband, a father, and a scholar) to die without exploiting every possible option to sustain his life? For three harrowing weeks of the winter holidays, I wrestled with these demons, while our amazing neuro- oncologist and his exceptional nurse practitioners argued with our insurance company to cover the treatment. When the coverage was approved on January 2, 2008, it seemed as if Robert was given a new lease on life, our family another serving of hope. Sixteen months later, Robert’s tumor had shrunk to a negligible mass that enabled him to finish writing a book on literary theory, teach four semesters at the university, and even apply for promotion to full professor. However, in November 2009 the tumor re- appeared more aggressively, and unable to receive any more treatment Robert passed away on January 31, 2010.¶ Now, a whole year after Robert’s passing, I am sitting at my desk reflecting on this journey we went through together with our then five- year- old daughter, Maya. That Robert was able to survive for four productive years was only possible because of the economic and social advantages we enjoyed. </w:t>
      </w:r>
      <w:r w:rsidRPr="00851A4F">
        <w:rPr>
          <w:b/>
          <w:u w:val="single"/>
        </w:rPr>
        <w:t>Without the economic resources to sustain life, the very act of narrating and reconceptualizing one’s body is an impossible task</w:t>
      </w:r>
      <w:r w:rsidRPr="001F5F8E">
        <w:rPr>
          <w:sz w:val="12"/>
        </w:rPr>
        <w:t xml:space="preserve">. This reflection echoes Marx and Engels’s (1965) assertion in The German Ideology:¶ </w:t>
      </w:r>
      <w:r w:rsidRPr="001F5F8E">
        <w:rPr>
          <w:rStyle w:val="StyleUnderline"/>
        </w:rPr>
        <w:t>[T]he first premise of all human existence and, therefore, of all history</w:t>
      </w:r>
      <w:r w:rsidRPr="001F5F8E">
        <w:rPr>
          <w:sz w:val="12"/>
        </w:rPr>
        <w:t xml:space="preserve"> . . . [</w:t>
      </w:r>
      <w:r w:rsidRPr="001F5F8E">
        <w:rPr>
          <w:rStyle w:val="StyleUnderline"/>
        </w:rPr>
        <w:t>is] namely, that all</w:t>
      </w:r>
      <w:r w:rsidRPr="001F5F8E">
        <w:rPr>
          <w:sz w:val="12"/>
        </w:rPr>
        <w:t xml:space="preserve"> men [ sic ] </w:t>
      </w:r>
      <w:r w:rsidRPr="001F5F8E">
        <w:rPr>
          <w:rStyle w:val="StyleUnderline"/>
        </w:rPr>
        <w:t>must be in a position to live in order to “make history</w:t>
      </w:r>
      <w:r w:rsidRPr="001F5F8E">
        <w:rPr>
          <w:sz w:val="12"/>
        </w:rPr>
        <w:t xml:space="preserve">” . . . [L]ife involves before everything else eating and drinking, a habitation, clothing, and many other things. </w:t>
      </w:r>
      <w:r w:rsidRPr="001F5F8E">
        <w:rPr>
          <w:rStyle w:val="StyleUnderline"/>
        </w:rPr>
        <w:t>The first historical act is thus the production of the means to satisfy those needs, the production of material life itself</w:t>
      </w:r>
      <w:r w:rsidRPr="001F5F8E">
        <w:rPr>
          <w:sz w:val="12"/>
        </w:rPr>
        <w:t xml:space="preserve">. And indeed this is an historical act, a fundamental condition of history, which today, as thousands of years ago, must daily and hourly be fulfilled merely in order to sustain human life. (p. 48)¶ There were others for whom the economics of health care had more devastating consequences— a reality painfully documented in Cohn’s (2007) book, SICK. </w:t>
      </w:r>
      <w:r w:rsidRPr="001F5F8E">
        <w:rPr>
          <w:rStyle w:val="StyleUnderline"/>
        </w:rPr>
        <w:t xml:space="preserve">Cohn offers several poignant stories describing the real human costs of not having access to </w:t>
      </w:r>
      <w:r w:rsidRPr="00851A4F">
        <w:rPr>
          <w:b/>
          <w:u w:val="single"/>
        </w:rPr>
        <w:t>health care</w:t>
      </w:r>
      <w:r w:rsidRPr="001F5F8E">
        <w:rPr>
          <w:b/>
          <w:sz w:val="12"/>
        </w:rPr>
        <w:t>:</w:t>
      </w:r>
      <w:r w:rsidRPr="001F5F8E">
        <w:rPr>
          <w:sz w:val="12"/>
        </w:rPr>
        <w:t xml:space="preserve"> how </w:t>
      </w:r>
      <w:r w:rsidRPr="001F5F8E">
        <w:rPr>
          <w:rStyle w:val="StyleUnderline"/>
        </w:rPr>
        <w:t>a woman having a heart attack died on account of overcrowded emergency rooms in Boston</w:t>
      </w:r>
      <w:r w:rsidRPr="001F5F8E">
        <w:rPr>
          <w:sz w:val="12"/>
        </w:rPr>
        <w:t xml:space="preserve">; how </w:t>
      </w:r>
      <w:r w:rsidRPr="001F5F8E">
        <w:rPr>
          <w:rStyle w:val="StyleUnderline"/>
        </w:rPr>
        <w:t>a retired security guard in LA lost his sight due to unaffordable diabetes treatments</w:t>
      </w:r>
      <w:r w:rsidRPr="001F5F8E">
        <w:rPr>
          <w:sz w:val="12"/>
        </w:rPr>
        <w:t xml:space="preserve">; how </w:t>
      </w:r>
      <w:r w:rsidRPr="001F5F8E">
        <w:rPr>
          <w:rStyle w:val="StyleUnderline"/>
        </w:rPr>
        <w:t>a mother of three in central New York did not survive breast cancer that went undetected because her husband’s high- tech job did not provide health insurance</w:t>
      </w:r>
      <w:r w:rsidRPr="001F5F8E">
        <w:rPr>
          <w:sz w:val="12"/>
        </w:rPr>
        <w:t xml:space="preserve">. In all these stories, </w:t>
      </w:r>
      <w:r w:rsidRPr="00851A4F">
        <w:rPr>
          <w:b/>
          <w:u w:val="single"/>
        </w:rPr>
        <w:t>survival seemed contingent on economic rather than medical issues.</w:t>
      </w:r>
      <w:r w:rsidRPr="001F5F8E">
        <w:rPr>
          <w:sz w:val="12"/>
        </w:rPr>
        <w:t>¶</w:t>
      </w:r>
      <w:r>
        <w:rPr>
          <w:b/>
          <w:sz w:val="12"/>
          <w:u w:val="single"/>
        </w:rPr>
        <w:t xml:space="preserve"> </w:t>
      </w:r>
      <w:r w:rsidRPr="001F5F8E">
        <w:rPr>
          <w:sz w:val="12"/>
        </w:rPr>
        <w:t xml:space="preserve">Unlike the people in Cohn’s books, the brain cancer survivors on the Internet with their informative and hopeful blogs that we had come to depend upon for moral support represented a very different demographic. They were people who were financially well- to- do; who could afford to travel cross- country in search of the best doctors and treatments; who had access to the intellectual resources to help them research their diagnoses; who were able to retire early and still have the resources to volunteer for both local and national fund- raising events; and who therefore became our heroes— those who refused to allow their impending deaths to diminish their capacity to serve.¶ The mainstream media has made much of these local heroes, paying homage to them in news reports, human interest stories, telethons, track events, silent auctions, cultural fairs, etc. One recent example was Randy Pausch, a professor of computer science at Carnegie Mellon, who lived with pancreatic cancer for two years before passing away in August 2008. Drawn rather reluctantly into the limelight on account of an inspiring “Last Lecture” he delivered at Carnegie Mellon, Pausch became an overnight celebrity because of his upbeat attitude that taught people about the “the importance of overcoming obstacles, of enabling the dreams of others, of seizing every moment” (because “time is all you have . . . and you may find one day that you have less than you think”) (Amazon.com review).¶ While there is no denying that individuals such as Pausch have to be celebrated for showing the world that there is life after a cancer diagnosis (however brief it may be), both Robert and I were often frustrated that </w:t>
      </w:r>
      <w:r w:rsidRPr="001F5F8E">
        <w:rPr>
          <w:rStyle w:val="StyleUnderline"/>
        </w:rPr>
        <w:t xml:space="preserve">in media representations, the individual was often </w:t>
      </w:r>
      <w:r w:rsidRPr="00851A4F">
        <w:rPr>
          <w:b/>
          <w:u w:val="single"/>
        </w:rPr>
        <w:t>separated from the social and economic coordinates that framed his or her life</w:t>
      </w:r>
      <w:r w:rsidRPr="001F5F8E">
        <w:rPr>
          <w:sz w:val="12"/>
        </w:rPr>
        <w:t xml:space="preserve">. While Pausch was certainly remarkable in making sure his family lived life “fully” in order to make memories for his three very young children, and in bringing attention to others who were “not so fortunate,” there was very little mention of the fact that none of this could have been possible without the considerable financial resources that sustained them as a family during and after his lifetime. In other words, </w:t>
      </w:r>
      <w:r w:rsidRPr="001F5F8E">
        <w:rPr>
          <w:rStyle w:val="StyleUnderline"/>
        </w:rPr>
        <w:t>I am emphasizing here that in celebrating the individual, we cannot ignore the social and economic conditions that make this celebration possible.</w:t>
      </w:r>
      <w:r w:rsidRPr="001F5F8E">
        <w:rPr>
          <w:sz w:val="12"/>
        </w:rPr>
        <w:t>¶</w:t>
      </w:r>
      <w:r>
        <w:rPr>
          <w:sz w:val="12"/>
          <w:u w:val="single"/>
        </w:rPr>
        <w:t xml:space="preserve"> </w:t>
      </w:r>
      <w:r w:rsidRPr="001F5F8E">
        <w:rPr>
          <w:sz w:val="12"/>
        </w:rPr>
        <w:t xml:space="preserve">More importantly, </w:t>
      </w:r>
      <w:r w:rsidRPr="001F5F8E">
        <w:rPr>
          <w:rStyle w:val="StyleUnderline"/>
        </w:rPr>
        <w:t xml:space="preserve">these celebrations of the individual outside of social and economic considerations also </w:t>
      </w:r>
      <w:r w:rsidRPr="00851A4F">
        <w:rPr>
          <w:b/>
          <w:u w:val="single"/>
        </w:rPr>
        <w:t>obfuscate the historical conditions that produce the class antagonisms that are rampant in the context of health- care provision in the United States</w:t>
      </w:r>
      <w:r w:rsidRPr="001F5F8E">
        <w:rPr>
          <w:sz w:val="12"/>
        </w:rPr>
        <w:t xml:space="preserve">. Put simply, </w:t>
      </w:r>
      <w:r w:rsidRPr="001F5F8E">
        <w:rPr>
          <w:rStyle w:val="StyleUnderline"/>
        </w:rPr>
        <w:t xml:space="preserve">access to health care in the United States is </w:t>
      </w:r>
      <w:r w:rsidRPr="00851A4F">
        <w:rPr>
          <w:b/>
          <w:u w:val="single"/>
        </w:rPr>
        <w:t>predicated upon one’s capacity to contribute to its profitability</w:t>
      </w:r>
      <w:r w:rsidRPr="001F5F8E">
        <w:rPr>
          <w:sz w:val="12"/>
        </w:rPr>
        <w:t xml:space="preserve">, </w:t>
      </w:r>
      <w:r w:rsidRPr="001F5F8E">
        <w:rPr>
          <w:rStyle w:val="StyleUnderline"/>
        </w:rPr>
        <w:t>such that medical decisions are made</w:t>
      </w:r>
      <w:r w:rsidRPr="001F5F8E">
        <w:rPr>
          <w:sz w:val="12"/>
        </w:rPr>
        <w:t xml:space="preserve"> (sometimes unwillingly by doctors under pressure from insurance companies) </w:t>
      </w:r>
      <w:r w:rsidRPr="001F5F8E">
        <w:rPr>
          <w:rStyle w:val="StyleUnderline"/>
        </w:rPr>
        <w:t>based on an individual’s capacity to pay for them</w:t>
      </w:r>
      <w:r w:rsidRPr="001F5F8E">
        <w:rPr>
          <w:sz w:val="12"/>
        </w:rPr>
        <w:t xml:space="preserve"> (Cohn, 2007; Farmer, 2004). </w:t>
      </w:r>
      <w:r w:rsidRPr="001F5F8E">
        <w:rPr>
          <w:rStyle w:val="StyleUnderline"/>
        </w:rPr>
        <w:t xml:space="preserve">A brutal consequence of such a system is that the </w:t>
      </w:r>
      <w:r w:rsidRPr="00851A4F">
        <w:rPr>
          <w:b/>
          <w:u w:val="single"/>
        </w:rPr>
        <w:t>value of one’s life is correlated to one’s financial status</w:t>
      </w:r>
      <w:r w:rsidRPr="001F5F8E">
        <w:rPr>
          <w:sz w:val="12"/>
        </w:rPr>
        <w:t xml:space="preserve">, </w:t>
      </w:r>
      <w:r w:rsidRPr="001F5F8E">
        <w:rPr>
          <w:rStyle w:val="StyleUnderline"/>
        </w:rPr>
        <w:t xml:space="preserve">bringing into play a </w:t>
      </w:r>
      <w:r w:rsidRPr="00851A4F">
        <w:rPr>
          <w:b/>
          <w:u w:val="single"/>
        </w:rPr>
        <w:t xml:space="preserve">hierarchy of survival </w:t>
      </w:r>
      <w:r w:rsidRPr="001F5F8E">
        <w:rPr>
          <w:rStyle w:val="StyleUnderline"/>
        </w:rPr>
        <w:t>embedded in the social relations of production and consumption in advanced capitalism.</w:t>
      </w:r>
      <w:r w:rsidRPr="001F5F8E">
        <w:rPr>
          <w:sz w:val="12"/>
        </w:rPr>
        <w:t xml:space="preserve"> In this context then, </w:t>
      </w:r>
      <w:r w:rsidRPr="001F5F8E">
        <w:rPr>
          <w:rStyle w:val="StyleUnderline"/>
        </w:rPr>
        <w:t xml:space="preserve">the </w:t>
      </w:r>
      <w:r w:rsidRPr="00851A4F">
        <w:rPr>
          <w:b/>
          <w:u w:val="single"/>
        </w:rPr>
        <w:t>central tenet of classical liberalism</w:t>
      </w:r>
      <w:r w:rsidRPr="001F5F8E">
        <w:rPr>
          <w:rStyle w:val="StyleUnderline"/>
        </w:rPr>
        <w:t xml:space="preserve">— the right to life, liberty, and the pursuit of happiness— is </w:t>
      </w:r>
      <w:r w:rsidRPr="00851A4F">
        <w:rPr>
          <w:b/>
          <w:u w:val="single"/>
        </w:rPr>
        <w:t>intimately tied</w:t>
      </w:r>
      <w:r w:rsidRPr="001F5F8E">
        <w:rPr>
          <w:rStyle w:val="StyleUnderline"/>
        </w:rPr>
        <w:t xml:space="preserve"> to the economic conditions that sustain the unequal social relations of class.</w:t>
      </w:r>
      <w:r w:rsidRPr="001F5F8E">
        <w:rPr>
          <w:sz w:val="12"/>
        </w:rPr>
        <w:t xml:space="preserve"> But these unjust economic arrangements are obscured by the deployment of discourses of morality that justify those who are denied this right by categorizing them as “the ‘undeserving’ poor: drug addicts, sex workers, illegal ‘aliens,’ welfare recipients, or the homeless, to name a few” (Farmer, 2005, p. 16). By partaking in this discourse of morality, it is easy to ignore that </w:t>
      </w:r>
      <w:r w:rsidRPr="001F5F8E">
        <w:rPr>
          <w:rStyle w:val="StyleUnderline"/>
        </w:rPr>
        <w:t>these rights’ violations are</w:t>
      </w:r>
      <w:r w:rsidRPr="001F5F8E">
        <w:rPr>
          <w:sz w:val="12"/>
        </w:rPr>
        <w:t xml:space="preserve"> not the outcomes of individual physical and moral weaknesses, but “are, rather, </w:t>
      </w:r>
      <w:r w:rsidRPr="00851A4F">
        <w:rPr>
          <w:b/>
          <w:u w:val="single"/>
        </w:rPr>
        <w:t>symptoms of deeper pathologies of power</w:t>
      </w:r>
      <w:r w:rsidRPr="001F5F8E">
        <w:rPr>
          <w:rStyle w:val="StyleUnderline"/>
        </w:rPr>
        <w:t xml:space="preserve"> and are linked intimately to the social [and economic] conditions that so often determine who will suffer abuse and who will be shielded from that harm”</w:t>
      </w:r>
      <w:r w:rsidRPr="001F5F8E">
        <w:rPr>
          <w:sz w:val="12"/>
        </w:rPr>
        <w:t xml:space="preserve"> (Farmer, 2005, p. 7).¶ The day the insurance company approved Robert’s chemotherapy regimen, we were acutely conscious of our good fortune in having both our insurance company and our medical team concur that Robert was a worthy patient. Not all patients are that fortunate. During my late- night trawling through the Internet in search of treatments and stories, I have learned that the hope for a cure can be secured only for a chosen few. </w:t>
      </w:r>
      <w:r w:rsidRPr="001F5F8E">
        <w:rPr>
          <w:rStyle w:val="StyleUnderline"/>
        </w:rPr>
        <w:t>If you lost your job and went on disability, if you were a recipient of Medicare/Medicaid, and if for reasons that constituted you as an Other within the medical establishment</w:t>
      </w:r>
      <w:r w:rsidRPr="001F5F8E">
        <w:rPr>
          <w:sz w:val="12"/>
        </w:rPr>
        <w:t xml:space="preserve"> (e.g., </w:t>
      </w:r>
      <w:r w:rsidRPr="001F5F8E">
        <w:rPr>
          <w:rStyle w:val="StyleUnderline"/>
        </w:rPr>
        <w:t>illegal “alien”,</w:t>
      </w:r>
      <w:r w:rsidRPr="001F5F8E">
        <w:rPr>
          <w:sz w:val="12"/>
        </w:rPr>
        <w:t xml:space="preserve"> lesbian/gay/bisexual/transgender (</w:t>
      </w:r>
      <w:r w:rsidRPr="001F5F8E">
        <w:rPr>
          <w:rStyle w:val="StyleUnderline"/>
        </w:rPr>
        <w:t xml:space="preserve">LGBT), racial </w:t>
      </w:r>
      <w:r w:rsidRPr="001F5F8E">
        <w:rPr>
          <w:rStyle w:val="StyleUnderline"/>
        </w:rPr>
        <w:lastRenderedPageBreak/>
        <w:t>minority, having mental illness and/or a cognitive disability</w:t>
      </w:r>
      <w:r w:rsidRPr="001F5F8E">
        <w:rPr>
          <w:sz w:val="12"/>
        </w:rPr>
        <w:t xml:space="preserve">, </w:t>
      </w:r>
      <w:r w:rsidRPr="001F5F8E">
        <w:rPr>
          <w:rStyle w:val="StyleUnderline"/>
        </w:rPr>
        <w:t>or seen as morally deficient</w:t>
      </w:r>
      <w:r w:rsidRPr="001F5F8E">
        <w:rPr>
          <w:sz w:val="12"/>
        </w:rPr>
        <w:t xml:space="preserve">), </w:t>
      </w:r>
      <w:r w:rsidRPr="001F5F8E">
        <w:rPr>
          <w:rStyle w:val="StyleUnderline"/>
        </w:rPr>
        <w:t>there were both written and unwritten rules that could disqualify you from accessing experimental treatments</w:t>
      </w:r>
      <w:r w:rsidRPr="001F5F8E">
        <w:rPr>
          <w:sz w:val="12"/>
        </w:rPr>
        <w:t xml:space="preserve">. I have also learned that while there are several private foundations that will provide resources for transportation, accommodation, and other financial aid needed for critical treatments, the application protocol itself is based on the presumption that the applicant has a certain level of social (race, ethnicity, sexuality, disability, and age), economic, and moral privilege to navigate this bureaucratic maze. As a result, lost in the clamor for a cure, in the depiction of health as a moral rather than a social issue, and in the telethons and fundraisers that support “conspicuous contribution” (Longmore, 2005), </w:t>
      </w:r>
      <w:r w:rsidRPr="001F5F8E">
        <w:rPr>
          <w:rStyle w:val="StyleUnderline"/>
        </w:rPr>
        <w:t xml:space="preserve">those citizens denied access to health care as a result of their social/political/economic conditions are </w:t>
      </w:r>
      <w:r w:rsidRPr="00851A4F">
        <w:rPr>
          <w:b/>
          <w:u w:val="single"/>
        </w:rPr>
        <w:t>rendered invisible because their lives are perceived as not worth living.</w:t>
      </w:r>
      <w:r w:rsidRPr="001F5F8E">
        <w:rPr>
          <w:sz w:val="12"/>
        </w:rPr>
        <w:t>¶</w:t>
      </w:r>
      <w:r>
        <w:rPr>
          <w:b/>
          <w:sz w:val="12"/>
          <w:u w:val="single"/>
        </w:rPr>
        <w:t xml:space="preserve"> </w:t>
      </w:r>
      <w:r w:rsidRPr="001F5F8E">
        <w:rPr>
          <w:sz w:val="12"/>
        </w:rPr>
        <w:t xml:space="preserve">Grateful for having successfully “bought” Robert an extra two years of life, we often wondered what made Robert’s life more valuable than millions of Others who do not seem to matter at all. When I raised this question with my doctoral students in a multicultural education course for nurse educators, one of my students argued that these distinctions of value were important because as she put it, “I would rather have Cadillac- like health care for my family than Volvo- like health care for everyone!” When pressed some more about how she would identify those who were deserving of this “Cadillac- like” care and those who were not, she argued that superior care was the reward for all those who put forth a “good” fight? So did she mean then, that those who did not survive really did not want to live? Did they become our antiheroes because their lives enmeshed in the rather mundane struggle of paying bills, prioritizing which medicines to buy, shuffling in deferent obedience before dismissive medical professionals, and imagining the least painful way to get bankrupt, seemed to offer little to the public in terms of the heroics of living and dying?¶ </w:t>
      </w:r>
      <w:r w:rsidRPr="001F5F8E">
        <w:rPr>
          <w:rStyle w:val="StyleUnderline"/>
        </w:rPr>
        <w:t>This disregard for those without the material means to support them when faced with a terminal illness and/or disability is one of the by- products of “</w:t>
      </w:r>
      <w:r w:rsidRPr="00851A4F">
        <w:rPr>
          <w:b/>
          <w:u w:val="single"/>
        </w:rPr>
        <w:t>structural violence</w:t>
      </w:r>
      <w:r w:rsidRPr="001F5F8E">
        <w:rPr>
          <w:sz w:val="12"/>
        </w:rPr>
        <w:t xml:space="preserve">.” According to Farmer, Nizeye, Stulac &amp; Keshavjee (2006), </w:t>
      </w:r>
      <w:r w:rsidRPr="001F5F8E">
        <w:rPr>
          <w:rStyle w:val="StyleUnderline"/>
        </w:rPr>
        <w:t>Structural violence</w:t>
      </w:r>
      <w:r w:rsidRPr="001F5F8E">
        <w:rPr>
          <w:sz w:val="12"/>
        </w:rPr>
        <w:t xml:space="preserve"> , a term coined by Johan Galtung and by liberation theologians during the 1960s, </w:t>
      </w:r>
      <w:r w:rsidRPr="001F5F8E">
        <w:rPr>
          <w:rStyle w:val="StyleUnderline"/>
        </w:rPr>
        <w:t>describes social structures</w:t>
      </w:r>
      <w:r w:rsidRPr="001F5F8E">
        <w:rPr>
          <w:sz w:val="12"/>
        </w:rPr>
        <w:t xml:space="preserve">— </w:t>
      </w:r>
      <w:r w:rsidRPr="001F5F8E">
        <w:rPr>
          <w:rStyle w:val="StyleUnderline"/>
        </w:rPr>
        <w:t>economic, political, legal, religious, and cultural</w:t>
      </w:r>
      <w:r w:rsidRPr="001F5F8E">
        <w:rPr>
          <w:sz w:val="12"/>
        </w:rPr>
        <w:t xml:space="preserve">— </w:t>
      </w:r>
      <w:r w:rsidRPr="001F5F8E">
        <w:rPr>
          <w:rStyle w:val="StyleUnderline"/>
        </w:rPr>
        <w:t>that stop individuals, groups, and societies from reaching their full potential</w:t>
      </w:r>
      <w:r w:rsidRPr="001F5F8E">
        <w:rPr>
          <w:sz w:val="12"/>
        </w:rPr>
        <w:t xml:space="preserve"> . . . </w:t>
      </w:r>
      <w:r w:rsidRPr="001F5F8E">
        <w:rPr>
          <w:rStyle w:val="StyleUnderline"/>
        </w:rPr>
        <w:t xml:space="preserve">Because they seem so ordinary in our ways of understanding the world, they </w:t>
      </w:r>
      <w:r w:rsidRPr="00851A4F">
        <w:rPr>
          <w:b/>
          <w:u w:val="single"/>
        </w:rPr>
        <w:t>appear almost invisible.</w:t>
      </w:r>
      <w:r w:rsidRPr="001F5F8E">
        <w:rPr>
          <w:sz w:val="12"/>
        </w:rPr>
        <w:t xml:space="preserve"> </w:t>
      </w:r>
      <w:r w:rsidRPr="001F5F8E">
        <w:rPr>
          <w:rStyle w:val="StyleUnderline"/>
        </w:rPr>
        <w:t>Disparate access to resources, political power, education, health care, and legal standing are just a few examples</w:t>
      </w:r>
      <w:r w:rsidRPr="001F5F8E">
        <w:rPr>
          <w:sz w:val="12"/>
        </w:rPr>
        <w:t xml:space="preserve">. </w:t>
      </w:r>
      <w:r w:rsidRPr="001F5F8E">
        <w:rPr>
          <w:rStyle w:val="StyleUnderline"/>
        </w:rPr>
        <w:t xml:space="preserve">The idea of structural violence is linked very closely to </w:t>
      </w:r>
      <w:r w:rsidRPr="00851A4F">
        <w:rPr>
          <w:b/>
          <w:u w:val="single"/>
        </w:rPr>
        <w:t>social injustice and the social machinery of oppression</w:t>
      </w:r>
      <w:r w:rsidRPr="001F5F8E">
        <w:rPr>
          <w:sz w:val="12"/>
        </w:rPr>
        <w:t xml:space="preserve">. (p. 1686)¶ </w:t>
      </w:r>
      <w:r w:rsidRPr="001F5F8E">
        <w:rPr>
          <w:rStyle w:val="StyleUnderline"/>
        </w:rPr>
        <w:t xml:space="preserve">In addition to </w:t>
      </w:r>
      <w:r w:rsidRPr="00851A4F">
        <w:rPr>
          <w:b/>
          <w:u w:val="single"/>
        </w:rPr>
        <w:t>foregrounding</w:t>
      </w:r>
      <w:r w:rsidRPr="001F5F8E">
        <w:rPr>
          <w:rStyle w:val="StyleUnderline"/>
        </w:rPr>
        <w:t xml:space="preserve"> the concept of “structural violence”</w:t>
      </w:r>
      <w:r w:rsidRPr="001F5F8E">
        <w:rPr>
          <w:sz w:val="12"/>
        </w:rPr>
        <w:t xml:space="preserve"> in their depiction of social inequality in the context of health care, Farmer and his colleagues, medical practitioners themselves, also make the case for interpreting disease and suffering within a historical materialist framework by calling on medical practitioners working in public health to link social analysis to everyday clinical practice:¶ One reason for this gap [linking social analysis to clinical practice] is that the holy grail of modern medicine remains the search for the molecular basis of disease . . . [This] has contributed to the increasing “desocialization” of scientific inquiry: a tendency to ask only biological questions about what are in fact biosocial phenomena . . . Social analysis is heard in discussions about illnesses for which significant environmental components are believed to exist, such as asthma and lead poisoning . . . Can we speak of the “natural history” of any of these diseases without addressing social forces, including racism, pollution, poor housing, and poverty, that shape their course in both individuals and populations? Does our clinical practice acknowledge what we already know— namely, that social and environmental forces will limit the effectiveness of our treatments? Asking these questions needs to be the beginning of a conversation within medicine and public health, rather than the end of one. (Farmer et al., 2006, p. 1686) ¶ This argument for a biosocial understanding of disease foregrounds the historical conditions that constitute the domain of possibility for the body. I have just made the argument that access to economic resources and, concomitantly, health care is necessary for the survival of the body. I am also arguing here that it is the lack of access to economic resources and, consequently, to health care that also contributes to the creation and proliferation of disability. This is a difficult argument to make in a context where disability is theorized as a possibility rather than a limit, because this begs the more controversial question: How is disability celebrated if its very existence is inextricably linked to the violence of social/economic conditions of capitalism?¶ When Robert’s case was presented to a number of physicians at different times during his treatment, each of them found it difficult to explain why his tumor came to be. On learning that almost all the members of his mother’s family who were deceased had cancer (breast, liver, pancreas, and brain), the doctors attributed Robert’s cancer to genetics. But, if one were to apply Farmer’s biosocial model to Robert’s case, even genes, considered the fundamental building block of biology, could, in fact, be shaped by history. We know that genes mutate. We, however, do not know enough about the impact of social conditions on these mutations. Following up on this line of thinking, then, what are the implications of interpreting Robert’s diagnosis in the context of his family history? Could genetic mutations influenced by a particular cast of historical conditions (poor housing, dangerous working conditions, or unhealthy nutrition) have an unfortunate impact on the great- grandson of former slaves, the grandson of sharecroppers, and the son of working- class parents, such that the tumor would appear in all its lethal malignancy in the frontal lobe of the only child of his mother’s six children who never drank, never smoked, never inhaled, never cared for red meat, and never partied hard? Was it merely random chance or was it the deliberate march of history as written on the body?¶ The body hides its secrets zealously. Therefore, </w:t>
      </w:r>
      <w:r w:rsidRPr="001F5F8E">
        <w:rPr>
          <w:rStyle w:val="StyleUnderline"/>
        </w:rPr>
        <w:t>I agree with my colleagues in disability studies that critical scholarship on disability should engage the body</w:t>
      </w:r>
      <w:r w:rsidRPr="001F5F8E">
        <w:rPr>
          <w:sz w:val="12"/>
        </w:rPr>
        <w:t>. However</w:t>
      </w:r>
      <w:r w:rsidRPr="001F5F8E">
        <w:rPr>
          <w:rStyle w:val="StyleUnderline"/>
        </w:rPr>
        <w:t>, I disagree with them when they argue that political economy has little to say about the body</w:t>
      </w:r>
      <w:r w:rsidRPr="001F5F8E">
        <w:rPr>
          <w:sz w:val="12"/>
        </w:rPr>
        <w:t xml:space="preserve">. On the other hand, by locating Robert’s experience with terminal cancer within the broader social/political/economic context that also includes Other bodies, I argue that </w:t>
      </w:r>
      <w:r w:rsidRPr="001F5F8E">
        <w:rPr>
          <w:rStyle w:val="StyleUnderline"/>
        </w:rPr>
        <w:t xml:space="preserve">a historical- materialist analysis can expose the </w:t>
      </w:r>
      <w:r w:rsidRPr="00851A4F">
        <w:rPr>
          <w:b/>
          <w:u w:val="single"/>
        </w:rPr>
        <w:t>structural violence</w:t>
      </w:r>
      <w:r w:rsidRPr="001F5F8E">
        <w:rPr>
          <w:rStyle w:val="StyleUnderline"/>
        </w:rPr>
        <w:t xml:space="preserve"> embedded deep within the fleshy body</w:t>
      </w:r>
      <w:r w:rsidRPr="001F5F8E">
        <w:rPr>
          <w:sz w:val="12"/>
        </w:rPr>
        <w:t xml:space="preserve">, </w:t>
      </w:r>
      <w:r w:rsidRPr="001F5F8E">
        <w:rPr>
          <w:rStyle w:val="StyleUnderline"/>
        </w:rPr>
        <w:t>thereby impacting its transformative potential. A critical theoretical praxis that enables the conditions of possibility of the body, therefore, needs to engage theory at the level of explanation rather than description in order to realize this potential.</w:t>
      </w:r>
    </w:p>
    <w:p xmlns:wp14="http://schemas.microsoft.com/office/word/2010/wordml" w:rsidR="001860AB" w:rsidP="001860AB" w:rsidRDefault="00B91729" w14:paraId="30B76B90" wp14:textId="77777777">
      <w:pPr>
        <w:pStyle w:val="Heading3"/>
      </w:pPr>
      <w:r>
        <w:lastRenderedPageBreak/>
        <w:t>Cap K--</w:t>
      </w:r>
      <w:r w:rsidR="001860AB">
        <w:t>L: Deconstruction</w:t>
      </w:r>
    </w:p>
    <w:p xmlns:wp14="http://schemas.microsoft.com/office/word/2010/wordml" w:rsidR="001860AB" w:rsidP="001860AB" w:rsidRDefault="001860AB" w14:paraId="2344D934" wp14:textId="77777777">
      <w:pPr>
        <w:pStyle w:val="Heading4"/>
      </w:pPr>
      <w:r>
        <w:t>Deconstruction of disability empties out anti-capitalist disability activism – ideological interventions undermine rights-based protections from neoliberalism</w:t>
      </w:r>
    </w:p>
    <w:p xmlns:wp14="http://schemas.microsoft.com/office/word/2010/wordml" w:rsidRPr="003B1839" w:rsidR="001860AB" w:rsidP="001860AB" w:rsidRDefault="001860AB" w14:paraId="5666A094" wp14:textId="77777777">
      <w:r w:rsidRPr="00F75E45">
        <w:rPr>
          <w:rStyle w:val="Style13ptBold"/>
        </w:rPr>
        <w:t>Vehmas &amp; Watson 13</w:t>
      </w:r>
      <w:r w:rsidRPr="003B2B7D">
        <w:t xml:space="preserve"> </w:t>
      </w:r>
      <w:r w:rsidRPr="003B1839">
        <w:t>(Simo Vehmas &amp; Nick Watson, “Moral wrongs, disadvantages, and disability: a critique of critical disability studies”, p. 646-648)</w:t>
      </w:r>
    </w:p>
    <w:p xmlns:wp14="http://schemas.microsoft.com/office/word/2010/wordml" w:rsidR="001860AB" w:rsidP="001860AB" w:rsidRDefault="001860AB" w14:paraId="57AB2AA6" wp14:textId="77777777">
      <w:pPr>
        <w:rPr>
          <w:sz w:val="16"/>
        </w:rPr>
      </w:pPr>
      <w:r w:rsidRPr="002B5219">
        <w:t xml:space="preserve">Critical disability studies and justice </w:t>
      </w:r>
      <w:r w:rsidRPr="002B5219">
        <w:rPr>
          <w:sz w:val="16"/>
        </w:rPr>
        <w:t xml:space="preserve">The influence of CDS and its challenge to the assumption that disability is a uniform condition have enabled the emergence of new ideas on disability. In particular, this has enabled the development of a theory that can take account of not only impairment effects but also can include class, ethnicity, sexual orientation or cultural identities. It has also argued for the re-emergence of a new political identity, one where a solidarity that was previously built on a common single identity is replaced by one that incorporates multiple voices including representatives from across the range of constituencies. The politics that it seeks to develop will be the ending of the single interest group identity of the disability movement to be replaced by single-issue groups campaigning for different social issues. To paraphrase Lister (1998, 74), </w:t>
      </w:r>
      <w:r w:rsidRPr="002B5219">
        <w:rPr>
          <w:rStyle w:val="StyleUnderline"/>
        </w:rPr>
        <w:t xml:space="preserve">if disability and impairment are simply to be ‘deconstructed into a kaleidoscope of shifting identities’ and ableist discourses, </w:t>
      </w:r>
      <w:r w:rsidRPr="002B5219">
        <w:rPr>
          <w:b/>
          <w:u w:val="single"/>
        </w:rPr>
        <w:t xml:space="preserve">there will be no disabled people left to either fight for the right to be, or to be a citizen. </w:t>
      </w:r>
      <w:r w:rsidRPr="002B5219">
        <w:rPr>
          <w:sz w:val="16"/>
        </w:rPr>
        <w:t xml:space="preserve">If the principles of CDS are evaluated critically in the light of disadvantage, its analytical and political value becomes questionable. Its relativism and its suggestions that impairments are ethically and politically merely neutral differences are false. </w:t>
      </w:r>
      <w:r w:rsidRPr="002B5219">
        <w:rPr>
          <w:rStyle w:val="StyleUnderline"/>
        </w:rPr>
        <w:t>Impairments often have very tangible effects on people’s well-being</w:t>
      </w:r>
      <w:r w:rsidRPr="002B5219">
        <w:rPr>
          <w:sz w:val="16"/>
        </w:rPr>
        <w:t xml:space="preserve">, many of </w:t>
      </w:r>
      <w:r w:rsidRPr="002B5219">
        <w:rPr>
          <w:rStyle w:val="StyleUnderline"/>
        </w:rPr>
        <w:t>which cannot be explained away by deconstruction</w:t>
      </w:r>
      <w:r w:rsidRPr="002B5219">
        <w:rPr>
          <w:sz w:val="16"/>
        </w:rPr>
        <w:t xml:space="preserve"> (for example, Shakespeare 2006; Thomas 1999). </w:t>
      </w:r>
      <w:r w:rsidRPr="002B5219">
        <w:rPr>
          <w:rStyle w:val="StyleUnderline"/>
        </w:rPr>
        <w:t>Recognizing impairment effects is necessary in order to secure proper treatment and social arrangements that enhance disabled people’s well-being and social participation. CDS runs the risk of dismissing</w:t>
      </w:r>
      <w:r w:rsidRPr="002B5219">
        <w:rPr>
          <w:sz w:val="16"/>
        </w:rPr>
        <w:t xml:space="preserve"> not only the personal experiences of living with impairment, but also </w:t>
      </w:r>
      <w:r w:rsidRPr="002B5219">
        <w:rPr>
          <w:rStyle w:val="StyleUnderline"/>
        </w:rPr>
        <w:t>the significance of the differences between socially created disadvantages.</w:t>
      </w:r>
      <w:r w:rsidRPr="002B5219">
        <w:rPr>
          <w:sz w:val="16"/>
        </w:rPr>
        <w:t xml:space="preserve"> These </w:t>
      </w:r>
      <w:r w:rsidRPr="002B5219">
        <w:rPr>
          <w:rStyle w:val="StyleUnderline"/>
        </w:rPr>
        <w:t>disadvantages</w:t>
      </w:r>
      <w:r w:rsidRPr="002B5219">
        <w:rPr>
          <w:sz w:val="16"/>
        </w:rPr>
        <w:t xml:space="preserve"> that </w:t>
      </w:r>
      <w:r w:rsidRPr="002B5219">
        <w:rPr>
          <w:rStyle w:val="StyleUnderline"/>
        </w:rPr>
        <w:t>often result from oppressive social arrangements</w:t>
      </w:r>
      <w:r w:rsidRPr="002B5219">
        <w:rPr>
          <w:sz w:val="16"/>
        </w:rPr>
        <w:t xml:space="preserve">, are very much real and take place in different ways for different disadvantaged groups. </w:t>
      </w:r>
      <w:r w:rsidRPr="002B5219">
        <w:rPr>
          <w:rStyle w:val="StyleUnderline"/>
        </w:rPr>
        <w:t>Disabled people typically experience disadvantage in relation to the market and capitalism</w:t>
      </w:r>
      <w:r w:rsidRPr="002B5219">
        <w:rPr>
          <w:sz w:val="16"/>
        </w:rPr>
        <w:t xml:space="preserve">, and </w:t>
      </w:r>
      <w:r w:rsidRPr="002B5219">
        <w:rPr>
          <w:rStyle w:val="StyleUnderline"/>
        </w:rPr>
        <w:t>they have to a large extent been excluded from employment and from equal social participation</w:t>
      </w:r>
      <w:r w:rsidRPr="002B5219">
        <w:rPr>
          <w:sz w:val="16"/>
        </w:rPr>
        <w:t xml:space="preserve">, respect and wealth (Wolff and De-Shalit 2007, 26). On top of these materialist disadvantages, disabled people are stigmatized as deviant and undesirable, and also subordinated to various oppressive hierarchical relations. </w:t>
      </w:r>
      <w:r w:rsidRPr="002B5219">
        <w:rPr>
          <w:rStyle w:val="StyleUnderline"/>
        </w:rPr>
        <w:t xml:space="preserve">For disabled people to achieve participatory parity, they require more than recognition; </w:t>
      </w:r>
      <w:r w:rsidRPr="002B5219">
        <w:rPr>
          <w:b/>
          <w:u w:val="single"/>
        </w:rPr>
        <w:t>they need material help, targeted resource enhancement, and personal enhancement</w:t>
      </w:r>
      <w:r w:rsidRPr="002B5219">
        <w:rPr>
          <w:sz w:val="16"/>
        </w:rPr>
        <w:t xml:space="preserve"> (Wolff and De-Shalit 2007). </w:t>
      </w:r>
      <w:r w:rsidRPr="002B5219">
        <w:rPr>
          <w:rStyle w:val="StyleUnderline"/>
        </w:rPr>
        <w:t>Disability is rooted in the economic structures of society and demands redistribution of goods and wealth.</w:t>
      </w:r>
      <w:r w:rsidRPr="002B5219">
        <w:rPr>
          <w:sz w:val="16"/>
        </w:rPr>
        <w:t xml:space="preserve"> In contrast to some other oppressed groups, disabled people require more than the removal of barriers if they are to achieve social justice. This extra help might be small – for example, allowing a student with dyslexia extra time in an examination – through to complex interventions such as facilitated communication, a job support worker or 24-hour personal assistance. Whatever the size, it is an extra cost both to employers and to the state. These are real needs and represent real differences. Without an acceptance of these differences it is hard to see how we could move forward. Whilst these ‘real differences’ can be presented as the result of dominant ableist discourses where disabled people’s needs are regarded as extra cost, this does not solve the problem. </w:t>
      </w:r>
      <w:r w:rsidRPr="002B5219">
        <w:rPr>
          <w:rStyle w:val="StyleUnderline"/>
        </w:rPr>
        <w:t xml:space="preserve">The problems disabled people face require </w:t>
      </w:r>
      <w:r w:rsidRPr="002B5219">
        <w:rPr>
          <w:b/>
          <w:u w:val="single"/>
        </w:rPr>
        <w:t>more than ideological change</w:t>
      </w:r>
      <w:r w:rsidRPr="002B5219">
        <w:rPr>
          <w:rStyle w:val="StyleUnderline"/>
        </w:rPr>
        <w:t xml:space="preserve">, and ideological change is of little use if it does not result in material change. CDS </w:t>
      </w:r>
      <w:r w:rsidRPr="002B5219">
        <w:rPr>
          <w:b/>
          <w:u w:val="single"/>
        </w:rPr>
        <w:t>fails to account for the economic basis of disability</w:t>
      </w:r>
      <w:r w:rsidRPr="002B5219">
        <w:rPr>
          <w:rStyle w:val="StyleUnderline"/>
        </w:rPr>
        <w:t xml:space="preserve"> and offers only the tools of deconstruction and the abolishment of cultural hierarchies to eradicate economic injustice. This</w:t>
      </w:r>
      <w:r w:rsidRPr="002B5219">
        <w:rPr>
          <w:sz w:val="16"/>
        </w:rPr>
        <w:t xml:space="preserve">, as Fraser (2000) has argued, </w:t>
      </w:r>
      <w:r w:rsidRPr="002B5219">
        <w:rPr>
          <w:rStyle w:val="StyleUnderline"/>
        </w:rPr>
        <w:t>would be possible in a society where there were no relatively autonomous markets and the distribution of goods were regulated through cultural values.</w:t>
      </w:r>
      <w:r w:rsidRPr="002B5219">
        <w:rPr>
          <w:sz w:val="16"/>
        </w:rPr>
        <w:t xml:space="preserve"> In such a society, oppression based on identity would translate perfectly into economic injustice and maldistribution. </w:t>
      </w:r>
      <w:r w:rsidRPr="002B5219">
        <w:rPr>
          <w:rStyle w:val="StyleUnderline"/>
        </w:rPr>
        <w:t>This is far from the current reality where ‘marketization has pervaded all societies to some degree</w:t>
      </w:r>
      <w:r w:rsidRPr="002B5219">
        <w:rPr>
          <w:sz w:val="16"/>
        </w:rPr>
        <w:t xml:space="preserve">, at least partially decoupling economic mechanisms of distribution from cultural patterns of value and prestige’ (Fraser 2000, 111). Markets are not controlled by nor are they subsidiary to culture; ‘as a result they generate economic inequalities that are not mere expressions of identity hierarchies’ (Fraser 2000, 111–112). The disadvantage related to disability is to a great extent a matter of economic injustice, and </w:t>
      </w:r>
      <w:r w:rsidRPr="002B5219">
        <w:rPr>
          <w:rStyle w:val="StyleUnderline"/>
        </w:rPr>
        <w:lastRenderedPageBreak/>
        <w:t xml:space="preserve">before this injustice can be corrected we have to be able to identify those individuals and social groups that have been disadvantaged by social arrangements. Whilst this does create and foster categories and binaries between groups of people, it also requires some sort of categories to start with; namely, the various categories of disadvantage. </w:t>
      </w:r>
      <w:r w:rsidRPr="002B5219">
        <w:rPr>
          <w:sz w:val="16"/>
        </w:rPr>
        <w:t xml:space="preserve">Both the social and physical mechanisms that produce human diversity are real, and they produce tangible differences that cannot be challenged, let alone abolished, merely by pointing out the wanton nature of difference, and deconstructing the meanings attached to disability. Changing the social conditions that disadvantage and disable some people demands that the diverse, sometimes dualistic, reality of social advantage and disadvantage between different groups of people is recognized. This is exactly why group identities based on, for example, impairment, gender, or sexuality have been invaluable tools in the resistance against discrimination and oppression – in the fight against socially produced disadvantage. </w:t>
      </w:r>
      <w:r w:rsidRPr="002B5219">
        <w:rPr>
          <w:rStyle w:val="StyleUnderline"/>
        </w:rPr>
        <w:t>Confident, positive disability identity has enabled many disabled people to actively challenge the status quo that disadvantages them and to claim rights and power and participation in dominant institutions.</w:t>
      </w:r>
      <w:r w:rsidRPr="002B5219">
        <w:rPr>
          <w:sz w:val="16"/>
        </w:rPr>
        <w:t xml:space="preserve"> Being different from the so-called normal majority is no longer considered to conflict with a good life, equality and respect. Quite the opposite, </w:t>
      </w:r>
      <w:r w:rsidRPr="002B5219">
        <w:rPr>
          <w:rStyle w:val="StyleUnderline"/>
        </w:rPr>
        <w:t>positive realization of one’s difference has been liberating and empowering to many disabled people</w:t>
      </w:r>
      <w:r w:rsidRPr="002B5219">
        <w:rPr>
          <w:sz w:val="16"/>
        </w:rPr>
        <w:t xml:space="preserve"> (Shakespeare 2006; Morris 1991). For a radical and active disability movement to emerge and for disabled people to take action on their own account, they have to see themselves as an unfairly marginalized or disadvantaged constituency and a minority group (Shakespeare and Watson 2001). </w:t>
      </w:r>
      <w:r w:rsidRPr="002B5219">
        <w:rPr>
          <w:rStyle w:val="StyleUnderline"/>
        </w:rPr>
        <w:t xml:space="preserve">The category disabled/ non-disabled is a good abstraction that can </w:t>
      </w:r>
      <w:r w:rsidRPr="002B5219">
        <w:rPr>
          <w:b/>
          <w:u w:val="single"/>
        </w:rPr>
        <w:t>enable the development of communities of resistance</w:t>
      </w:r>
      <w:r w:rsidRPr="002B5219">
        <w:rPr>
          <w:sz w:val="16"/>
        </w:rPr>
        <w:t xml:space="preserve">, and without it is hard to see how these could develop. CDS is premised on the idea that difference acts as a precursor to the normalizing of behaviour and a requirement to treat people differently and, importantly, less favourably. There is, however, no evidence to suggest that the categories that are applied to disabled people create an unnecessary divide between disabled and nondisabled people. You could equally make the point that </w:t>
      </w:r>
      <w:r w:rsidRPr="002B5219">
        <w:rPr>
          <w:rStyle w:val="StyleUnderline"/>
        </w:rPr>
        <w:t>without these categories we would not know what it is we have to do, what actions we have to take or what services we have to put in place to include disabled people.</w:t>
      </w:r>
      <w:r w:rsidRPr="002B5219">
        <w:rPr>
          <w:sz w:val="16"/>
        </w:rPr>
        <w:t xml:space="preserve"> Indeed, </w:t>
      </w:r>
      <w:r w:rsidRPr="002B5219">
        <w:rPr>
          <w:rStyle w:val="StyleUnderline"/>
        </w:rPr>
        <w:t>for many disabled people the disadvantages they are subjected to arise not as the result of domination but through neglect and the denial of services and through society failing to take responsibility for those in need.</w:t>
      </w:r>
      <w:r w:rsidRPr="002B5219">
        <w:rPr>
          <w:sz w:val="16"/>
        </w:rPr>
        <w:t xml:space="preserve"> As Wolff (2009, 114) points out: ‘anti-discrimination policy needs to identify a group to be protected.’ In other words, </w:t>
      </w:r>
      <w:r w:rsidRPr="002B5219">
        <w:rPr>
          <w:rStyle w:val="StyleUnderline"/>
        </w:rPr>
        <w:t>it is impossible to fight the oppression of a group of people that does not exist.</w:t>
      </w:r>
      <w:r w:rsidRPr="002B5219">
        <w:rPr>
          <w:sz w:val="16"/>
        </w:rPr>
        <w:t xml:space="preserve"> Recognition of impairment is also crucial regarding legislation and policy that aim to protect disabled people against discrimination. </w:t>
      </w:r>
      <w:r w:rsidRPr="002B5219">
        <w:rPr>
          <w:rStyle w:val="StyleUnderline"/>
        </w:rPr>
        <w:t>The point of anti-discrimination legislation is to protect people from discrimination on the basis of their physical and mental properties, not on their opportunity to achieve equal participation and respect.</w:t>
      </w:r>
      <w:r w:rsidRPr="002B5219">
        <w:rPr>
          <w:sz w:val="16"/>
        </w:rPr>
        <w:t xml:space="preserve"> Thus, ‘the parallel to race and gender is not disability but impairment’ (Wolff 2009, 135).</w:t>
      </w:r>
    </w:p>
    <w:p xmlns:wp14="http://schemas.microsoft.com/office/word/2010/wordml" w:rsidR="001860AB" w:rsidP="00783CB3" w:rsidRDefault="001860AB" w14:paraId="63E29DB9" wp14:textId="77777777">
      <w:pPr>
        <w:pStyle w:val="Heading2"/>
      </w:pPr>
      <w:r>
        <w:lastRenderedPageBreak/>
        <w:t>AFF on the NEG</w:t>
      </w:r>
    </w:p>
    <w:p xmlns:wp14="http://schemas.microsoft.com/office/word/2010/wordml" w:rsidR="001860AB" w:rsidP="00783CB3" w:rsidRDefault="001860AB" w14:paraId="64D299B4" wp14:textId="77777777">
      <w:pPr>
        <w:pStyle w:val="Heading3"/>
        <w:rPr>
          <w:rFonts w:eastAsia="Times New Roman"/>
        </w:rPr>
      </w:pPr>
      <w:r>
        <w:rPr>
          <w:rFonts w:eastAsia="Times New Roman"/>
        </w:rPr>
        <w:lastRenderedPageBreak/>
        <w:t>L: Anzaldua/Border Art</w:t>
      </w:r>
    </w:p>
    <w:p xmlns:wp14="http://schemas.microsoft.com/office/word/2010/wordml" w:rsidRPr="00AC1C1F" w:rsidR="001860AB" w:rsidP="001860AB" w:rsidRDefault="001860AB" w14:paraId="3A8696A9" wp14:textId="77777777">
      <w:pPr>
        <w:pStyle w:val="Heading4"/>
        <w:rPr>
          <w:rFonts w:ascii="Times New Roman" w:hAnsi="Times New Roman" w:eastAsia="Times New Roman" w:cs="Times New Roman"/>
          <w:sz w:val="24"/>
          <w:szCs w:val="24"/>
        </w:rPr>
      </w:pPr>
      <w:r w:rsidRPr="00AC1C1F">
        <w:rPr>
          <w:rFonts w:eastAsia="Times New Roman"/>
        </w:rPr>
        <w:t xml:space="preserve">Disability is a primary marker against which minoritized subjects make calls for recognition and the granting of rights -- minority appeals </w:t>
      </w:r>
      <w:r>
        <w:rPr>
          <w:rFonts w:eastAsia="Times New Roman"/>
        </w:rPr>
        <w:t xml:space="preserve">for </w:t>
      </w:r>
      <w:r w:rsidRPr="00AC1C1F">
        <w:rPr>
          <w:rFonts w:eastAsia="Times New Roman"/>
        </w:rPr>
        <w:t>recognition are terminally flawed because they rely upon juxtaposing themselves against the presumed-incompetent figure of the disabled</w:t>
      </w:r>
      <w:r>
        <w:rPr>
          <w:rFonts w:eastAsia="Times New Roman"/>
        </w:rPr>
        <w:t>, turns AFF</w:t>
      </w:r>
    </w:p>
    <w:p xmlns:wp14="http://schemas.microsoft.com/office/word/2010/wordml" w:rsidRPr="00AC1C1F" w:rsidR="001860AB" w:rsidP="001860AB" w:rsidRDefault="001860AB" w14:paraId="168D2CCA" wp14:textId="77777777">
      <w:pPr>
        <w:spacing w:after="0" w:line="240" w:lineRule="auto"/>
        <w:rPr>
          <w:rFonts w:ascii="Times New Roman" w:hAnsi="Times New Roman" w:eastAsia="Times New Roman" w:cs="Times New Roman"/>
          <w:sz w:val="24"/>
          <w:szCs w:val="24"/>
        </w:rPr>
      </w:pPr>
      <w:r w:rsidRPr="00AC1C1F">
        <w:rPr>
          <w:rStyle w:val="Style13ptBold"/>
        </w:rPr>
        <w:t>Ferguson 12</w:t>
      </w:r>
      <w:r w:rsidRPr="00AC1C1F">
        <w:rPr>
          <w:rFonts w:eastAsia="Times New Roman"/>
          <w:color w:val="000000"/>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139-142]</w:t>
      </w:r>
      <w:r w:rsidRPr="00AC1C1F">
        <w:rPr>
          <w:rFonts w:eastAsia="Times New Roman"/>
          <w:color w:val="000000"/>
          <w:sz w:val="20"/>
          <w:szCs w:val="20"/>
        </w:rPr>
        <w:tab/>
      </w:r>
    </w:p>
    <w:p xmlns:wp14="http://schemas.microsoft.com/office/word/2010/wordml" w:rsidRPr="00AC1C1F" w:rsidR="001860AB" w:rsidP="001860AB" w:rsidRDefault="001860AB" w14:paraId="36FEB5B0" wp14:textId="77777777">
      <w:pPr>
        <w:spacing w:after="0" w:line="240" w:lineRule="auto"/>
        <w:rPr>
          <w:rFonts w:ascii="Times New Roman" w:hAnsi="Times New Roman" w:eastAsia="Times New Roman" w:cs="Times New Roman"/>
          <w:sz w:val="24"/>
          <w:szCs w:val="24"/>
        </w:rPr>
      </w:pPr>
      <w:r w:rsidRPr="00AC1C1F">
        <w:rPr>
          <w:rFonts w:eastAsia="Times New Roman"/>
          <w:color w:val="000000"/>
          <w:sz w:val="20"/>
          <w:szCs w:val="20"/>
        </w:rPr>
        <w:tab/>
      </w:r>
      <w:r w:rsidRPr="00AC1C1F">
        <w:rPr>
          <w:rFonts w:eastAsia="Times New Roman"/>
          <w:color w:val="000000"/>
          <w:sz w:val="20"/>
          <w:szCs w:val="20"/>
        </w:rPr>
        <w:tab/>
      </w:r>
      <w:r w:rsidRPr="00AC1C1F">
        <w:rPr>
          <w:rFonts w:eastAsia="Times New Roman"/>
          <w:color w:val="000000"/>
          <w:sz w:val="20"/>
          <w:szCs w:val="20"/>
        </w:rPr>
        <w:tab/>
      </w:r>
      <w:r w:rsidRPr="00AC1C1F">
        <w:rPr>
          <w:rFonts w:eastAsia="Times New Roman"/>
          <w:color w:val="000000"/>
          <w:sz w:val="20"/>
          <w:szCs w:val="20"/>
        </w:rPr>
        <w:tab/>
      </w:r>
      <w:r w:rsidRPr="00AC1C1F">
        <w:rPr>
          <w:rFonts w:eastAsia="Times New Roman"/>
          <w:color w:val="000000"/>
          <w:sz w:val="20"/>
          <w:szCs w:val="20"/>
        </w:rPr>
        <w:tab/>
      </w:r>
      <w:r w:rsidRPr="00AC1C1F">
        <w:rPr>
          <w:rFonts w:eastAsia="Times New Roman"/>
          <w:color w:val="000000"/>
          <w:sz w:val="20"/>
          <w:szCs w:val="20"/>
        </w:rPr>
        <w:tab/>
      </w:r>
    </w:p>
    <w:p xmlns:wp14="http://schemas.microsoft.com/office/word/2010/wordml" w:rsidRPr="00AC1C1F" w:rsidR="001860AB" w:rsidP="001860AB" w:rsidRDefault="001860AB" w14:paraId="144FA896" wp14:textId="77777777">
      <w:pPr>
        <w:spacing w:after="0" w:line="240" w:lineRule="auto"/>
        <w:rPr>
          <w:rFonts w:ascii="Times New Roman" w:hAnsi="Times New Roman" w:eastAsia="Times New Roman" w:cs="Times New Roman"/>
          <w:sz w:val="24"/>
          <w:szCs w:val="24"/>
        </w:rPr>
      </w:pPr>
      <w:r w:rsidRPr="00AC1C1F">
        <w:rPr>
          <w:rFonts w:eastAsia="Times New Roman"/>
          <w:color w:val="000000"/>
          <w:sz w:val="18"/>
          <w:szCs w:val="18"/>
        </w:rPr>
        <w:t xml:space="preserve">As </w:t>
      </w:r>
      <w:r w:rsidRPr="00AC1C1F">
        <w:rPr>
          <w:rFonts w:eastAsia="Times New Roman"/>
          <w:color w:val="000000"/>
          <w:sz w:val="20"/>
          <w:szCs w:val="20"/>
        </w:rPr>
        <w:t xml:space="preserve">the short story uses Miss Hazel to sunder logics that contrive hierarchies of lower and higher intelligences, "My Man Bovanne" uses Bovanne him- self to disrupt the able-ism of national liberation. In doing so, the short story exposes the ways in which </w:t>
      </w:r>
      <w:r w:rsidRPr="00AC1C1F">
        <w:rPr>
          <w:rFonts w:eastAsia="Times New Roman"/>
          <w:b/>
          <w:bCs/>
          <w:color w:val="000000"/>
          <w:sz w:val="20"/>
          <w:szCs w:val="20"/>
          <w:u w:val="single"/>
        </w:rPr>
        <w:t>national liberation in general, and black nationalism in particular, not only naturalized heteronormativity but able- bodiedness</w:t>
      </w:r>
      <w:r w:rsidRPr="00AC1C1F">
        <w:rPr>
          <w:rFonts w:eastAsia="Times New Roman"/>
          <w:color w:val="000000"/>
          <w:sz w:val="20"/>
          <w:szCs w:val="20"/>
        </w:rPr>
        <w:t xml:space="preserve"> too. As such, </w:t>
      </w:r>
      <w:r w:rsidRPr="00AC1C1F">
        <w:rPr>
          <w:rFonts w:eastAsia="Times New Roman"/>
          <w:b/>
          <w:bCs/>
          <w:color w:val="000000"/>
          <w:sz w:val="20"/>
          <w:szCs w:val="20"/>
          <w:u w:val="single"/>
        </w:rPr>
        <w:t xml:space="preserve">we can read </w:t>
      </w:r>
      <w:r w:rsidRPr="00AC1C1F">
        <w:rPr>
          <w:rFonts w:eastAsia="Times New Roman"/>
          <w:color w:val="000000"/>
          <w:sz w:val="20"/>
          <w:szCs w:val="20"/>
          <w:u w:val="single"/>
        </w:rPr>
        <w:t xml:space="preserve">the character Bovanne as a metaphor </w:t>
      </w:r>
      <w:r w:rsidRPr="00AC1C1F">
        <w:rPr>
          <w:rFonts w:eastAsia="Times New Roman"/>
          <w:b/>
          <w:bCs/>
          <w:color w:val="000000"/>
          <w:sz w:val="20"/>
          <w:szCs w:val="20"/>
          <w:u w:val="single"/>
        </w:rPr>
        <w:t>for the debilities caused by U.S. racial projects and the dominant response of antiracist social movements to those debilities</w:t>
      </w:r>
      <w:r w:rsidRPr="00AC1C1F">
        <w:rPr>
          <w:rFonts w:eastAsia="Times New Roman"/>
          <w:color w:val="000000"/>
          <w:sz w:val="20"/>
          <w:szCs w:val="20"/>
        </w:rPr>
        <w:t>. Elaborating on the historic function of disability as a metaphor for minority status, dis- ability studies scholar Douglas C. Baynton observes, "</w:t>
      </w:r>
      <w:r w:rsidRPr="00AC1C1F">
        <w:rPr>
          <w:rFonts w:eastAsia="Times New Roman"/>
          <w:b/>
          <w:bCs/>
          <w:color w:val="000000"/>
          <w:sz w:val="20"/>
          <w:szCs w:val="20"/>
          <w:u w:val="single"/>
        </w:rPr>
        <w:t>Disability has functioned historically to justify inequality for disabled people themselves, but it has also done so for women and minority groups.</w:t>
      </w:r>
      <w:r w:rsidRPr="00AC1C1F">
        <w:rPr>
          <w:rFonts w:eastAsia="Times New Roman"/>
          <w:color w:val="000000"/>
          <w:sz w:val="20"/>
          <w:szCs w:val="20"/>
        </w:rPr>
        <w:t xml:space="preserve"> </w:t>
      </w:r>
      <w:r w:rsidRPr="00AC1C1F">
        <w:rPr>
          <w:rFonts w:eastAsia="Times New Roman"/>
          <w:color w:val="000000"/>
          <w:sz w:val="18"/>
          <w:szCs w:val="18"/>
        </w:rPr>
        <w:t xml:space="preserve">"67 </w:t>
      </w:r>
      <w:r w:rsidRPr="00AC1C1F">
        <w:rPr>
          <w:rFonts w:eastAsia="Times New Roman"/>
          <w:color w:val="000000"/>
          <w:sz w:val="20"/>
          <w:szCs w:val="20"/>
        </w:rPr>
        <w:t xml:space="preserve">Historically attrib- uted to U.S. minority groups, disability has also justified discrimination against those groups, becoming "a significant factor in three great citizen- ship debates of the nineteenth and early twentieth centuries: women's suf- frage, African American freedom and civil rights, and the restriction of immigration. </w:t>
      </w:r>
      <w:r w:rsidRPr="00AC1C1F">
        <w:rPr>
          <w:rFonts w:eastAsia="Times New Roman"/>
          <w:color w:val="000000"/>
          <w:sz w:val="18"/>
          <w:szCs w:val="18"/>
        </w:rPr>
        <w:t xml:space="preserve">"68 </w:t>
      </w:r>
      <w:r w:rsidRPr="00AC1C1F">
        <w:rPr>
          <w:rFonts w:eastAsia="Times New Roman"/>
          <w:b/>
          <w:bCs/>
          <w:color w:val="000000"/>
          <w:sz w:val="20"/>
          <w:szCs w:val="20"/>
          <w:u w:val="single"/>
        </w:rPr>
        <w:t>In the context of the extension and denial of citizenship, disability was used to "clarify and define who deserved, and who was deservedly excluded from, citizenship</w:t>
      </w:r>
      <w:r w:rsidRPr="00AC1C1F">
        <w:rPr>
          <w:rFonts w:eastAsia="Times New Roman"/>
          <w:color w:val="000000"/>
          <w:sz w:val="20"/>
          <w:szCs w:val="20"/>
        </w:rPr>
        <w:t>.</w:t>
      </w:r>
      <w:r w:rsidRPr="00AC1C1F">
        <w:rPr>
          <w:rFonts w:eastAsia="Times New Roman"/>
          <w:color w:val="000000"/>
          <w:sz w:val="14"/>
          <w:szCs w:val="14"/>
        </w:rPr>
        <w:t xml:space="preserve">"69 </w:t>
      </w:r>
      <w:r w:rsidRPr="00AC1C1F">
        <w:rPr>
          <w:rFonts w:eastAsia="Times New Roman"/>
          <w:color w:val="000000"/>
          <w:sz w:val="20"/>
          <w:szCs w:val="20"/>
        </w:rPr>
        <w:t xml:space="preserve">In terms of the short story, Bovanne refers both to the discrimination and paternalism suffered by disabled persons within the United States and to disability's role in the grammar of African American citizenship. </w:t>
      </w:r>
      <w:r w:rsidRPr="00AC1C1F">
        <w:rPr>
          <w:rFonts w:eastAsia="Times New Roman"/>
          <w:color w:val="000000"/>
          <w:u w:val="single"/>
        </w:rPr>
        <w:t xml:space="preserve">If </w:t>
      </w:r>
      <w:r w:rsidRPr="00AC1C1F">
        <w:rPr>
          <w:rFonts w:eastAsia="Times New Roman"/>
          <w:color w:val="000000"/>
          <w:sz w:val="20"/>
          <w:szCs w:val="20"/>
          <w:u w:val="single"/>
        </w:rPr>
        <w:t>disability justified exclusions from citizenship, then Bovanne stands for an inaugural loss that founds African Americans' historic exclusions from the rights and privileges of U.S. citizenship</w:t>
      </w:r>
      <w:r w:rsidRPr="00AC1C1F">
        <w:rPr>
          <w:rFonts w:eastAsia="Times New Roman"/>
          <w:color w:val="000000"/>
          <w:sz w:val="20"/>
          <w:szCs w:val="20"/>
        </w:rPr>
        <w:t>. Explaining the function of disability in the racialized exclusions of citizenship, Baynton notes that "</w:t>
      </w:r>
      <w:r w:rsidRPr="00AC1C1F">
        <w:rPr>
          <w:rFonts w:eastAsia="Times New Roman"/>
          <w:color w:val="000000"/>
          <w:sz w:val="20"/>
          <w:szCs w:val="20"/>
          <w:u w:val="single"/>
        </w:rPr>
        <w:t>arguments for racial inequality and immigration restrictions invoked tendencies to feeble-mindedness, mental illness, deafness, blindness, and other disabilities in particular races and ethnic groups.</w:t>
      </w:r>
      <w:r w:rsidRPr="00AC1C1F">
        <w:rPr>
          <w:rFonts w:eastAsia="Times New Roman"/>
          <w:color w:val="000000"/>
          <w:sz w:val="20"/>
          <w:szCs w:val="20"/>
        </w:rPr>
        <w:t xml:space="preserve">"70 Within a context in which </w:t>
      </w:r>
      <w:r w:rsidRPr="00AC1C1F">
        <w:rPr>
          <w:rFonts w:eastAsia="Times New Roman"/>
          <w:b/>
          <w:bCs/>
          <w:color w:val="000000"/>
          <w:sz w:val="20"/>
          <w:szCs w:val="20"/>
          <w:u w:val="single"/>
        </w:rPr>
        <w:t>disability has structured racial inequality</w:t>
      </w:r>
      <w:r w:rsidRPr="00AC1C1F">
        <w:rPr>
          <w:rFonts w:eastAsia="Times New Roman"/>
          <w:color w:val="000000"/>
          <w:sz w:val="20"/>
          <w:szCs w:val="20"/>
        </w:rPr>
        <w:t xml:space="preserve">, Bovanne </w:t>
      </w:r>
      <w:r w:rsidRPr="00AC1C1F">
        <w:rPr>
          <w:rFonts w:eastAsia="Times New Roman"/>
          <w:color w:val="000000"/>
          <w:sz w:val="18"/>
          <w:szCs w:val="18"/>
        </w:rPr>
        <w:t xml:space="preserve">is </w:t>
      </w:r>
      <w:r w:rsidRPr="00AC1C1F">
        <w:rPr>
          <w:rFonts w:eastAsia="Times New Roman"/>
          <w:color w:val="000000"/>
          <w:sz w:val="20"/>
          <w:szCs w:val="20"/>
        </w:rPr>
        <w:t>the figure of abjection that disturbs the order, identity, and system of citizenship and national identity. As citizenship and national identity depend on regulatory discourses about sexuality, Bovanne also represents a disturbance to national identity's regulation of sexuality. Theorizing the relationship between heterosexual- ity and disability, Robert McRuer argues that "</w:t>
      </w:r>
      <w:r w:rsidRPr="00AC1C1F">
        <w:rPr>
          <w:rFonts w:eastAsia="Times New Roman"/>
          <w:b/>
          <w:bCs/>
          <w:color w:val="000000"/>
          <w:sz w:val="20"/>
          <w:szCs w:val="20"/>
          <w:u w:val="single"/>
        </w:rPr>
        <w:t xml:space="preserve">the system of compulsory able-bodiedness, which in a sense produces disability, </w:t>
      </w:r>
      <w:r w:rsidRPr="00AC1C1F">
        <w:rPr>
          <w:rFonts w:eastAsia="Times New Roman"/>
          <w:b/>
          <w:bCs/>
          <w:color w:val="000000"/>
          <w:sz w:val="18"/>
          <w:szCs w:val="18"/>
          <w:u w:val="single"/>
        </w:rPr>
        <w:t xml:space="preserve">is </w:t>
      </w:r>
      <w:r w:rsidRPr="00AC1C1F">
        <w:rPr>
          <w:rFonts w:eastAsia="Times New Roman"/>
          <w:b/>
          <w:bCs/>
          <w:color w:val="000000"/>
          <w:sz w:val="20"/>
          <w:szCs w:val="20"/>
          <w:u w:val="single"/>
        </w:rPr>
        <w:t>thoroughly inter- woven with the system of compulsory heterosexuality that produces queer- ness</w:t>
      </w:r>
      <w:r w:rsidRPr="00AC1C1F">
        <w:rPr>
          <w:rFonts w:eastAsia="Times New Roman"/>
          <w:color w:val="000000"/>
          <w:sz w:val="20"/>
          <w:szCs w:val="20"/>
        </w:rPr>
        <w:t xml:space="preserve">: that, in fact, </w:t>
      </w:r>
      <w:r w:rsidRPr="00AC1C1F">
        <w:rPr>
          <w:rFonts w:eastAsia="Times New Roman"/>
          <w:b/>
          <w:bCs/>
          <w:color w:val="000000"/>
          <w:sz w:val="20"/>
          <w:szCs w:val="20"/>
          <w:u w:val="single"/>
        </w:rPr>
        <w:t xml:space="preserve">compulsory heterosexuality </w:t>
      </w:r>
      <w:r w:rsidRPr="00AC1C1F">
        <w:rPr>
          <w:rFonts w:eastAsia="Times New Roman"/>
          <w:b/>
          <w:bCs/>
          <w:color w:val="000000"/>
          <w:sz w:val="18"/>
          <w:szCs w:val="18"/>
          <w:u w:val="single"/>
        </w:rPr>
        <w:t xml:space="preserve">is </w:t>
      </w:r>
      <w:r w:rsidRPr="00AC1C1F">
        <w:rPr>
          <w:rFonts w:eastAsia="Times New Roman"/>
          <w:b/>
          <w:bCs/>
          <w:color w:val="000000"/>
          <w:sz w:val="20"/>
          <w:szCs w:val="20"/>
          <w:u w:val="single"/>
        </w:rPr>
        <w:t>contingent on compulsory able-bodiedness and vice versa</w:t>
      </w:r>
      <w:r w:rsidRPr="00AC1C1F">
        <w:rPr>
          <w:rFonts w:eastAsia="Times New Roman"/>
          <w:color w:val="000000"/>
          <w:sz w:val="20"/>
          <w:szCs w:val="20"/>
        </w:rPr>
        <w:t xml:space="preserve">. </w:t>
      </w:r>
      <w:r w:rsidRPr="00AC1C1F">
        <w:rPr>
          <w:rFonts w:eastAsia="Times New Roman"/>
          <w:color w:val="000000"/>
          <w:sz w:val="18"/>
          <w:szCs w:val="18"/>
        </w:rPr>
        <w:t xml:space="preserve">"71 </w:t>
      </w:r>
      <w:r w:rsidRPr="00AC1C1F">
        <w:rPr>
          <w:rFonts w:eastAsia="Times New Roman"/>
          <w:color w:val="000000"/>
          <w:sz w:val="20"/>
          <w:szCs w:val="20"/>
        </w:rPr>
        <w:t>In the short story we see heterosexuality's relationship to compulsory able-bodiedness precisely through the drama around Miss Hazel's sexual interest in Bovanne, a drama narrated by the children as a matter of "pride." Just as the kids try to force Miss Hazel's heterosexuality in directions that conform to the party's goals, they also attempt to steer her sexual interests away from Bovanne because of his disability. For her interest in Bovanne, Miss Hazel's children chastise her for being "not too discriminating" and behaving like a hussy. In fact, Elo says, "His feet can smell a cracker a mile away and go into their shuffle number post haste. And them eyes. He could be a little considerate and put on some shades."72 For Elo,</w:t>
      </w:r>
      <w:r w:rsidRPr="00AC1C1F">
        <w:rPr>
          <w:rFonts w:eastAsia="Times New Roman"/>
          <w:b/>
          <w:bCs/>
          <w:color w:val="000000"/>
          <w:sz w:val="20"/>
          <w:szCs w:val="20"/>
        </w:rPr>
        <w:t xml:space="preserve"> </w:t>
      </w:r>
      <w:r w:rsidRPr="00AC1C1F">
        <w:rPr>
          <w:rFonts w:eastAsia="Times New Roman"/>
          <w:color w:val="000000"/>
          <w:sz w:val="20"/>
          <w:szCs w:val="20"/>
          <w:u w:val="single"/>
        </w:rPr>
        <w:t>Bovanne's disability symbolizes the antithesis of revolutionary progress and nationalist pride.</w:t>
      </w:r>
      <w:r w:rsidRPr="00AC1C1F">
        <w:rPr>
          <w:rFonts w:eastAsia="Times New Roman"/>
          <w:color w:val="000000"/>
          <w:sz w:val="20"/>
          <w:szCs w:val="20"/>
        </w:rPr>
        <w:t xml:space="preserve"> Whereas the children's feet lead them to the community and the nation, Bovanne's feet and apolitical nature, symbolized by his blank eyes, run back to Mr. Charlie. In doing so, </w:t>
      </w:r>
      <w:r w:rsidRPr="00AC1C1F">
        <w:rPr>
          <w:rFonts w:eastAsia="Times New Roman"/>
          <w:color w:val="000000"/>
          <w:sz w:val="20"/>
          <w:szCs w:val="20"/>
          <w:u w:val="single"/>
        </w:rPr>
        <w:t>the short story allegorizes how national liberation- with its idealization of black heterosexual masculinity-operates as a simultaneous regime of sexuality and able-bodiedness, in the process using race pride to manage disability and desire.</w:t>
      </w:r>
      <w:r w:rsidRPr="00AC1C1F">
        <w:rPr>
          <w:rFonts w:eastAsia="Times New Roman"/>
          <w:b/>
          <w:bCs/>
          <w:color w:val="000000"/>
          <w:sz w:val="20"/>
          <w:szCs w:val="20"/>
          <w:u w:val="single"/>
        </w:rPr>
        <w:t xml:space="preserve"> </w:t>
      </w:r>
      <w:r w:rsidRPr="00AC1C1F">
        <w:rPr>
          <w:rFonts w:eastAsia="Times New Roman"/>
          <w:color w:val="000000"/>
          <w:sz w:val="18"/>
          <w:szCs w:val="18"/>
        </w:rPr>
        <w:t xml:space="preserve">As </w:t>
      </w:r>
      <w:r w:rsidRPr="00AC1C1F">
        <w:rPr>
          <w:rFonts w:eastAsia="Times New Roman"/>
          <w:color w:val="000000"/>
          <w:sz w:val="20"/>
          <w:szCs w:val="20"/>
        </w:rPr>
        <w:t xml:space="preserve">the antithesis of nationalism's emphasis on black masculine prowess, Bovanne is not only the symbol of an inaugural loss. He is also the meta- phor for an originary denial resting in the bosom of African </w:t>
      </w:r>
      <w:r w:rsidRPr="00AC1C1F">
        <w:rPr>
          <w:rFonts w:eastAsia="Times New Roman"/>
          <w:color w:val="000000"/>
          <w:sz w:val="20"/>
          <w:szCs w:val="20"/>
        </w:rPr>
        <w:lastRenderedPageBreak/>
        <w:t>American lib- eration movements. Discussing this founding refutation in relation to minority movements in the United States, Baynton writes: "</w:t>
      </w:r>
      <w:r w:rsidRPr="00AC1C1F">
        <w:rPr>
          <w:rFonts w:eastAsia="Times New Roman"/>
          <w:b/>
          <w:bCs/>
          <w:color w:val="000000"/>
          <w:sz w:val="20"/>
          <w:szCs w:val="20"/>
          <w:u w:val="single"/>
        </w:rPr>
        <w:t xml:space="preserve">[Disability] figured not just in arguments </w:t>
      </w:r>
      <w:r w:rsidRPr="00AC1C1F">
        <w:rPr>
          <w:rFonts w:eastAsia="Times New Roman"/>
          <w:b/>
          <w:bCs/>
          <w:i/>
          <w:iCs/>
          <w:color w:val="000000"/>
          <w:sz w:val="20"/>
          <w:szCs w:val="20"/>
          <w:u w:val="single"/>
        </w:rPr>
        <w:t xml:space="preserve">for </w:t>
      </w:r>
      <w:r w:rsidRPr="00AC1C1F">
        <w:rPr>
          <w:rFonts w:eastAsia="Times New Roman"/>
          <w:b/>
          <w:bCs/>
          <w:color w:val="000000"/>
          <w:sz w:val="20"/>
          <w:szCs w:val="20"/>
          <w:u w:val="single"/>
        </w:rPr>
        <w:t xml:space="preserve">the inequality of women and minorities but also in arguments </w:t>
      </w:r>
      <w:r w:rsidRPr="00AC1C1F">
        <w:rPr>
          <w:rFonts w:eastAsia="Times New Roman"/>
          <w:b/>
          <w:bCs/>
          <w:i/>
          <w:iCs/>
          <w:color w:val="000000"/>
          <w:sz w:val="18"/>
          <w:szCs w:val="18"/>
          <w:u w:val="single"/>
        </w:rPr>
        <w:t xml:space="preserve">against </w:t>
      </w:r>
      <w:r w:rsidRPr="00AC1C1F">
        <w:rPr>
          <w:rFonts w:eastAsia="Times New Roman"/>
          <w:b/>
          <w:bCs/>
          <w:color w:val="000000"/>
          <w:sz w:val="20"/>
          <w:szCs w:val="20"/>
          <w:u w:val="single"/>
        </w:rPr>
        <w:t>those inequalities. Such arguments took the form of vigorous denials that the groups in question actually had these disabilities.</w:t>
      </w:r>
      <w:r w:rsidRPr="00AC1C1F">
        <w:rPr>
          <w:rFonts w:eastAsia="Times New Roman"/>
          <w:color w:val="000000"/>
          <w:sz w:val="20"/>
          <w:szCs w:val="20"/>
        </w:rPr>
        <w:t xml:space="preserve">" </w:t>
      </w:r>
      <w:r w:rsidRPr="00AC1C1F">
        <w:rPr>
          <w:rFonts w:eastAsia="Times New Roman"/>
          <w:b/>
          <w:bCs/>
          <w:color w:val="000000"/>
          <w:sz w:val="20"/>
          <w:szCs w:val="20"/>
          <w:u w:val="single"/>
        </w:rPr>
        <w:t>Historically, aggrieved groups have denied their purported disabil- ities by arguing that they were able in mind and body and therefore "not the proper subjects of discrimination.</w:t>
      </w:r>
      <w:r w:rsidRPr="00AC1C1F">
        <w:rPr>
          <w:rFonts w:eastAsia="Times New Roman"/>
          <w:color w:val="000000"/>
          <w:sz w:val="20"/>
          <w:szCs w:val="20"/>
        </w:rPr>
        <w:t xml:space="preserve">" </w:t>
      </w:r>
      <w:r w:rsidRPr="00AC1C1F">
        <w:rPr>
          <w:rFonts w:eastAsia="Times New Roman"/>
          <w:color w:val="000000"/>
          <w:sz w:val="18"/>
          <w:szCs w:val="18"/>
        </w:rPr>
        <w:t xml:space="preserve">As </w:t>
      </w:r>
      <w:r w:rsidRPr="00AC1C1F">
        <w:rPr>
          <w:rFonts w:eastAsia="Times New Roman"/>
          <w:color w:val="000000"/>
          <w:sz w:val="20"/>
          <w:szCs w:val="20"/>
        </w:rPr>
        <w:t>Baynton says, "</w:t>
      </w:r>
      <w:r w:rsidRPr="00AC1C1F">
        <w:rPr>
          <w:rFonts w:eastAsia="Times New Roman"/>
          <w:b/>
          <w:bCs/>
          <w:color w:val="000000"/>
          <w:sz w:val="20"/>
          <w:szCs w:val="20"/>
          <w:u w:val="single"/>
        </w:rPr>
        <w:t>Rarely have oppressed groups denied that disability is an adequate justification for social and political inequality.</w:t>
      </w:r>
      <w:r w:rsidRPr="00AC1C1F">
        <w:rPr>
          <w:rFonts w:eastAsia="Times New Roman"/>
          <w:color w:val="000000"/>
          <w:sz w:val="18"/>
          <w:szCs w:val="18"/>
        </w:rPr>
        <w:t xml:space="preserve">"73 As </w:t>
      </w:r>
      <w:r w:rsidRPr="00AC1C1F">
        <w:rPr>
          <w:rFonts w:eastAsia="Times New Roman"/>
          <w:color w:val="000000"/>
          <w:sz w:val="20"/>
          <w:szCs w:val="20"/>
        </w:rPr>
        <w:t xml:space="preserve">an early example of how black liberation struggles invested in ability, </w:t>
      </w:r>
      <w:r w:rsidRPr="00AC1C1F">
        <w:rPr>
          <w:rFonts w:eastAsia="Times New Roman"/>
          <w:color w:val="000000"/>
          <w:sz w:val="18"/>
          <w:szCs w:val="18"/>
        </w:rPr>
        <w:t xml:space="preserve">we </w:t>
      </w:r>
      <w:r w:rsidRPr="00AC1C1F">
        <w:rPr>
          <w:rFonts w:eastAsia="Times New Roman"/>
          <w:color w:val="000000"/>
          <w:sz w:val="20"/>
          <w:szCs w:val="20"/>
        </w:rPr>
        <w:t xml:space="preserve">might only remember Frederick Douglass's claim that "the true basis of rights was the capacity of individuals. </w:t>
      </w:r>
      <w:r w:rsidRPr="00AC1C1F">
        <w:rPr>
          <w:rFonts w:eastAsia="Times New Roman"/>
          <w:color w:val="000000"/>
          <w:sz w:val="18"/>
          <w:szCs w:val="18"/>
        </w:rPr>
        <w:t xml:space="preserve">"74 </w:t>
      </w:r>
      <w:r w:rsidRPr="00AC1C1F">
        <w:rPr>
          <w:rFonts w:eastAsia="Times New Roman"/>
          <w:color w:val="000000"/>
          <w:sz w:val="20"/>
          <w:szCs w:val="20"/>
        </w:rPr>
        <w:t xml:space="preserve">In such a formulation, </w:t>
      </w:r>
      <w:r w:rsidRPr="00AC1C1F">
        <w:rPr>
          <w:rFonts w:eastAsia="Times New Roman"/>
          <w:b/>
          <w:bCs/>
          <w:color w:val="000000"/>
          <w:sz w:val="20"/>
          <w:szCs w:val="20"/>
          <w:u w:val="single"/>
        </w:rPr>
        <w:t>disa- bility becomes not only the sign of incapacity but also the obstacle to an appeal to rights, for bourgeois nationalism, as well as the impediment to national embodiment, for revolutionary nationalism.</w:t>
      </w:r>
      <w:r w:rsidRPr="00AC1C1F">
        <w:rPr>
          <w:rFonts w:eastAsia="Times New Roman"/>
          <w:color w:val="000000"/>
          <w:sz w:val="20"/>
          <w:szCs w:val="20"/>
        </w:rPr>
        <w:t xml:space="preserve"> In the context of the short story, the young activists deny Bovanne in an effort to refute any charge that they and their people are disabled. While Bovanne may be "an adequate justification for social and political inequality," they are not. As the story shows, this denial does not arise from generic circumstances and formations. It is launched from that variety of rights- and nation-based social formations that characterize much of grassroots politics. Before national liberation, Bovanne's disability was agency: he repaired what was broken and everybody liked him. After black nationalism, Bovanne became a pariah whose disability was stripped of any properties that might sustain community. Bovanne stands for a completely new way in which commu- nity began to function with the advent of black nationalism. </w:t>
      </w:r>
      <w:r w:rsidRPr="00AC1C1F">
        <w:rPr>
          <w:rFonts w:eastAsia="Times New Roman"/>
          <w:color w:val="000000"/>
          <w:sz w:val="18"/>
          <w:szCs w:val="18"/>
        </w:rPr>
        <w:t xml:space="preserve">As </w:t>
      </w:r>
      <w:r w:rsidRPr="00AC1C1F">
        <w:rPr>
          <w:rFonts w:eastAsia="Times New Roman"/>
          <w:color w:val="000000"/>
          <w:sz w:val="20"/>
          <w:szCs w:val="20"/>
        </w:rPr>
        <w:t xml:space="preserve">a discursive formation, community began to operate according to able-bodiedness, the short story implies. Through Bovanne, the short story illustrates a consti- tutive but little acknowledged part of the turn toward revolution. </w:t>
      </w:r>
      <w:r w:rsidRPr="00AC1C1F">
        <w:rPr>
          <w:rFonts w:eastAsia="Times New Roman"/>
          <w:color w:val="000000"/>
          <w:sz w:val="18"/>
          <w:szCs w:val="18"/>
        </w:rPr>
        <w:t xml:space="preserve">As </w:t>
      </w:r>
      <w:r w:rsidRPr="00AC1C1F">
        <w:rPr>
          <w:rFonts w:eastAsia="Times New Roman"/>
          <w:color w:val="000000"/>
          <w:sz w:val="20"/>
          <w:szCs w:val="20"/>
        </w:rPr>
        <w:t xml:space="preserve">a figure of disability, Bovanne's blindness foils nationalism's project of ethical development. Bovanne in the children's eyes </w:t>
      </w:r>
      <w:r w:rsidRPr="00AC1C1F">
        <w:rPr>
          <w:rFonts w:eastAsia="Times New Roman"/>
          <w:color w:val="000000"/>
          <w:sz w:val="18"/>
          <w:szCs w:val="18"/>
        </w:rPr>
        <w:t xml:space="preserve">is </w:t>
      </w:r>
      <w:r w:rsidRPr="00AC1C1F">
        <w:rPr>
          <w:rFonts w:eastAsia="Times New Roman"/>
          <w:color w:val="000000"/>
          <w:sz w:val="20"/>
          <w:szCs w:val="20"/>
        </w:rPr>
        <w:t xml:space="preserve">the Uncle Tom shuffler who is antithetical to revolutionary and cultural nationalism's model of ethical development, a development predicated on radical con- sciousness and self-determination. We see those mandates in the children's exhortations to dance and dress in ways that are culturally appropriate and therefore respectable, to conduct oneself in a manner becoming of a mother of the nation. To court Bovanne </w:t>
      </w:r>
      <w:r w:rsidRPr="00AC1C1F">
        <w:rPr>
          <w:rFonts w:eastAsia="Times New Roman"/>
          <w:color w:val="000000"/>
          <w:sz w:val="18"/>
          <w:szCs w:val="18"/>
        </w:rPr>
        <w:t xml:space="preserve">is </w:t>
      </w:r>
      <w:r w:rsidRPr="00AC1C1F">
        <w:rPr>
          <w:rFonts w:eastAsia="Times New Roman"/>
          <w:color w:val="000000"/>
          <w:sz w:val="20"/>
          <w:szCs w:val="20"/>
        </w:rPr>
        <w:t xml:space="preserve">to forfeit not only respectability but also a nationalist future of self-determination and capability, to give up the nation for a set of blank eyes and shuffling feet. But Miss Hazel is a hussy, and that's exactly what allows her to refute Bovanne's illegibility as a disabled subject. Her sexual interest in him </w:t>
      </w:r>
      <w:r w:rsidRPr="00AC1C1F">
        <w:rPr>
          <w:rFonts w:eastAsia="Times New Roman"/>
          <w:color w:val="000000"/>
          <w:sz w:val="18"/>
          <w:szCs w:val="18"/>
        </w:rPr>
        <w:t xml:space="preserve">is </w:t>
      </w:r>
      <w:r w:rsidRPr="00AC1C1F">
        <w:rPr>
          <w:rFonts w:eastAsia="Times New Roman"/>
          <w:color w:val="000000"/>
          <w:sz w:val="20"/>
          <w:szCs w:val="20"/>
        </w:rPr>
        <w:t>part of an economy of knowledge that remembers Bovanne as the one who "fixed skates and scooters," as someone who had a place in the neighbor- hood.</w:t>
      </w:r>
      <w:r w:rsidRPr="00AC1C1F">
        <w:rPr>
          <w:rFonts w:eastAsia="Times New Roman"/>
          <w:color w:val="000000"/>
          <w:sz w:val="10"/>
          <w:szCs w:val="10"/>
        </w:rPr>
        <w:t xml:space="preserve">75 </w:t>
      </w:r>
      <w:r w:rsidRPr="00AC1C1F">
        <w:rPr>
          <w:rFonts w:eastAsia="Times New Roman"/>
          <w:color w:val="000000"/>
          <w:sz w:val="20"/>
          <w:szCs w:val="20"/>
        </w:rPr>
        <w:t xml:space="preserve">Her desire for him, therefore, refutes an able-ist construction of Bovanne as socially useless and puts her at odds with the children's nation- alism. Miss Hazel accesses local memory to rebut the sexual regulations imposed on her by the kids </w:t>
      </w:r>
      <w:r w:rsidRPr="00AC1C1F">
        <w:rPr>
          <w:rFonts w:eastAsia="Times New Roman"/>
          <w:i/>
          <w:iCs/>
          <w:color w:val="000000"/>
          <w:sz w:val="20"/>
          <w:szCs w:val="20"/>
        </w:rPr>
        <w:t xml:space="preserve">and </w:t>
      </w:r>
      <w:r w:rsidRPr="00AC1C1F">
        <w:rPr>
          <w:rFonts w:eastAsia="Times New Roman"/>
          <w:color w:val="000000"/>
          <w:sz w:val="20"/>
          <w:szCs w:val="20"/>
        </w:rPr>
        <w:t xml:space="preserve">to reframe disability. In addition to functioning as the metaphor for an inaugural loss and an originary denial, Bovanne also symbolizes that historic shift in power to which this book </w:t>
      </w:r>
      <w:r w:rsidRPr="00AC1C1F">
        <w:rPr>
          <w:rFonts w:eastAsia="Times New Roman"/>
          <w:color w:val="000000"/>
          <w:sz w:val="18"/>
          <w:szCs w:val="18"/>
        </w:rPr>
        <w:t xml:space="preserve">is </w:t>
      </w:r>
      <w:r w:rsidRPr="00AC1C1F">
        <w:rPr>
          <w:rFonts w:eastAsia="Times New Roman"/>
          <w:color w:val="000000"/>
          <w:sz w:val="20"/>
          <w:szCs w:val="20"/>
        </w:rPr>
        <w:t xml:space="preserve">devoted. </w:t>
      </w:r>
      <w:r w:rsidRPr="00AC1C1F">
        <w:rPr>
          <w:rFonts w:eastAsia="Times New Roman"/>
          <w:b/>
          <w:bCs/>
          <w:color w:val="000000"/>
          <w:sz w:val="20"/>
          <w:szCs w:val="20"/>
          <w:u w:val="single"/>
        </w:rPr>
        <w:t>Knowing that minority struggles within the United States are haunted by the specter of disability, forms of power/ knowledge devised ways to exploit the anxieties inspired by that haunting</w:t>
      </w:r>
      <w:r w:rsidRPr="00AC1C1F">
        <w:rPr>
          <w:rFonts w:eastAsia="Times New Roman"/>
          <w:color w:val="000000"/>
          <w:sz w:val="20"/>
          <w:szCs w:val="20"/>
        </w:rPr>
        <w:t xml:space="preserve">. </w:t>
      </w:r>
      <w:r w:rsidRPr="00AC1C1F">
        <w:rPr>
          <w:rFonts w:eastAsia="Times New Roman"/>
          <w:b/>
          <w:bCs/>
          <w:color w:val="000000"/>
          <w:sz w:val="20"/>
          <w:szCs w:val="20"/>
          <w:u w:val="single"/>
        </w:rPr>
        <w:t xml:space="preserve">Those forms would solicit minoritized subjects by ascribing ability </w:t>
      </w:r>
      <w:r w:rsidRPr="00AC1C1F">
        <w:rPr>
          <w:rFonts w:eastAsia="Times New Roman"/>
          <w:b/>
          <w:bCs/>
          <w:color w:val="000000"/>
          <w:sz w:val="18"/>
          <w:szCs w:val="18"/>
          <w:u w:val="single"/>
        </w:rPr>
        <w:t xml:space="preserve">in </w:t>
      </w:r>
      <w:r w:rsidRPr="00AC1C1F">
        <w:rPr>
          <w:rFonts w:eastAsia="Times New Roman"/>
          <w:b/>
          <w:bCs/>
          <w:color w:val="000000"/>
          <w:sz w:val="20"/>
          <w:szCs w:val="20"/>
          <w:u w:val="single"/>
        </w:rPr>
        <w:t>some instances and disability in others.</w:t>
      </w:r>
      <w:r w:rsidRPr="00AC1C1F">
        <w:rPr>
          <w:rFonts w:eastAsia="Times New Roman"/>
          <w:color w:val="000000"/>
          <w:sz w:val="20"/>
          <w:szCs w:val="20"/>
        </w:rPr>
        <w:t xml:space="preserve"> </w:t>
      </w:r>
      <w:r w:rsidRPr="00AC1C1F">
        <w:rPr>
          <w:rFonts w:eastAsia="Times New Roman"/>
          <w:b/>
          <w:bCs/>
          <w:color w:val="000000"/>
          <w:sz w:val="20"/>
          <w:szCs w:val="20"/>
          <w:u w:val="single"/>
        </w:rPr>
        <w:t>Ethical development, for minorities, in this moment of regulatory affirmations, would become the constant negotiation with the specter of disability and the persistent promise and deferral of ability and recognition</w:t>
      </w:r>
      <w:r w:rsidRPr="00AC1C1F">
        <w:rPr>
          <w:rFonts w:eastAsia="Times New Roman"/>
          <w:color w:val="000000"/>
          <w:sz w:val="20"/>
          <w:szCs w:val="20"/>
        </w:rPr>
        <w:t xml:space="preserve">. In this way, Bovanne allegorizes </w:t>
      </w:r>
      <w:r w:rsidRPr="00AC1C1F">
        <w:rPr>
          <w:rFonts w:eastAsia="Times New Roman"/>
          <w:b/>
          <w:bCs/>
          <w:color w:val="000000"/>
          <w:sz w:val="20"/>
          <w:szCs w:val="20"/>
          <w:u w:val="single"/>
        </w:rPr>
        <w:t>the entrance of minoritized subjects onto a new historical scene in which those people and communities disabled by minority status would have to straddle their position as enfeebled intelligences and their chance at joining the ranks of higher intellects who know things by "reason," "method," "training," and "study."</w:t>
      </w:r>
      <w:r w:rsidRPr="00AC1C1F">
        <w:rPr>
          <w:rFonts w:eastAsia="Times New Roman"/>
          <w:color w:val="000000"/>
          <w:sz w:val="20"/>
          <w:szCs w:val="20"/>
        </w:rPr>
        <w:t xml:space="preserve"> </w:t>
      </w:r>
      <w:r w:rsidRPr="00AC1C1F">
        <w:rPr>
          <w:rFonts w:eastAsia="Times New Roman"/>
          <w:b/>
          <w:bCs/>
          <w:color w:val="000000"/>
          <w:sz w:val="20"/>
          <w:szCs w:val="20"/>
          <w:u w:val="single"/>
        </w:rPr>
        <w:t>These are the relations of power appropriate for a world that must now make concessions to minority demands for access and inclusion, a world in which the mechanisms of power would promise to turn disabling differences into able-bodied cultures and identities-that is, if minoritized subjects would only agree to identify with its institutions and belong.</w:t>
      </w:r>
      <w:r w:rsidRPr="00AC1C1F">
        <w:rPr>
          <w:rFonts w:eastAsia="Times New Roman"/>
          <w:color w:val="000000"/>
          <w:sz w:val="20"/>
          <w:szCs w:val="20"/>
        </w:rPr>
        <w:t xml:space="preserve"> </w:t>
      </w:r>
    </w:p>
    <w:p xmlns:wp14="http://schemas.microsoft.com/office/word/2010/wordml" w:rsidRPr="00AC1C1F" w:rsidR="001860AB" w:rsidP="001860AB" w:rsidRDefault="001860AB" w14:paraId="30D7AA69" wp14:textId="77777777"/>
    <w:p xmlns:wp14="http://schemas.microsoft.com/office/word/2010/wordml" w:rsidRPr="00704270" w:rsidR="008263E8" w:rsidP="008263E8" w:rsidRDefault="008263E8" w14:paraId="1F5DC623" wp14:textId="77777777">
      <w:pPr>
        <w:pStyle w:val="Heading1"/>
        <w:rPr>
          <w:rFonts w:eastAsia="Calibri" w:cs="Calibri"/>
        </w:rPr>
      </w:pPr>
      <w:r w:rsidRPr="006C71B6">
        <w:rPr>
          <w:rFonts w:cs="Calibri"/>
        </w:rPr>
        <w:lastRenderedPageBreak/>
        <w:t>Queer Migration</w:t>
      </w:r>
      <w:r>
        <w:rPr>
          <w:rFonts w:cs="Calibri"/>
        </w:rPr>
        <w:t xml:space="preserve"> AFF</w:t>
      </w:r>
    </w:p>
    <w:p xmlns:wp14="http://schemas.microsoft.com/office/word/2010/wordml" w:rsidR="008263E8" w:rsidP="008263E8" w:rsidRDefault="008263E8" w14:paraId="6167439D" wp14:textId="77777777">
      <w:pPr>
        <w:pStyle w:val="Heading2"/>
      </w:pPr>
      <w:r>
        <w:lastRenderedPageBreak/>
        <w:t>1AC</w:t>
      </w:r>
    </w:p>
    <w:p xmlns:wp14="http://schemas.microsoft.com/office/word/2010/wordml" w:rsidRPr="00606EC2" w:rsidR="008263E8" w:rsidP="008263E8" w:rsidRDefault="008263E8" w14:paraId="06BDEE22" wp14:textId="77777777">
      <w:pPr>
        <w:pStyle w:val="Heading4"/>
      </w:pPr>
      <w:r w:rsidRPr="00606EC2">
        <w:t xml:space="preserve">The family figures citizenship-- the viral hashtag and media spectacle # Where are the children? has situated a political conversation about tearing families apart as the conversation we urgently need to have about immigration. But this politics produces a sentimental relationship to the nuclear family and the figure of the child that obscures the reality of our political moment. US immigration policies have torn migrant children from their families for years without outrage from the left or right political establishments. The spectacle of missing children has effectively obscured any structural analysis of the violences of detention and deportation writ large. Amongst calls from “newly awakened” celebrities and politicians to expand the militarized border apparatus in light of recent media hype, statist protocols have opportunistically re-routed our dreams for justice towards the nation as savior and protector of the vulnerable. </w:t>
      </w:r>
    </w:p>
    <w:p xmlns:wp14="http://schemas.microsoft.com/office/word/2010/wordml" w:rsidR="008263E8" w:rsidP="008263E8" w:rsidRDefault="008263E8" w14:paraId="79F201CD" wp14:textId="77777777">
      <w:r w:rsidRPr="00B0089F">
        <w:rPr>
          <w:rStyle w:val="Style13ptBold"/>
        </w:rPr>
        <w:t>NoName Collective &amp; Moratorium on Deportations Campaign 6/20</w:t>
      </w:r>
      <w:r w:rsidRPr="00B0089F">
        <w:t xml:space="preserve"> </w:t>
      </w:r>
      <w:r>
        <w:rPr>
          <w:color w:val="000000"/>
        </w:rPr>
        <w:t>[From #WhereAreTheChildren to #FamiliesBelongTogether: Amerikkka’s ‘New’ Border Crisis, moratoriumondeportations.org, June 20 2018]</w:t>
      </w:r>
    </w:p>
    <w:p xmlns:wp14="http://schemas.microsoft.com/office/word/2010/wordml" w:rsidRPr="001D492C" w:rsidR="008263E8" w:rsidP="0673B170" w:rsidRDefault="008263E8" w14:paraId="21B1575E" wp14:textId="77777777" wp14:noSpellErr="1">
      <w:pPr>
        <w:pStyle w:val="Heading4"/>
        <w:rPr>
          <w:rFonts w:ascii="Arial" w:hAnsi="Arial" w:eastAsia="Arial" w:cs="Arial"/>
          <w:b w:val="0"/>
          <w:bCs w:val="0"/>
          <w:sz w:val="22"/>
          <w:szCs w:val="22"/>
        </w:rPr>
      </w:pPr>
      <w:r w:rsidRPr="0673B170" w:rsidR="0673B170">
        <w:rPr>
          <w:rStyle w:val="StyleUnderline"/>
          <w:b w:val="1"/>
          <w:bCs w:val="1"/>
        </w:rPr>
        <w:t>On May 24, 2018,</w:t>
      </w:r>
      <w:r w:rsidRPr="0673B170" w:rsidR="0673B170">
        <w:rPr>
          <w:b w:val="0"/>
          <w:bCs w:val="0"/>
          <w:color w:val="000000" w:themeColor="text1" w:themeTint="FF" w:themeShade="FF"/>
          <w:sz w:val="22"/>
          <w:szCs w:val="22"/>
        </w:rPr>
        <w:t xml:space="preserve"> one day prior to the commemoration of “(Inter)National Missing Children’s Day” and one day after the senate subcommittee hearing,</w:t>
      </w:r>
      <w:r w:rsidRPr="0673B170" w:rsidR="0673B170">
        <w:rPr>
          <w:b w:val="0"/>
          <w:bCs w:val="0"/>
          <w:i w:val="1"/>
          <w:iCs w:val="1"/>
          <w:color w:val="000000" w:themeColor="text1" w:themeTint="FF" w:themeShade="FF"/>
          <w:sz w:val="22"/>
          <w:szCs w:val="22"/>
        </w:rPr>
        <w:t>“TVPRA and Exploited Loopholes Affecting Unaccompanied Alien Children”</w:t>
      </w:r>
      <w:r w:rsidRPr="0673B170" w:rsidR="0673B170">
        <w:rPr>
          <w:rFonts w:ascii="Arial" w:hAnsi="Arial" w:eastAsia="Arial" w:cs="Arial"/>
          <w:b w:val="0"/>
          <w:bCs w:val="0"/>
          <w:color w:val="000000" w:themeColor="text1" w:themeTint="FF" w:themeShade="FF"/>
          <w:sz w:val="22"/>
          <w:szCs w:val="22"/>
        </w:rPr>
        <w:t xml:space="preserve">, </w:t>
      </w:r>
      <w:r w:rsidRPr="0673B170" w:rsidR="0673B170">
        <w:rPr>
          <w:rStyle w:val="StyleUnderline"/>
          <w:b w:val="1"/>
          <w:bCs w:val="1"/>
        </w:rPr>
        <w:t xml:space="preserve">stories of 1,500 “lost” immigrant children began circulating in the media </w:t>
      </w:r>
      <w:r w:rsidRPr="0673B170" w:rsidR="0673B170">
        <w:rPr>
          <w:rFonts w:ascii="Arial" w:hAnsi="Arial" w:eastAsia="Arial" w:cs="Arial"/>
          <w:b w:val="0"/>
          <w:bCs w:val="0"/>
          <w:color w:val="000000" w:themeColor="text1" w:themeTint="FF" w:themeShade="FF"/>
          <w:sz w:val="22"/>
          <w:szCs w:val="22"/>
        </w:rPr>
        <w:t xml:space="preserve">-- </w:t>
      </w:r>
      <w:r w:rsidRPr="0673B170" w:rsidR="0673B170">
        <w:rPr>
          <w:rStyle w:val="StyleUnderline"/>
          <w:b w:val="1"/>
          <w:bCs w:val="1"/>
        </w:rPr>
        <w:t>#wherearethechildren went viral</w:t>
      </w:r>
      <w:r w:rsidRPr="0673B170" w:rsidR="0673B170">
        <w:rPr>
          <w:b w:val="0"/>
          <w:bCs w:val="0"/>
          <w:color w:val="000000" w:themeColor="text1" w:themeTint="FF" w:themeShade="FF"/>
          <w:sz w:val="22"/>
          <w:szCs w:val="22"/>
        </w:rPr>
        <w:t xml:space="preserve">, with calls by advocates/celebrities/liberals to find the children and protect them from “traffickers”. A week later, </w:t>
      </w:r>
      <w:r w:rsidRPr="0673B170" w:rsidR="0673B170">
        <w:rPr>
          <w:rStyle w:val="StyleUnderline"/>
          <w:b w:val="1"/>
          <w:bCs w:val="1"/>
        </w:rPr>
        <w:t>the detention of unaccompanied immigrant children became sudden news as pictures from 2014 became re-circulated showing children held in cage-like enclosures</w:t>
      </w:r>
      <w:r w:rsidRPr="0673B170" w:rsidR="0673B170">
        <w:rPr>
          <w:b w:val="0"/>
          <w:bCs w:val="0"/>
          <w:color w:val="000000" w:themeColor="text1" w:themeTint="FF" w:themeShade="FF"/>
          <w:sz w:val="22"/>
          <w:szCs w:val="22"/>
        </w:rPr>
        <w:t xml:space="preserve">. And finally, the horror of children ripped from their families at the border as a result of the “Zero-Tolerance” policy of the Department of Justice. </w:t>
      </w:r>
      <w:r w:rsidRPr="0673B170" w:rsidR="0673B170">
        <w:rPr>
          <w:b w:val="0"/>
          <w:bCs w:val="0"/>
          <w:i w:val="1"/>
          <w:iCs w:val="1"/>
          <w:color w:val="000000" w:themeColor="text1" w:themeTint="FF" w:themeShade="FF"/>
          <w:sz w:val="22"/>
          <w:szCs w:val="22"/>
          <w:u w:val="single"/>
        </w:rPr>
        <w:t>This has never happened before</w:t>
      </w:r>
      <w:r w:rsidRPr="0673B170" w:rsidR="0673B170">
        <w:rPr>
          <w:rStyle w:val="StyleUnderline"/>
          <w:b w:val="1"/>
          <w:bCs w:val="1"/>
        </w:rPr>
        <w:t xml:space="preserve">, we are told, </w:t>
      </w:r>
      <w:r w:rsidRPr="0673B170" w:rsidR="0673B170">
        <w:rPr>
          <w:b w:val="0"/>
          <w:bCs w:val="0"/>
          <w:i w:val="1"/>
          <w:iCs w:val="1"/>
          <w:color w:val="000000" w:themeColor="text1" w:themeTint="FF" w:themeShade="FF"/>
          <w:sz w:val="22"/>
          <w:szCs w:val="22"/>
          <w:u w:val="single"/>
        </w:rPr>
        <w:t>this is extreme and “Un-American”</w:t>
      </w:r>
      <w:r w:rsidRPr="0673B170" w:rsidR="0673B170">
        <w:rPr>
          <w:rStyle w:val="StyleUnderline"/>
          <w:b w:val="1"/>
          <w:bCs w:val="1"/>
        </w:rPr>
        <w:t>.</w:t>
      </w:r>
      <w:r w:rsidRPr="0673B170" w:rsidR="0673B170">
        <w:rPr>
          <w:rFonts w:ascii="Arial" w:hAnsi="Arial" w:eastAsia="Arial" w:cs="Arial"/>
          <w:b w:val="0"/>
          <w:bCs w:val="0"/>
          <w:color w:val="000000" w:themeColor="text1" w:themeTint="FF" w:themeShade="FF"/>
          <w:sz w:val="22"/>
          <w:szCs w:val="22"/>
        </w:rPr>
        <w:t xml:space="preserve"> </w:t>
      </w:r>
      <w:r w:rsidRPr="0673B170" w:rsidR="0673B170">
        <w:rPr>
          <w:rStyle w:val="StyleUnderline"/>
          <w:b w:val="1"/>
          <w:bCs w:val="1"/>
        </w:rPr>
        <w:t>Over the course of a few weeks, the “immigrant children crisis” has ex</w:t>
      </w:r>
      <w:r w:rsidRPr="0673B170" w:rsidR="0673B170">
        <w:rPr>
          <w:rStyle w:val="StyleUnderline"/>
          <w:b w:val="1"/>
          <w:bCs w:val="1"/>
        </w:rPr>
        <w:t xml:space="preserve"> see</w:t>
      </w:r>
      <w:r w:rsidRPr="0673B170" w:rsidR="0673B170">
        <w:rPr>
          <w:b w:val="0"/>
          <w:bCs w:val="0"/>
          <w:i w:val="1"/>
          <w:iCs w:val="1"/>
          <w:color w:val="000000" w:themeColor="text1" w:themeTint="FF" w:themeShade="FF"/>
          <w:sz w:val="22"/>
          <w:szCs w:val="22"/>
        </w:rPr>
        <w:t xml:space="preserve">children for being brought to safety by their parents by separating them, is fundamentally cruel and un-American,” </w:t>
      </w:r>
      <w:r w:rsidRPr="0673B170" w:rsidR="0673B170">
        <w:rPr>
          <w:b w:val="0"/>
          <w:bCs w:val="0"/>
          <w:color w:val="000000" w:themeColor="text1" w:themeTint="FF" w:themeShade="FF"/>
          <w:sz w:val="22"/>
          <w:szCs w:val="22"/>
        </w:rPr>
        <w:t>Michelle Brané, Women’s Refugee Commission. We write today from the rage and indignation we have carried for generations. We are not surprised, we are not shocked. W</w:t>
      </w:r>
      <w:r w:rsidRPr="0673B170" w:rsidR="0673B170">
        <w:rPr>
          <w:rStyle w:val="StyleUnderline"/>
          <w:b w:val="1"/>
          <w:bCs w:val="1"/>
        </w:rPr>
        <w:t>e are outraged at the current suffering precisely because it is n</w:t>
      </w:r>
      <w:r w:rsidRPr="0673B170" w:rsidR="0673B170">
        <w:rPr>
          <w:b w:val="0"/>
          <w:bCs w:val="0"/>
          <w:i w:val="1"/>
          <w:iCs w:val="1"/>
          <w:color w:val="000000" w:themeColor="text1" w:themeTint="FF" w:themeShade="FF"/>
          <w:sz w:val="22"/>
          <w:szCs w:val="22"/>
          <w:u w:val="single"/>
        </w:rPr>
        <w:t>ot n</w:t>
      </w:r>
      <w:r w:rsidRPr="0673B170" w:rsidR="0673B170">
        <w:rPr>
          <w:rStyle w:val="StyleUnderline"/>
          <w:b w:val="1"/>
          <w:bCs w:val="1"/>
        </w:rPr>
        <w:t>ew, it is n</w:t>
      </w:r>
      <w:r w:rsidRPr="0673B170" w:rsidR="0673B170">
        <w:rPr>
          <w:b w:val="0"/>
          <w:bCs w:val="0"/>
          <w:i w:val="1"/>
          <w:iCs w:val="1"/>
          <w:color w:val="000000" w:themeColor="text1" w:themeTint="FF" w:themeShade="FF"/>
          <w:sz w:val="22"/>
          <w:szCs w:val="22"/>
          <w:u w:val="single"/>
        </w:rPr>
        <w:t>ot e</w:t>
      </w:r>
      <w:r w:rsidRPr="0673B170" w:rsidR="0673B170">
        <w:rPr>
          <w:rStyle w:val="StyleUnderline"/>
          <w:b w:val="1"/>
          <w:bCs w:val="1"/>
        </w:rPr>
        <w:t>xceptional.</w:t>
      </w:r>
      <w:r w:rsidRPr="0673B170" w:rsidR="0673B170">
        <w:rPr>
          <w:b w:val="0"/>
          <w:bCs w:val="0"/>
          <w:color w:val="000000" w:themeColor="text1" w:themeTint="FF" w:themeShade="FF"/>
          <w:sz w:val="22"/>
          <w:szCs w:val="22"/>
        </w:rPr>
        <w:t xml:space="preserve"> We have witnessed the crisis as it was manufactured slowly, relentlessly – and we see too how t</w:t>
      </w:r>
      <w:r w:rsidRPr="0673B170" w:rsidR="0673B170">
        <w:rPr>
          <w:rStyle w:val="StyleUnderline"/>
          <w:b w:val="1"/>
          <w:bCs w:val="1"/>
        </w:rPr>
        <w:t>he spectacle and the outrage over this new, particular abomination are preparing the conditions for “solutions” from above that will only deepen it. D</w:t>
      </w:r>
      <w:r w:rsidRPr="0673B170" w:rsidR="0673B170">
        <w:rPr>
          <w:b w:val="0"/>
          <w:bCs w:val="0"/>
          <w:color w:val="000000" w:themeColor="text1" w:themeTint="FF" w:themeShade="FF"/>
          <w:sz w:val="22"/>
          <w:szCs w:val="22"/>
        </w:rPr>
        <w:t>espite the rhetoric, t</w:t>
      </w:r>
      <w:r w:rsidRPr="0673B170" w:rsidR="0673B170">
        <w:rPr>
          <w:rStyle w:val="StyleUnderline"/>
          <w:b w:val="1"/>
          <w:bCs w:val="1"/>
        </w:rPr>
        <w:t>here is nothing u</w:t>
      </w:r>
      <w:r w:rsidRPr="0673B170" w:rsidR="0673B170">
        <w:rPr>
          <w:b w:val="0"/>
          <w:bCs w:val="0"/>
          <w:i w:val="1"/>
          <w:iCs w:val="1"/>
          <w:color w:val="000000" w:themeColor="text1" w:themeTint="FF" w:themeShade="FF"/>
          <w:sz w:val="22"/>
          <w:szCs w:val="22"/>
          <w:u w:val="single"/>
        </w:rPr>
        <w:t>n-American a</w:t>
      </w:r>
      <w:r w:rsidRPr="0673B170" w:rsidR="0673B170">
        <w:rPr>
          <w:rStyle w:val="StyleUnderline"/>
          <w:b w:val="1"/>
          <w:bCs w:val="1"/>
        </w:rPr>
        <w:t xml:space="preserve">bout state violence targeting children -- on the contrary, the US is founded and lives on this principle. </w:t>
      </w:r>
      <w:r w:rsidRPr="0673B170" w:rsidR="0673B170">
        <w:rPr>
          <w:rFonts w:ascii="Arial" w:hAnsi="Arial" w:eastAsia="Arial" w:cs="Arial"/>
          <w:b w:val="0"/>
          <w:bCs w:val="0"/>
          <w:color w:val="000000" w:themeColor="text1" w:themeTint="FF" w:themeShade="FF"/>
          <w:sz w:val="22"/>
          <w:szCs w:val="22"/>
        </w:rPr>
        <w:t>B</w:t>
      </w:r>
      <w:r w:rsidRPr="0673B170" w:rsidR="0673B170">
        <w:rPr>
          <w:rStyle w:val="StyleUnderline"/>
          <w:b w:val="1"/>
          <w:bCs w:val="1"/>
        </w:rPr>
        <w:t>lack and Indigenous communities know that nation-building has meant the wholesale, mass abduction and tearing apart of children from families, communities and homelands.</w:t>
      </w:r>
      <w:r w:rsidRPr="0673B170" w:rsidR="0673B170">
        <w:rPr>
          <w:b w:val="0"/>
          <w:bCs w:val="0"/>
          <w:color w:val="000000" w:themeColor="text1" w:themeTint="FF" w:themeShade="FF"/>
          <w:sz w:val="22"/>
          <w:szCs w:val="22"/>
        </w:rPr>
        <w:t xml:space="preserve"> Our immigrant communities too have long suffered, and resisted, the US policy of mass family separation both domestically and abroad. While newly-outraged senators like Dick Durbin stake their political capital on their image as champions of a privileged category of immigrant children called “childhood arrivals” aka the Exceptional Dreamers, we have long had to struggle against legislation he and others promoted as part of their campaign calculations -- legislation designed to dramatically increase family separation, expand criminalization and enforcement, and to make more and more adults and children deportable, detainable, and exploitable. T</w:t>
      </w:r>
      <w:r w:rsidRPr="0673B170" w:rsidR="0673B170">
        <w:rPr>
          <w:rStyle w:val="StyleUnderline"/>
          <w:b w:val="1"/>
          <w:bCs w:val="1"/>
        </w:rPr>
        <w:t xml:space="preserve">o understand the current crisis of state-sanctioned violence targeting children, and the ways that “protecting children” in the name of “American values” operates to further this violence, </w:t>
      </w:r>
      <w:r w:rsidRPr="0673B170" w:rsidR="0673B170">
        <w:rPr>
          <w:rStyle w:val="StyleUnderline"/>
          <w:b w:val="1"/>
          <w:bCs w:val="1"/>
        </w:rPr>
        <w:t xml:space="preserve">we have to look beyond the bullshit media spectacle, the fascist rhetoric of the right and the self-righteous posturing of the establishment Left. </w:t>
      </w:r>
      <w:r w:rsidRPr="0673B170" w:rsidR="0673B170">
        <w:rPr>
          <w:rFonts w:ascii="Arial" w:hAnsi="Arial" w:eastAsia="Arial" w:cs="Arial"/>
          <w:b w:val="0"/>
          <w:bCs w:val="0"/>
          <w:color w:val="000000" w:themeColor="text1" w:themeTint="FF" w:themeShade="FF"/>
          <w:sz w:val="22"/>
          <w:szCs w:val="22"/>
        </w:rPr>
        <w:t>T</w:t>
      </w:r>
      <w:r w:rsidRPr="0673B170" w:rsidR="0673B170">
        <w:rPr>
          <w:b w:val="0"/>
          <w:bCs w:val="0"/>
          <w:sz w:val="22"/>
          <w:szCs w:val="22"/>
        </w:rPr>
        <w:t>he crisis was produced in the interest of those who govern from above, who also stand to profit from mobilizing us around their fake solutions. Our effort is to organize our own response, our own analysis and vision that corresponds to a migrant struggle from below. This is a beginning, again, and again. Shock and Awe - Conditioning a public for expanding state violence Images of immense suffering, of children being abducted and locked in cages, are being hyped up and exploited by the media for increased ratings and by politicians for political capital. But this flood of images also has a different function, one that is familiar from military and media logic employed by the US since the first Iraq War. The goal of shock and awe is to confuse and disorient people and disable their capacity to understand what is happening, rendering them unable to accurately read the nature of the battlefield. T</w:t>
      </w:r>
      <w:r w:rsidRPr="0673B170" w:rsidR="0673B170">
        <w:rPr>
          <w:rStyle w:val="StyleUnderline"/>
          <w:b w:val="1"/>
          <w:bCs w:val="1"/>
        </w:rPr>
        <w:t xml:space="preserve">he coverage is intended to elicit overwhelming sentimental responses while leaving unexamined the set of policies, interests, deals and instruments that converge to produce family separation, and the larger consequences of this moment for both immigration and the prison industrial complex </w:t>
      </w:r>
      <w:r w:rsidRPr="0673B170" w:rsidR="0673B170">
        <w:rPr>
          <w:b w:val="0"/>
          <w:bCs w:val="0"/>
          <w:color w:val="000000" w:themeColor="text1" w:themeTint="FF" w:themeShade="FF"/>
          <w:sz w:val="22"/>
          <w:szCs w:val="22"/>
        </w:rPr>
        <w:t>(PIC). We have been here before. T</w:t>
      </w:r>
      <w:r w:rsidRPr="0673B170" w:rsidR="0673B170">
        <w:rPr>
          <w:rStyle w:val="StyleUnderline"/>
          <w:b w:val="1"/>
          <w:bCs w:val="1"/>
        </w:rPr>
        <w:t>he current form of child separation is a result of the administration’s expansion of Operation Streamline, a program started in 2005, to the entire southwestern border r</w:t>
      </w:r>
      <w:r w:rsidRPr="0673B170" w:rsidR="0673B170">
        <w:rPr>
          <w:rStyle w:val="StyleUnderline"/>
          <w:b w:val="1"/>
          <w:bCs w:val="1"/>
        </w:rPr>
        <w:t xml:space="preserve">egion. </w:t>
      </w:r>
      <w:r w:rsidRPr="0673B170" w:rsidR="0673B170">
        <w:rPr>
          <w:b w:val="0"/>
          <w:bCs w:val="0"/>
          <w:color w:val="000000" w:themeColor="text1" w:themeTint="FF" w:themeShade="FF"/>
          <w:sz w:val="22"/>
          <w:szCs w:val="22"/>
        </w:rPr>
        <w:t>The Department of Justice (DoJ) and the Department of Homeland Security (DHS) have coordinated to prosecute 100% of all migrants apprehended for “improper entry” (entering without a formal inspection process, being seen as misrepresenting or concealing facts, which includes anyone seen as making “fake” asylum claims etc). Operation Streamline is not well known to the US public, with the possible exception of a small and short-lived “outrage” over the mass deportation hearings that characterize it, in which up to 80 migrants would be arraigned, found guilty, convicted and sentenced en masse. But grotesque though it is, this spectacle is only a small part of the problem. W</w:t>
      </w:r>
      <w:r w:rsidRPr="0673B170" w:rsidR="0673B170">
        <w:rPr>
          <w:rStyle w:val="StyleUnderline"/>
          <w:b w:val="1"/>
          <w:bCs w:val="1"/>
        </w:rPr>
        <w:t>hat is less visible is the cumulative and devastating consequences of Streamline and of the “improper entry” statute upon all immigrant populations and upon all the criminalized and racialized, poor and displaced communities of color residing in the US -- including the members of those communities who are children. C</w:t>
      </w:r>
      <w:r w:rsidRPr="0673B170" w:rsidR="0673B170">
        <w:rPr>
          <w:rStyle w:val="StyleUnderline"/>
          <w:b w:val="1"/>
          <w:bCs w:val="1"/>
        </w:rPr>
        <w:t xml:space="preserve">riminalizing migration has turned migrant people into an experiment in non-personhood and detainability, which in turn exerts immense pressure throughout the entire domestic criminal and legal system. </w:t>
      </w:r>
      <w:r w:rsidRPr="0673B170" w:rsidR="0673B170">
        <w:rPr>
          <w:b w:val="0"/>
          <w:bCs w:val="0"/>
          <w:color w:val="000000" w:themeColor="text1" w:themeTint="FF" w:themeShade="FF"/>
          <w:sz w:val="22"/>
          <w:szCs w:val="22"/>
        </w:rPr>
        <w:t>This refers to the expansion of impunity and discretion, to the ways i</w:t>
      </w:r>
      <w:r w:rsidRPr="0673B170" w:rsidR="0673B170">
        <w:rPr>
          <w:rStyle w:val="StyleUnderline"/>
          <w:b w:val="1"/>
          <w:bCs w:val="1"/>
        </w:rPr>
        <w:t xml:space="preserve">mmigration enforcement and incarceration produce new forms of criminalization and containment that may start out as extra-legal but become, over time, regularized. </w:t>
      </w:r>
      <w:r w:rsidRPr="0673B170" w:rsidR="0673B170">
        <w:rPr>
          <w:b w:val="0"/>
          <w:bCs w:val="0"/>
          <w:color w:val="000000" w:themeColor="text1" w:themeTint="FF" w:themeShade="FF"/>
          <w:sz w:val="22"/>
          <w:szCs w:val="22"/>
        </w:rPr>
        <w:t>But it also refers to the ways i</w:t>
      </w:r>
      <w:r w:rsidRPr="0673B170" w:rsidR="0673B170">
        <w:rPr>
          <w:rStyle w:val="StyleUnderline"/>
          <w:b w:val="1"/>
          <w:bCs w:val="1"/>
        </w:rPr>
        <w:t>mmigration enforcement also functions as a way to expand the Prison Industrial Complex, the surveillance apparatus, and the racist production of surplus populations.</w:t>
      </w:r>
      <w:r w:rsidRPr="0673B170" w:rsidR="0673B170">
        <w:rPr>
          <w:rFonts w:ascii="Arial" w:hAnsi="Arial" w:eastAsia="Arial" w:cs="Arial"/>
          <w:b w:val="0"/>
          <w:bCs w:val="0"/>
          <w:color w:val="000000" w:themeColor="text1" w:themeTint="FF" w:themeShade="FF"/>
          <w:sz w:val="22"/>
          <w:szCs w:val="22"/>
        </w:rPr>
        <w:t xml:space="preserve"> S</w:t>
      </w:r>
      <w:r w:rsidRPr="0673B170" w:rsidR="0673B170">
        <w:rPr>
          <w:rStyle w:val="StyleUnderline"/>
          <w:b w:val="1"/>
          <w:bCs w:val="1"/>
        </w:rPr>
        <w:t>ince 2005, about three quarters of a million people have been prosecuted in federal court for “improper entry” ; currently, almost 50% of federal prosecutions are immigration related, and more than 30% of people incarcerated in federal prisons are held for immigration offenses. The new “Zero-Tolerance” policy is sure to increase that exponentially, using federal prisons to detain immigrants awaiting prosecution and expanding the so-called “demand” for prison capacity to cage all those convicted. T</w:t>
      </w:r>
      <w:r w:rsidRPr="0673B170" w:rsidR="0673B170">
        <w:rPr>
          <w:b w:val="0"/>
          <w:bCs w:val="0"/>
          <w:color w:val="000000" w:themeColor="text1" w:themeTint="FF" w:themeShade="FF"/>
          <w:sz w:val="22"/>
          <w:szCs w:val="22"/>
        </w:rPr>
        <w:t>he Department of Justice has also instructed immigration judges to close all open and pending deportation cases as quickly as possible. This dual, rapid-fire implementation of enforcement/prosecution is carried out with full knowledge that t</w:t>
      </w:r>
      <w:r w:rsidRPr="0673B170" w:rsidR="0673B170">
        <w:rPr>
          <w:rStyle w:val="StyleUnderline"/>
          <w:b w:val="1"/>
          <w:bCs w:val="1"/>
        </w:rPr>
        <w:t>he federal detention, prosecution, incarceration and deportation system does not have capacity to handle the consequences.</w:t>
      </w:r>
      <w:r w:rsidRPr="0673B170" w:rsidR="0673B170">
        <w:rPr>
          <w:b w:val="0"/>
          <w:bCs w:val="0"/>
          <w:color w:val="000000" w:themeColor="text1" w:themeTint="FF" w:themeShade="FF"/>
          <w:sz w:val="22"/>
          <w:szCs w:val="22"/>
        </w:rPr>
        <w:t xml:space="preserve"> Jeff Sessions (DoJ) and Kirstjen Nielsen (DHS) have fully anticipated the fallout from intentionally overwhelming the system from multiple directions. Even though there is an effort to challenge these policies in the courts, just as with Trump’s immigration ban, this maneuver has already created a burden in search of solutions that require the expansion of the PIC. D</w:t>
      </w:r>
      <w:r w:rsidRPr="0673B170" w:rsidR="0673B170">
        <w:rPr>
          <w:rStyle w:val="StyleUnderline"/>
          <w:b w:val="1"/>
          <w:bCs w:val="1"/>
        </w:rPr>
        <w:t>HS has already used this moment to leverage pressure upon Congress to increase the Homeland Security budget for detention space, and also to push for a “legislative solution” that expands the capacity, scope and reach of enforcement and detention. T</w:t>
      </w:r>
      <w:r w:rsidRPr="0673B170" w:rsidR="0673B170">
        <w:rPr>
          <w:b w:val="0"/>
          <w:bCs w:val="0"/>
          <w:color w:val="000000" w:themeColor="text1" w:themeTint="FF" w:themeShade="FF"/>
          <w:sz w:val="22"/>
          <w:szCs w:val="22"/>
        </w:rPr>
        <w:t>he case for already existing legislative proposals like the enforcement-focused Securing America’s Future Act (H.R. 4670) is boosted and t</w:t>
      </w:r>
      <w:r w:rsidRPr="0673B170" w:rsidR="0673B170">
        <w:rPr>
          <w:rStyle w:val="StyleUnderline"/>
          <w:b w:val="1"/>
          <w:bCs w:val="1"/>
        </w:rPr>
        <w:t xml:space="preserve">he race for the toughest border security bill begins </w:t>
      </w:r>
      <w:r w:rsidRPr="0673B170" w:rsidR="0673B170">
        <w:rPr>
          <w:rFonts w:ascii="Arial" w:hAnsi="Arial" w:eastAsia="Arial" w:cs="Arial"/>
          <w:b w:val="0"/>
          <w:bCs w:val="0"/>
          <w:color w:val="000000" w:themeColor="text1" w:themeTint="FF" w:themeShade="FF"/>
          <w:sz w:val="22"/>
          <w:szCs w:val="22"/>
        </w:rPr>
        <w:t>-</w:t>
      </w:r>
      <w:r w:rsidRPr="0673B170" w:rsidR="0673B170">
        <w:rPr>
          <w:b w:val="0"/>
          <w:bCs w:val="0"/>
          <w:sz w:val="22"/>
          <w:szCs w:val="22"/>
        </w:rPr>
        <w:t>- we see this with the newly draft House GOP proposal, The Border Security and Immigration Reform Act of 2018. Given that prosecutions for improper entry are carried out in federal courts, and that people will be incarcerated in federal prisons, t</w:t>
      </w:r>
      <w:r w:rsidRPr="0673B170" w:rsidR="0673B170">
        <w:rPr>
          <w:rStyle w:val="StyleUnderline"/>
          <w:b w:val="1"/>
          <w:bCs w:val="1"/>
        </w:rPr>
        <w:t xml:space="preserve">he spectacle of suffering and missing children is a useful distraction from the expansion of both the criminal and immigration enforcement systems that is sure to create child suffering of a far greater magnitude. </w:t>
      </w:r>
      <w:r w:rsidRPr="0673B170" w:rsidR="0673B170">
        <w:rPr>
          <w:rFonts w:ascii="Arial" w:hAnsi="Arial" w:eastAsia="Arial" w:cs="Arial"/>
          <w:b w:val="0"/>
          <w:bCs w:val="0"/>
          <w:color w:val="000000" w:themeColor="text1" w:themeTint="FF" w:themeShade="FF"/>
          <w:sz w:val="22"/>
          <w:szCs w:val="22"/>
        </w:rPr>
        <w:t>W</w:t>
      </w:r>
      <w:r w:rsidRPr="0673B170" w:rsidR="0673B170">
        <w:rPr>
          <w:b w:val="0"/>
          <w:bCs w:val="0"/>
          <w:sz w:val="22"/>
          <w:szCs w:val="22"/>
        </w:rPr>
        <w:t>hat we are seeing on our screens, in other words, is the tip of the iceberg. “Previously, most parents had been allowed to remain with their children in family shelters while awaiting asylum cases or deportation proceedings”, NBCNEWS. W</w:t>
      </w:r>
      <w:r w:rsidRPr="0673B170" w:rsidR="0673B170">
        <w:rPr>
          <w:rStyle w:val="StyleUnderline"/>
          <w:b w:val="1"/>
          <w:bCs w:val="1"/>
        </w:rPr>
        <w:t xml:space="preserve">e are being groomed to cheer for the expansion of enforcement, surveillance and caging capacity, making state-sanctioned violence more efficient and less contestable. </w:t>
      </w:r>
      <w:r w:rsidRPr="0673B170" w:rsidR="0673B170">
        <w:rPr>
          <w:b w:val="0"/>
          <w:bCs w:val="0"/>
          <w:color w:val="000000" w:themeColor="text1" w:themeTint="FF" w:themeShade="FF"/>
          <w:sz w:val="22"/>
          <w:szCs w:val="22"/>
        </w:rPr>
        <w:t>As in 2014, o</w:t>
      </w:r>
      <w:r w:rsidRPr="0673B170" w:rsidR="0673B170">
        <w:rPr>
          <w:rStyle w:val="StyleUnderline"/>
          <w:b w:val="1"/>
          <w:bCs w:val="1"/>
        </w:rPr>
        <w:t>utrage at this particular form of f</w:t>
      </w:r>
      <w:r w:rsidRPr="0673B170" w:rsidR="0673B170">
        <w:rPr>
          <w:rStyle w:val="StyleUnderline"/>
          <w:b w:val="1"/>
          <w:bCs w:val="1"/>
        </w:rPr>
        <w:t xml:space="preserve">amily separation is translating slowly, relentlessly, into calls for improving detention conditions by reopening military bases, building tent cities and giving new legitimacy to the idea of “family-friendly” detention as a form of family unification. The shock of this new abomination is retroactively casting family imprisonment in euphemistic terms </w:t>
      </w:r>
      <w:r w:rsidRPr="0673B170" w:rsidR="0673B170">
        <w:rPr>
          <w:rFonts w:ascii="Arial" w:hAnsi="Arial" w:eastAsia="Arial" w:cs="Arial"/>
          <w:b w:val="0"/>
          <w:bCs w:val="0"/>
          <w:color w:val="000000" w:themeColor="text1" w:themeTint="FF" w:themeShade="FF"/>
          <w:sz w:val="22"/>
          <w:szCs w:val="22"/>
        </w:rPr>
        <w:t>– a</w:t>
      </w:r>
      <w:r w:rsidRPr="0673B170" w:rsidR="0673B170">
        <w:rPr>
          <w:b w:val="0"/>
          <w:bCs w:val="0"/>
          <w:sz w:val="22"/>
          <w:szCs w:val="22"/>
        </w:rPr>
        <w:t>scribing, in retrospect, a nostalgic gentleness to the “old” ways of doing things under Obama, which becomes not only acceptable and rosy, but beyond contestation. Never before? Normalizing the abduction and incarceration of children The left and the right have historically colluded on border enforcement, expanding criminalization and illegalization as their common agenda for any reform of the immigration system. That is obvious in the blatantly racist and xenophobic rhetoric of the right. It is less obvious in the rhetoric of the left, both during the Obama administration and in the triumphant anti-Trumpism of the current moment. Grassroots migrant justice organizations that have not fallen in line with Democratic Party politics and the foundation-sponsored immigrant-rights lobby have been accused of being “divisive” and “bad for the movement”-- a movement lead by a political class that is, presumably, trying to save our communities. In this moment of liberal moral outrage, if you dare question why the current crisis is represented as though children have never before been separated from parents or incarcerated, i</w:t>
      </w:r>
      <w:r w:rsidRPr="0673B170" w:rsidR="0673B170">
        <w:rPr>
          <w:rStyle w:val="StyleUnderline"/>
          <w:b w:val="1"/>
          <w:bCs w:val="1"/>
        </w:rPr>
        <w:t>f you dare push back against the #savethechildren reactions of the newly-outraged so-called progressives, you are cast as not wanting to rescue the children or be part of the “solution”. T</w:t>
      </w:r>
      <w:r w:rsidRPr="0673B170" w:rsidR="0673B170">
        <w:rPr>
          <w:b w:val="0"/>
          <w:bCs w:val="0"/>
          <w:sz w:val="22"/>
          <w:szCs w:val="22"/>
        </w:rPr>
        <w:t>he innovation of the Trump administration is that it is separating children from the parents and re-categorizing them as “unaccompanied alien children” (UAC’s) or “unaccompanied minors”, thus funneling them into an older, already-existing system for detaining and prosecuting children. But how new is this really? “Kids and babies have never before been ripped away from their moms and dads at the border, this is a new policy put in place by the Trump administration. In the past, obviously there have been kids who crossed the border illegally alone, and so the U.S. has facilities to handle those young people, mostly teenagers. But babies and toddlers who were with their parents until the government stepped in to take them out of their mothers' arms? That is new,” Rachel Maddow. T</w:t>
      </w:r>
      <w:r w:rsidRPr="0673B170" w:rsidR="0673B170">
        <w:rPr>
          <w:rStyle w:val="StyleUnderline"/>
          <w:b w:val="1"/>
          <w:bCs w:val="1"/>
        </w:rPr>
        <w:t xml:space="preserve">he Unaccompanied Alien Children (UAC) designation and program already implemented precisely this kind of separation in the past. </w:t>
      </w:r>
      <w:r w:rsidRPr="0673B170" w:rsidR="0673B170">
        <w:rPr>
          <w:rFonts w:ascii="Arial" w:hAnsi="Arial" w:eastAsia="Arial" w:cs="Arial"/>
          <w:b w:val="0"/>
          <w:bCs w:val="0"/>
          <w:color w:val="000000" w:themeColor="text1" w:themeTint="FF" w:themeShade="FF"/>
          <w:sz w:val="22"/>
          <w:szCs w:val="22"/>
        </w:rPr>
        <w:t>M</w:t>
      </w:r>
      <w:r w:rsidRPr="0673B170" w:rsidR="0673B170">
        <w:rPr>
          <w:rStyle w:val="StyleUnderline"/>
          <w:b w:val="1"/>
          <w:bCs w:val="1"/>
        </w:rPr>
        <w:t>any categories of children arriving at the border with parents, seeking asylum or attempting to cross at or between ports of entry, have been ripped away from their parents as a matter of policy and routine for many years,</w:t>
      </w:r>
      <w:r w:rsidRPr="0673B170" w:rsidR="0673B170">
        <w:rPr>
          <w:rFonts w:ascii="Arial" w:hAnsi="Arial" w:eastAsia="Arial" w:cs="Arial"/>
          <w:b w:val="0"/>
          <w:bCs w:val="0"/>
          <w:color w:val="000000" w:themeColor="text1" w:themeTint="FF" w:themeShade="FF"/>
          <w:sz w:val="22"/>
          <w:szCs w:val="22"/>
        </w:rPr>
        <w:t xml:space="preserve"> a</w:t>
      </w:r>
      <w:r w:rsidRPr="0673B170" w:rsidR="0673B170">
        <w:rPr>
          <w:b w:val="0"/>
          <w:bCs w:val="0"/>
          <w:sz w:val="22"/>
          <w:szCs w:val="22"/>
        </w:rPr>
        <w:t>ccording to testimonies from Romani refugees, families from Brazil and targeted African countries, as well as from testimonies of social service workers involved in the UAC program. But more fundamentally, it is critical to remember that children, by the millions, have been ripped away from families all along the border for generations. Firstly, because the border is more than the line on the map, and extends to the US-backed economic and military policies that produce mass displacement, and to the policies that coerce migrants to place their children with coyotes and guias as their only option for crossing; these separations have been a persistent and ongoing violence of US border policy in the lives of children. But even if we look only at apprehensions along the US-Mexico border line, t</w:t>
      </w:r>
      <w:r w:rsidRPr="0673B170" w:rsidR="0673B170">
        <w:rPr>
          <w:rStyle w:val="StyleUnderline"/>
          <w:b w:val="1"/>
          <w:bCs w:val="1"/>
        </w:rPr>
        <w:t>here is no such thing as children who are “unaccompanied”, only children who have previously been separated from parents by US policy, away from the view of cameras -- children who, in other words, have been violently made to b</w:t>
      </w:r>
      <w:r w:rsidRPr="0673B170" w:rsidR="0673B170">
        <w:rPr>
          <w:b w:val="0"/>
          <w:bCs w:val="0"/>
          <w:i w:val="1"/>
          <w:iCs w:val="1"/>
          <w:color w:val="000000" w:themeColor="text1" w:themeTint="FF" w:themeShade="FF"/>
          <w:sz w:val="22"/>
          <w:szCs w:val="22"/>
          <w:u w:val="single"/>
        </w:rPr>
        <w:t>ecome u</w:t>
      </w:r>
      <w:r w:rsidRPr="0673B170" w:rsidR="0673B170">
        <w:rPr>
          <w:rStyle w:val="StyleUnderline"/>
          <w:b w:val="1"/>
          <w:bCs w:val="1"/>
        </w:rPr>
        <w:t xml:space="preserve">naccompanied. </w:t>
      </w:r>
      <w:r w:rsidRPr="0673B170" w:rsidR="0673B170">
        <w:rPr>
          <w:rFonts w:ascii="Arial" w:hAnsi="Arial" w:eastAsia="Arial" w:cs="Arial"/>
          <w:b w:val="0"/>
          <w:bCs w:val="0"/>
          <w:color w:val="000000" w:themeColor="text1" w:themeTint="FF" w:themeShade="FF"/>
          <w:sz w:val="22"/>
          <w:szCs w:val="22"/>
        </w:rPr>
        <w:t>O</w:t>
      </w:r>
      <w:r w:rsidRPr="0673B170" w:rsidR="0673B170">
        <w:rPr>
          <w:b w:val="0"/>
          <w:bCs w:val="0"/>
          <w:sz w:val="22"/>
          <w:szCs w:val="22"/>
        </w:rPr>
        <w:t>ver 200,000 children categorized as “unaccompanied minors” suffered this form of forced family separation during Obama’s last term in office1. There was and still is no outrage about this process. And how many of the more than 2.5 million people deported during the Obama administration were parents ripped apart from children? And where is the outrage over DHS policies of apprehending kids from Mexico and d</w:t>
      </w:r>
      <w:r w:rsidRPr="0673B170" w:rsidR="0673B170">
        <w:rPr>
          <w:b w:val="0"/>
          <w:bCs w:val="0"/>
          <w:sz w:val="22"/>
          <w:szCs w:val="22"/>
        </w:rPr>
        <w:t>umping them across the border almost immediately without a hearing before an immigration judge, deliberately redirecting them away from the locations of their crossing -- where they have some contacts, families or support networks -- and into areas where they would have no family or loved ones? T</w:t>
      </w:r>
      <w:r w:rsidRPr="0673B170" w:rsidR="0673B170">
        <w:rPr>
          <w:rStyle w:val="StyleUnderline"/>
          <w:b w:val="1"/>
          <w:bCs w:val="1"/>
        </w:rPr>
        <w:t>he numbers of children separated in this expedited way as a matter of policy average over ten thousand each year.</w:t>
      </w:r>
      <w:r w:rsidRPr="0673B170" w:rsidR="0673B170">
        <w:rPr>
          <w:rFonts w:ascii="Arial" w:hAnsi="Arial" w:eastAsia="Arial" w:cs="Arial"/>
          <w:b w:val="0"/>
          <w:bCs w:val="0"/>
          <w:color w:val="000000" w:themeColor="text1" w:themeTint="FF" w:themeShade="FF"/>
          <w:sz w:val="22"/>
          <w:szCs w:val="22"/>
        </w:rPr>
        <w:t xml:space="preserve"> T</w:t>
      </w:r>
      <w:r w:rsidRPr="0673B170" w:rsidR="0673B170">
        <w:rPr>
          <w:b w:val="0"/>
          <w:bCs w:val="0"/>
          <w:sz w:val="22"/>
          <w:szCs w:val="22"/>
        </w:rPr>
        <w:t>he persistent and systematic abduction of migrant children from parents has been happening all along at a massive scale, away from the view of cameras, but the conditions that produce this violence are not considered useful for a media campaign or political capital. T</w:t>
      </w:r>
      <w:r w:rsidRPr="0673B170" w:rsidR="0673B170">
        <w:rPr>
          <w:rStyle w:val="StyleUnderline"/>
          <w:b w:val="1"/>
          <w:bCs w:val="1"/>
        </w:rPr>
        <w:t>he process by which children are made to become Unaccompanied Alien Children has become normalized, as though “unaccompanied” and “alien” is something that children simply are, as opposed to something the US government is doing to them.</w:t>
      </w:r>
      <w:r w:rsidRPr="0673B170" w:rsidR="0673B170">
        <w:rPr>
          <w:b w:val="0"/>
          <w:bCs w:val="0"/>
          <w:color w:val="000000" w:themeColor="text1" w:themeTint="FF" w:themeShade="FF"/>
          <w:sz w:val="22"/>
          <w:szCs w:val="22"/>
        </w:rPr>
        <w:t xml:space="preserve"> Th</w:t>
      </w:r>
      <w:r w:rsidRPr="0673B170" w:rsidR="0673B170">
        <w:rPr>
          <w:rStyle w:val="StyleUnderline"/>
          <w:b w:val="1"/>
          <w:bCs w:val="1"/>
        </w:rPr>
        <w:t xml:space="preserve">e more we see current outrage mobilized as “never before”, the more the past, ongoing and future abductions, suffering, separation and detention of children under any other conditions is made to seem normal and acceptable, </w:t>
      </w:r>
      <w:r w:rsidRPr="0673B170" w:rsidR="0673B170">
        <w:rPr>
          <w:rFonts w:ascii="Arial" w:hAnsi="Arial" w:eastAsia="Arial" w:cs="Arial"/>
          <w:b w:val="0"/>
          <w:bCs w:val="0"/>
          <w:color w:val="000000" w:themeColor="text1" w:themeTint="FF" w:themeShade="FF"/>
          <w:sz w:val="22"/>
          <w:szCs w:val="22"/>
        </w:rPr>
        <w:t>r</w:t>
      </w:r>
      <w:r w:rsidRPr="0673B170" w:rsidR="0673B170">
        <w:rPr>
          <w:b w:val="0"/>
          <w:bCs w:val="0"/>
          <w:sz w:val="22"/>
          <w:szCs w:val="22"/>
        </w:rPr>
        <w:t>ecast in euphemistic terms -- as though the unaccompanied kids in Rachel Maddow’s righteous rant were not ripped away from loved ones and put in cages, they were already alone and merely handled by “facilities”. Unaccompanied Alien Children - Overview of an incarceration system So let’s look at the current system that captures kids and labels them UAC’s -- children separated from parents by other means, in other ways, systemically and as a matter of US policy. We will try to paint an accurate picture of how it is structured and organized. Our description is based on a thorough review of government documents including congressional hearings and reports, as well as testimonies of whistleblower employees of the social service agencies outsourced to operate UAC detention facilities2. We will also look at the ways the current “crisis” is an opportunity to put into high gear what has been an effort to experiment with new forms of state-sanctioned violence on the bodies of these children by rejigging the UAC program and expanding its direct cooperation with enforcement agencies from ICE to local police jurisdictions. We will point out how e</w:t>
      </w:r>
      <w:r w:rsidRPr="0673B170" w:rsidR="0673B170">
        <w:rPr>
          <w:rStyle w:val="StyleUnderline"/>
          <w:b w:val="1"/>
          <w:bCs w:val="1"/>
        </w:rPr>
        <w:t xml:space="preserve">uphemisms work to recast the structural violence of the state as benevolence, as a form of rescue and care. </w:t>
      </w:r>
      <w:r w:rsidRPr="0673B170" w:rsidR="0673B170">
        <w:rPr>
          <w:b w:val="0"/>
          <w:bCs w:val="0"/>
          <w:color w:val="000000" w:themeColor="text1" w:themeTint="FF" w:themeShade="FF"/>
          <w:sz w:val="22"/>
          <w:szCs w:val="22"/>
        </w:rPr>
        <w:t>In all of this, t</w:t>
      </w:r>
      <w:r w:rsidRPr="0673B170" w:rsidR="0673B170">
        <w:rPr>
          <w:rStyle w:val="StyleUnderline"/>
          <w:b w:val="1"/>
          <w:bCs w:val="1"/>
        </w:rPr>
        <w:t>he common thread is the production of categories of children who need saving by the state. U</w:t>
      </w:r>
      <w:r w:rsidRPr="0673B170" w:rsidR="0673B170">
        <w:rPr>
          <w:b w:val="0"/>
          <w:bCs w:val="0"/>
          <w:sz w:val="22"/>
          <w:szCs w:val="22"/>
        </w:rPr>
        <w:t>AC is the name given to any person under 18 years old with uncertain immigration status who is detained by the Department of Homeland Security and who does not have an adult parent or guardian able to provide care for them, regardless of how they are apprehended and regardless of how the separation was produced: at the time of crossing, as a result of a raid or as a result of the detention of a loved one etc. D</w:t>
      </w:r>
      <w:r w:rsidRPr="0673B170" w:rsidR="0673B170">
        <w:rPr>
          <w:rStyle w:val="StyleUnderline"/>
          <w:b w:val="1"/>
          <w:bCs w:val="1"/>
        </w:rPr>
        <w:t xml:space="preserve">HS has jurisdiction over the arrest and initial detention of the children; they are under legal pressure to refer and transfer the children into the custody of the US Department of Health and Human Services (HHS) / Office of Refugee Resettlement (ORR) within 72 hours </w:t>
      </w:r>
      <w:r w:rsidRPr="0673B170" w:rsidR="0673B170">
        <w:rPr>
          <w:rFonts w:ascii="Arial" w:hAnsi="Arial" w:eastAsia="Arial" w:cs="Arial"/>
          <w:b w:val="0"/>
          <w:bCs w:val="0"/>
          <w:color w:val="000000" w:themeColor="text1" w:themeTint="FF" w:themeShade="FF"/>
          <w:sz w:val="22"/>
          <w:szCs w:val="22"/>
        </w:rPr>
        <w:t>d</w:t>
      </w:r>
      <w:r w:rsidRPr="0673B170" w:rsidR="0673B170">
        <w:rPr>
          <w:b w:val="0"/>
          <w:bCs w:val="0"/>
          <w:sz w:val="22"/>
          <w:szCs w:val="22"/>
        </w:rPr>
        <w:t>ue to a legal precedent called the Flores Settlement. HHS/ORR has jurisdiction over incarcerating these children who are also placed under deportation proceedings, which is usually referred to as “immigration processing”. HHS/ORR contracts with local and national social service agencies-- Non-governmental (NGOs), non-for-profit organizations -- to provide secure detention facilities for the captivity of the children. The social service providers comply with protocols established by ORR, under the management and review of for-profit companies acting as Third Party Reviewer, to secure placement of the children with proper “sponsors”. This involves an investigation of such sponsors and their entire households (including fingerprints and in many cases, home inspections etc) to determine if the children can be “released” to their care. T</w:t>
      </w:r>
      <w:r w:rsidRPr="0673B170" w:rsidR="0673B170">
        <w:rPr>
          <w:rStyle w:val="StyleUnderline"/>
          <w:b w:val="1"/>
          <w:bCs w:val="1"/>
        </w:rPr>
        <w:t>he children are, however, not free -- throughout their detention and beyond, they are placed in some form of immigration prosecution; they have follow-up court dates and are subjected to the same slow violence targeting all p</w:t>
      </w:r>
      <w:r w:rsidRPr="0673B170" w:rsidR="0673B170">
        <w:rPr>
          <w:rStyle w:val="StyleUnderline"/>
          <w:b w:val="1"/>
          <w:bCs w:val="1"/>
        </w:rPr>
        <w:t>eople the state is trying to deport - the devastating nature of this slow violence is intimately familiar in our communities and yet becomes erased in government and advocate narratives about “release” and “reunification”. After so-called release from “shelters”, DoJ has jurisdiction over their prosecution. DHS has jurisdiction over their deportation. D</w:t>
      </w:r>
      <w:r w:rsidRPr="0673B170" w:rsidR="0673B170">
        <w:rPr>
          <w:rStyle w:val="StyleUnderline"/>
          <w:b w:val="1"/>
          <w:bCs w:val="1"/>
        </w:rPr>
        <w:t>HS and HHS call this process whereby a child is captured, converted into a UAC, detained, processed for deportation and released pending deportation hearings, “f</w:t>
      </w:r>
      <w:r w:rsidRPr="0673B170" w:rsidR="0673B170">
        <w:rPr>
          <w:b w:val="0"/>
          <w:bCs w:val="0"/>
          <w:i w:val="1"/>
          <w:iCs w:val="1"/>
          <w:color w:val="000000" w:themeColor="text1" w:themeTint="FF" w:themeShade="FF"/>
          <w:sz w:val="22"/>
          <w:szCs w:val="22"/>
          <w:u w:val="single"/>
        </w:rPr>
        <w:t>amily reunification”</w:t>
      </w:r>
      <w:r w:rsidRPr="0673B170" w:rsidR="0673B170">
        <w:rPr>
          <w:rStyle w:val="StyleUnderline"/>
          <w:rFonts w:ascii="Arial" w:hAnsi="Arial" w:eastAsia="Arial" w:cs="Arial"/>
          <w:b w:val="1"/>
          <w:bCs w:val="1"/>
        </w:rPr>
        <w:t>.</w:t>
      </w:r>
      <w:r w:rsidRPr="0673B170" w:rsidR="0673B170">
        <w:rPr>
          <w:b w:val="0"/>
          <w:bCs w:val="0"/>
          <w:color w:val="000000" w:themeColor="text1" w:themeTint="FF" w:themeShade="FF"/>
          <w:sz w:val="22"/>
          <w:szCs w:val="22"/>
        </w:rPr>
        <w:t xml:space="preserve"> This cynical term masks the fact that t</w:t>
      </w:r>
      <w:r w:rsidRPr="0673B170" w:rsidR="0673B170">
        <w:rPr>
          <w:rStyle w:val="StyleUnderline"/>
          <w:b w:val="1"/>
          <w:bCs w:val="1"/>
        </w:rPr>
        <w:t>he vast majority of these children know exactly where their loved ones are -- children cross the border with a parent’s phone number in their pocket -- yes, even toddlers -- or have other relatives they are trying to reunite with when abducted by the authorities. They are not unaccompanied, they are made to be UAC for purposes of p</w:t>
      </w:r>
      <w:r w:rsidRPr="0673B170" w:rsidR="0673B170">
        <w:rPr>
          <w:b w:val="0"/>
          <w:bCs w:val="0"/>
          <w:i w:val="1"/>
          <w:iCs w:val="1"/>
          <w:color w:val="000000" w:themeColor="text1" w:themeTint="FF" w:themeShade="FF"/>
          <w:sz w:val="22"/>
          <w:szCs w:val="22"/>
          <w:u w:val="single"/>
        </w:rPr>
        <w:t>rocessing.</w:t>
      </w:r>
      <w:r w:rsidRPr="0673B170" w:rsidR="0673B170">
        <w:rPr>
          <w:rStyle w:val="StyleUnderline"/>
          <w:rFonts w:ascii="Arial" w:hAnsi="Arial" w:eastAsia="Arial" w:cs="Arial"/>
          <w:b w:val="1"/>
          <w:bCs w:val="1"/>
        </w:rPr>
        <w:t xml:space="preserve"> </w:t>
      </w:r>
      <w:r w:rsidRPr="0673B170" w:rsidR="0673B170">
        <w:rPr>
          <w:rFonts w:ascii="Arial" w:hAnsi="Arial" w:eastAsia="Arial" w:cs="Arial"/>
          <w:b w:val="0"/>
          <w:bCs w:val="0"/>
          <w:color w:val="000000" w:themeColor="text1" w:themeTint="FF" w:themeShade="FF"/>
          <w:sz w:val="22"/>
          <w:szCs w:val="22"/>
        </w:rPr>
        <w:t>T</w:t>
      </w:r>
      <w:r w:rsidRPr="0673B170" w:rsidR="0673B170">
        <w:rPr>
          <w:b w:val="0"/>
          <w:bCs w:val="0"/>
          <w:sz w:val="22"/>
          <w:szCs w:val="22"/>
        </w:rPr>
        <w:t>he program interrupts their efforts to reunite with loved ones and, in effect, abducts them in order to render them available for prosecution. The program is full of euphemisms: the f</w:t>
      </w:r>
      <w:r w:rsidRPr="0673B170" w:rsidR="0673B170">
        <w:rPr>
          <w:rStyle w:val="StyleUnderline"/>
          <w:b w:val="1"/>
          <w:bCs w:val="1"/>
        </w:rPr>
        <w:t xml:space="preserve">acilities offer “care” instead of detention or incarceration, children have an “encounter” with authorities instead of an arrest, there are “beds” instead of inmate numbers, and families are subject to “home studies” not investigations and state surveillance. </w:t>
      </w:r>
      <w:r w:rsidRPr="0673B170" w:rsidR="0673B170">
        <w:rPr>
          <w:rFonts w:ascii="Arial" w:hAnsi="Arial" w:eastAsia="Arial" w:cs="Arial"/>
          <w:b w:val="0"/>
          <w:bCs w:val="0"/>
          <w:color w:val="000000" w:themeColor="text1" w:themeTint="FF" w:themeShade="FF"/>
          <w:sz w:val="22"/>
          <w:szCs w:val="22"/>
        </w:rPr>
        <w:t>W</w:t>
      </w:r>
      <w:r w:rsidRPr="0673B170" w:rsidR="0673B170">
        <w:rPr>
          <w:rStyle w:val="StyleUnderline"/>
          <w:b w:val="1"/>
          <w:bCs w:val="1"/>
        </w:rPr>
        <w:t>hile in HHS/ORR custody, children are held in facilities called “shelters”, “c</w:t>
      </w:r>
      <w:r w:rsidRPr="0673B170" w:rsidR="0673B170">
        <w:rPr>
          <w:b w:val="0"/>
          <w:bCs w:val="0"/>
          <w:i w:val="1"/>
          <w:iCs w:val="1"/>
          <w:color w:val="000000" w:themeColor="text1" w:themeTint="FF" w:themeShade="FF"/>
          <w:sz w:val="22"/>
          <w:szCs w:val="22"/>
          <w:u w:val="single"/>
        </w:rPr>
        <w:t>asa hogar”</w:t>
      </w:r>
      <w:r w:rsidRPr="0673B170" w:rsidR="0673B170">
        <w:rPr>
          <w:rStyle w:val="StyleUnderline"/>
          <w:b w:val="1"/>
          <w:bCs w:val="1"/>
        </w:rPr>
        <w:t xml:space="preserve"> or “family reunification centers”, not jails, detention centers, or lock-ups. Children are called “participants” not detainees or prisoners even though the facilities are locked, children are under prosecution, and prison-like disciplinary methods and routines structure every aspect of daily life -- from mealtime to bedtime to possibilities for social interaction, the restrictions on children are in many ways more severe than those faced by the general population in jails due to them being considered “vulnerable populations”3</w:t>
      </w:r>
      <w:r w:rsidRPr="0673B170" w:rsidR="0673B170">
        <w:rPr>
          <w:b w:val="0"/>
          <w:bCs w:val="0"/>
          <w:color w:val="000000" w:themeColor="text1" w:themeTint="FF" w:themeShade="FF"/>
          <w:sz w:val="22"/>
          <w:szCs w:val="22"/>
        </w:rPr>
        <w:t>.</w:t>
      </w:r>
      <w:r w:rsidRPr="0673B170" w:rsidR="0673B170">
        <w:rPr>
          <w:rFonts w:ascii="Arial" w:hAnsi="Arial" w:eastAsia="Arial" w:cs="Arial"/>
          <w:b w:val="0"/>
          <w:bCs w:val="0"/>
          <w:color w:val="000000" w:themeColor="text1" w:themeTint="FF" w:themeShade="FF"/>
          <w:sz w:val="22"/>
          <w:szCs w:val="22"/>
        </w:rPr>
        <w:t xml:space="preserve"> A</w:t>
      </w:r>
      <w:r w:rsidRPr="0673B170" w:rsidR="0673B170">
        <w:rPr>
          <w:rStyle w:val="StyleUnderline"/>
          <w:b w:val="1"/>
          <w:bCs w:val="1"/>
        </w:rPr>
        <w:t>ttempts at escape, which are not infrequent, lead to a police manhunt.</w:t>
      </w:r>
      <w:r w:rsidRPr="0673B170" w:rsidR="0673B170">
        <w:rPr>
          <w:rFonts w:ascii="Arial" w:hAnsi="Arial" w:eastAsia="Arial" w:cs="Arial"/>
          <w:b w:val="0"/>
          <w:bCs w:val="0"/>
          <w:color w:val="000000" w:themeColor="text1" w:themeTint="FF" w:themeShade="FF"/>
          <w:sz w:val="22"/>
          <w:szCs w:val="22"/>
        </w:rPr>
        <w:t xml:space="preserve"> F</w:t>
      </w:r>
      <w:r w:rsidRPr="0673B170" w:rsidR="0673B170">
        <w:rPr>
          <w:rStyle w:val="StyleUnderline"/>
          <w:b w:val="1"/>
          <w:bCs w:val="1"/>
        </w:rPr>
        <w:t>ailed escapes lead to the child being placed in a “secure” or “staff-secure” facility, which describes the more dire conditions faced by children considered flight risks, suspected gang members (or children considered at risk for being recruited into gangs), children considered a danger to themselves and others, children with “behavior problems” and many others.</w:t>
      </w:r>
      <w:r w:rsidRPr="0673B170" w:rsidR="0673B170">
        <w:rPr>
          <w:rFonts w:ascii="Arial" w:hAnsi="Arial" w:eastAsia="Arial" w:cs="Arial"/>
          <w:b w:val="0"/>
          <w:bCs w:val="0"/>
          <w:color w:val="000000" w:themeColor="text1" w:themeTint="FF" w:themeShade="FF"/>
          <w:sz w:val="22"/>
          <w:szCs w:val="22"/>
        </w:rPr>
        <w:t xml:space="preserve"> D</w:t>
      </w:r>
      <w:r w:rsidRPr="0673B170" w:rsidR="0673B170">
        <w:rPr>
          <w:b w:val="0"/>
          <w:bCs w:val="0"/>
          <w:sz w:val="22"/>
          <w:szCs w:val="22"/>
        </w:rPr>
        <w:t>uring Obama’s last presidential term, DHS abducted over 200,000 children and HHS detained over 170,000 migrant children, the majority from the countries of Honduras, Guatemala, and El Salvador. As of April 2018, HHS had a permanent detention capacity of over 11,000 child inmates at any given time, in facilities all over the country. Most of this incarceration capacity is located near the southwestern border, but many of these facilities are in cities like Chicago, which is, not surprisingly, a hub in the logistics of child captivity. W</w:t>
      </w:r>
      <w:r w:rsidRPr="0673B170" w:rsidR="0673B170">
        <w:rPr>
          <w:rStyle w:val="StyleUnderline"/>
          <w:b w:val="1"/>
          <w:bCs w:val="1"/>
        </w:rPr>
        <w:t>e walk by these detention facilities every day without even knowing it. The mechanisms and procedures of this system, as well as the locations of the detention sites, have been highly secretive.</w:t>
      </w:r>
      <w:r w:rsidRPr="0673B170" w:rsidR="0673B170">
        <w:rPr>
          <w:b w:val="0"/>
          <w:bCs w:val="0"/>
          <w:color w:val="000000" w:themeColor="text1" w:themeTint="FF" w:themeShade="FF"/>
          <w:sz w:val="22"/>
          <w:szCs w:val="22"/>
        </w:rPr>
        <w:t xml:space="preserve"> Missing, Trafficked, Recruited, Separated - #SaveTheChildren! T</w:t>
      </w:r>
      <w:r w:rsidRPr="0673B170" w:rsidR="0673B170">
        <w:rPr>
          <w:rStyle w:val="StyleUnderline"/>
          <w:b w:val="1"/>
          <w:bCs w:val="1"/>
        </w:rPr>
        <w:t xml:space="preserve">he UAC system of detention and prosecution is itself a result of a process of “saving kids” from border patrol and ICE detention. </w:t>
      </w:r>
      <w:r w:rsidRPr="0673B170" w:rsidR="0673B170">
        <w:rPr>
          <w:rFonts w:ascii="Arial" w:hAnsi="Arial" w:eastAsia="Arial" w:cs="Arial"/>
          <w:b w:val="0"/>
          <w:bCs w:val="0"/>
          <w:color w:val="000000" w:themeColor="text1" w:themeTint="FF" w:themeShade="FF"/>
          <w:sz w:val="22"/>
          <w:szCs w:val="22"/>
        </w:rPr>
        <w:t>T</w:t>
      </w:r>
      <w:r w:rsidRPr="0673B170" w:rsidR="0673B170">
        <w:rPr>
          <w:rStyle w:val="StyleUnderline"/>
          <w:b w:val="1"/>
          <w:bCs w:val="1"/>
        </w:rPr>
        <w:t>he euphemisms in the UAC system are not accidental because the program was put in place as a result of legal challenges over the conditions of detention faced by kids in facilities often known as “coolers” -- warehouses and other detention spaces under DHS jurisdiction at the border. The “solution” was to rename and re-organize the ways children are incarcerated and prosecuted, outsourcing most of the investigative and repressive functions to social service agencies.</w:t>
      </w:r>
      <w:r w:rsidRPr="0673B170" w:rsidR="0673B170">
        <w:rPr>
          <w:rFonts w:ascii="Arial" w:hAnsi="Arial" w:eastAsia="Arial" w:cs="Arial"/>
          <w:b w:val="0"/>
          <w:bCs w:val="0"/>
          <w:color w:val="000000" w:themeColor="text1" w:themeTint="FF" w:themeShade="FF"/>
          <w:sz w:val="22"/>
          <w:szCs w:val="22"/>
        </w:rPr>
        <w:t xml:space="preserve"> S</w:t>
      </w:r>
      <w:r w:rsidRPr="0673B170" w:rsidR="0673B170">
        <w:rPr>
          <w:rStyle w:val="StyleUnderline"/>
          <w:b w:val="1"/>
          <w:bCs w:val="1"/>
        </w:rPr>
        <w:t>ince the program’s inception, the state has deepened the detainability and deportability of immigrant adults and children, while recasting incarceration as care, prosecution as release, and deportation as repatriation.</w:t>
      </w:r>
      <w:r w:rsidRPr="0673B170" w:rsidR="0673B170">
        <w:rPr>
          <w:b w:val="0"/>
          <w:bCs w:val="0"/>
          <w:color w:val="000000" w:themeColor="text1" w:themeTint="FF" w:themeShade="FF"/>
          <w:sz w:val="22"/>
          <w:szCs w:val="22"/>
        </w:rPr>
        <w:t xml:space="preserve"> This process continues in Trump’s Amerikkka, because you can be crazy right-wing and save the children, too. T</w:t>
      </w:r>
      <w:r w:rsidRPr="0673B170" w:rsidR="0673B170">
        <w:rPr>
          <w:rStyle w:val="StyleUnderline"/>
          <w:b w:val="1"/>
          <w:bCs w:val="1"/>
        </w:rPr>
        <w:t>he outrage is not a</w:t>
      </w:r>
      <w:r w:rsidRPr="0673B170" w:rsidR="0673B170">
        <w:rPr>
          <w:rStyle w:val="StyleUnderline"/>
          <w:b w:val="1"/>
          <w:bCs w:val="1"/>
        </w:rPr>
        <w:t>t the ways the state targets human beings -- through apprehension, detention, removal -- it’s not in the captivity itself, or the fact of their deportability and detainability, the outrage has historically focused exclusively on the c</w:t>
      </w:r>
      <w:r w:rsidRPr="0673B170" w:rsidR="0673B170">
        <w:rPr>
          <w:b w:val="0"/>
          <w:bCs w:val="0"/>
          <w:i w:val="1"/>
          <w:iCs w:val="1"/>
          <w:color w:val="000000" w:themeColor="text1" w:themeTint="FF" w:themeShade="FF"/>
          <w:sz w:val="22"/>
          <w:szCs w:val="22"/>
          <w:u w:val="single"/>
        </w:rPr>
        <w:t>onditions o</w:t>
      </w:r>
      <w:r w:rsidRPr="0673B170" w:rsidR="0673B170">
        <w:rPr>
          <w:rStyle w:val="StyleUnderline"/>
          <w:b w:val="1"/>
          <w:bCs w:val="1"/>
        </w:rPr>
        <w:t>f detention. This approach has proven to be an opportunity for e</w:t>
      </w:r>
      <w:r w:rsidRPr="0673B170" w:rsidR="0673B170">
        <w:rPr>
          <w:b w:val="0"/>
          <w:bCs w:val="0"/>
          <w:i w:val="1"/>
          <w:iCs w:val="1"/>
          <w:color w:val="000000" w:themeColor="text1" w:themeTint="FF" w:themeShade="FF"/>
          <w:sz w:val="22"/>
          <w:szCs w:val="22"/>
          <w:u w:val="single"/>
        </w:rPr>
        <w:t>xpansion a</w:t>
      </w:r>
      <w:r w:rsidRPr="0673B170" w:rsidR="0673B170">
        <w:rPr>
          <w:rStyle w:val="StyleUnderline"/>
          <w:b w:val="1"/>
          <w:bCs w:val="1"/>
        </w:rPr>
        <w:t>nd p</w:t>
      </w:r>
      <w:r w:rsidRPr="0673B170" w:rsidR="0673B170">
        <w:rPr>
          <w:b w:val="0"/>
          <w:bCs w:val="0"/>
          <w:i w:val="1"/>
          <w:iCs w:val="1"/>
          <w:color w:val="000000" w:themeColor="text1" w:themeTint="FF" w:themeShade="FF"/>
          <w:sz w:val="22"/>
          <w:szCs w:val="22"/>
          <w:u w:val="single"/>
        </w:rPr>
        <w:t>rofit f</w:t>
      </w:r>
      <w:r w:rsidRPr="0673B170" w:rsidR="0673B170">
        <w:rPr>
          <w:rStyle w:val="StyleUnderline"/>
          <w:b w:val="1"/>
          <w:bCs w:val="1"/>
        </w:rPr>
        <w:t>or a range of nonprofits and social service agencies,</w:t>
      </w:r>
      <w:r w:rsidRPr="0673B170" w:rsidR="0673B170">
        <w:rPr>
          <w:rFonts w:ascii="Arial" w:hAnsi="Arial" w:eastAsia="Arial" w:cs="Arial"/>
          <w:b w:val="0"/>
          <w:bCs w:val="0"/>
          <w:color w:val="000000" w:themeColor="text1" w:themeTint="FF" w:themeShade="FF"/>
          <w:sz w:val="22"/>
          <w:szCs w:val="22"/>
        </w:rPr>
        <w:t xml:space="preserve"> w</w:t>
      </w:r>
      <w:r w:rsidRPr="0673B170" w:rsidR="0673B170">
        <w:rPr>
          <w:b w:val="0"/>
          <w:bCs w:val="0"/>
          <w:sz w:val="22"/>
          <w:szCs w:val="22"/>
        </w:rPr>
        <w:t>hose financial self-interest is linked to carrying out state repression onto populations they are supposedly trying to help, save, or “represent” politically. Several recent developments have shifted the focus to smaller and smaller, more precisely defined, subcategories of UAC’s that are slated for exceptional interventions under the pretext of their protection. In each case, congressional hearings were triggered to investigate how these children could have “fallen through the cracks” and the imperative of expanding state surveillance in the lives of children, families and entire communities became the policy solutions. Over this period, various cases began to be conflated. Below is a brief outline. In 2014 a media scandal broke out when 8 children from Guatemala were discovered as being trafficked into forced labor on an Ohio egg farm; this became the pretext for an ongoing scare campaign carried out in congressional hearings mandating “tightening” of ORR policies and supervision. Until this incident, ORR had no jurisdiction or responsibilities after the children were formally “released” from the detention facilities. Between their release and their first court dates, most children were not directly surveilled by any state agency; in some cases, “post-release services” became recommended or mandated, which also served the function of limited surveillance. Following the scandal, Congressional investigation mandated that HHS/ORR and DHS develop a Memorandum of Agreement to clarify how these agencies would cooperate to share information about possible sponsors, and to better track the children post-release. This discussion did not address the ways that denying people immigration status is what exposes them to the risk of labor trafficking, nor did any of the representatives from social service agencies or the immigrant rights lobby who testified mention that the best form of protection against labor trafficking would be immigration status for both children and their families. In late 2016, members of the MS-13 street gang murdered two US-born teenagers in Suffolk County. In early 2017, four teenage boys, three of whom were immigrants, were also killed by the gang; two of these boys had fled to the US to escape gang violence in Honduras and had pending asylum cases. These tragic cases became exploited by Donald Trump, who paraded the suffering parents of the two US citizen teenagers murdered by the gang as the literal background of his 2018 State of the Union Speech. Stating that gangs like MS-13 “took advantage of glaring loopholes in our laws to enter the country as unaccompanied alien minors”, this flashed onto prime time what had already been formalized as an accelerating collaboration between policing and the UAC system. In August 2017, following congressional investigations, HHS/ORR implemented a new program called the Community Safety Initiative, which consists of:- New forms of cooperation between HHS, ORR, DHS and law enforcement on UAC’s with suspected gang affiliation or “criminal background” – a deliberately broad and vaguely defined notion historically used to render populations available to state violence, punishment or exploitation.- Notification of local police authorities when UAC from secure and staff secure facilities are released in their communities-- these are children who are flight risks, have what staff consider behavior problems, are considered a danger to themselves or others etc.- ORR field staff begin integrating with local anti-gang task forces.- Expanding the “secure bed” capacity, (from two juvenile justice facilities: one operated by a regional criminal justice consortium in Virginia, and the other operated by a county in California). - Increased domestic apprehensions of children resulting from operations targeting gang members. - Allows for not releasing “gang affiliated” children to sponsors, but to keep them in staff-secure “shelters” until t</w:t>
      </w:r>
      <w:r w:rsidRPr="0673B170" w:rsidR="0673B170">
        <w:rPr>
          <w:b w:val="0"/>
          <w:bCs w:val="0"/>
          <w:sz w:val="22"/>
          <w:szCs w:val="22"/>
        </w:rPr>
        <w:t>heir 18th birthday when they are turned over to ICE. This gang scare is used to expand a “tough on crime” approach to the “care” of children, putting all detainable and deportable children at risk, as well as bringing new forms of DHS-Police cooperation targeting poor youth of color in cities across the country. Conflating the gang scare, trafficking hype and myth of the “missing children” (see below), Kristjen Nielsen (DHS) recently pushed for a number of far-reaching interventions from Congress: terminating the Flores Settlement Agreement, amending the TVPRA to reduce and restrict the limits on DHS involvement in the lives of UAC’s, clarifying the statutory definitions of “unaccompanied alien children” etc. (May 15, 2018 Full hearing)#WhereAreTheChildren: When Captors Panic About Hostages Gone AWOL In April 2018, during a Senate Hearing on the “Oversight of HHS &amp; DHS efforts to protect Unaccompanied Alien Children from Human Trafficking &amp; Abuse”, Steven Wagner (HHS) reported on the recently implemented “follow-up calls” for UAC’s. S</w:t>
      </w:r>
      <w:r w:rsidRPr="0673B170" w:rsidR="0673B170">
        <w:rPr>
          <w:rStyle w:val="StyleUnderline"/>
          <w:b w:val="1"/>
          <w:bCs w:val="1"/>
        </w:rPr>
        <w:t>taff from social service agencies are instructed to attempt three phone calls to the children’s sponsors 30 days post-release, and to document how many children were still living with sponsors, how many had run away, how many had relocated, etc. If phone communication could not be established, the social service provider and ORR note this as u</w:t>
      </w:r>
      <w:r w:rsidRPr="0673B170" w:rsidR="0673B170">
        <w:rPr>
          <w:b w:val="0"/>
          <w:bCs w:val="0"/>
          <w:i w:val="1"/>
          <w:iCs w:val="1"/>
          <w:color w:val="000000" w:themeColor="text1" w:themeTint="FF" w:themeShade="FF"/>
          <w:sz w:val="22"/>
          <w:szCs w:val="22"/>
          <w:u w:val="single"/>
        </w:rPr>
        <w:t>nable to determine the whereabouts of the UAC.</w:t>
      </w:r>
      <w:r w:rsidRPr="0673B170" w:rsidR="0673B170">
        <w:rPr>
          <w:rFonts w:ascii="Arial" w:hAnsi="Arial" w:eastAsia="Arial" w:cs="Arial"/>
          <w:b w:val="0"/>
          <w:bCs w:val="0"/>
          <w:color w:val="000000" w:themeColor="text1" w:themeTint="FF" w:themeShade="FF"/>
          <w:sz w:val="22"/>
          <w:szCs w:val="22"/>
        </w:rPr>
        <w:t xml:space="preserve"> O</w:t>
      </w:r>
      <w:r w:rsidRPr="0673B170" w:rsidR="0673B170">
        <w:rPr>
          <w:rStyle w:val="StyleUnderline"/>
          <w:b w:val="1"/>
          <w:bCs w:val="1"/>
        </w:rPr>
        <w:t>ver a period of three months, ORR indicated this designation in 1,475 cases. One month later, this figure became the basis for the #wherearethechildren social media craze that had celebrities and advocates screaming for a “better tracking” system of the lost or missing children. There are many reasons why the three phone calls could have resulted in no determination -- no one answered the phone, the phone number changed, sponsor decided to s</w:t>
      </w:r>
      <w:r w:rsidRPr="0673B170" w:rsidR="0673B170">
        <w:rPr>
          <w:b w:val="0"/>
          <w:bCs w:val="0"/>
          <w:i w:val="1"/>
          <w:iCs w:val="1"/>
          <w:color w:val="000000" w:themeColor="text1" w:themeTint="FF" w:themeShade="FF"/>
          <w:sz w:val="22"/>
          <w:szCs w:val="22"/>
          <w:u w:val="single"/>
        </w:rPr>
        <w:t>wipe left o</w:t>
      </w:r>
      <w:r w:rsidRPr="0673B170" w:rsidR="0673B170">
        <w:rPr>
          <w:rStyle w:val="StyleUnderline"/>
          <w:b w:val="1"/>
          <w:bCs w:val="1"/>
        </w:rPr>
        <w:t>n their smartphone, etc.</w:t>
      </w:r>
      <w:r w:rsidRPr="0673B170" w:rsidR="0673B170">
        <w:rPr>
          <w:b w:val="0"/>
          <w:bCs w:val="0"/>
          <w:color w:val="000000" w:themeColor="text1" w:themeTint="FF" w:themeShade="FF"/>
          <w:sz w:val="22"/>
          <w:szCs w:val="22"/>
        </w:rPr>
        <w:t xml:space="preserve"> More importantly, f</w:t>
      </w:r>
      <w:r w:rsidRPr="0673B170" w:rsidR="0673B170">
        <w:rPr>
          <w:rStyle w:val="StyleUnderline"/>
          <w:b w:val="1"/>
          <w:bCs w:val="1"/>
        </w:rPr>
        <w:t>amilies may have good reasons to avoid contact with a state agency like ORR -- which had until recently k</w:t>
      </w:r>
      <w:r w:rsidRPr="0673B170" w:rsidR="0673B170">
        <w:rPr>
          <w:b w:val="0"/>
          <w:bCs w:val="0"/>
          <w:i w:val="1"/>
          <w:iCs w:val="1"/>
          <w:color w:val="000000" w:themeColor="text1" w:themeTint="FF" w:themeShade="FF"/>
          <w:sz w:val="22"/>
          <w:szCs w:val="22"/>
          <w:u w:val="single"/>
        </w:rPr>
        <w:t>idnapped t</w:t>
      </w:r>
      <w:r w:rsidRPr="0673B170" w:rsidR="0673B170">
        <w:rPr>
          <w:rStyle w:val="StyleUnderline"/>
          <w:b w:val="1"/>
          <w:bCs w:val="1"/>
        </w:rPr>
        <w:t xml:space="preserve">heir child -- given that most often parents, the sponsor, or other members of the sponsor’s household are themselves undocumented. </w:t>
      </w:r>
      <w:r w:rsidRPr="0673B170" w:rsidR="0673B170">
        <w:rPr>
          <w:b w:val="0"/>
          <w:bCs w:val="0"/>
          <w:color w:val="000000" w:themeColor="text1" w:themeTint="FF" w:themeShade="FF"/>
          <w:sz w:val="22"/>
          <w:szCs w:val="22"/>
        </w:rPr>
        <w:t>In recognizing that the intrusion of DHS/HHS/ORR into the lives of these children constitutes an abduction, followed by prolonged prosecution, O</w:t>
      </w:r>
      <w:r w:rsidRPr="0673B170" w:rsidR="0673B170">
        <w:rPr>
          <w:rStyle w:val="StyleUnderline"/>
          <w:b w:val="1"/>
          <w:bCs w:val="1"/>
        </w:rPr>
        <w:t xml:space="preserve">RR/DHS concern over so-called “lost” children should be understood as a captor panicking that their hostages are absent without leave. </w:t>
      </w:r>
      <w:r w:rsidRPr="0673B170" w:rsidR="0673B170">
        <w:rPr>
          <w:b w:val="0"/>
          <w:bCs w:val="0"/>
          <w:color w:val="000000" w:themeColor="text1" w:themeTint="FF" w:themeShade="FF"/>
          <w:sz w:val="22"/>
          <w:szCs w:val="22"/>
        </w:rPr>
        <w:t>The real concern of officials behind the co-called lost children craze is revealed in the closing statement of senator Rob Portman, Chairman of the Permanent Subcommittee on Investigations of the US Senate, as to the purpose of these hearings: “F</w:t>
      </w:r>
      <w:r w:rsidRPr="0673B170" w:rsidR="0673B170">
        <w:rPr>
          <w:b w:val="0"/>
          <w:bCs w:val="0"/>
          <w:i w:val="1"/>
          <w:iCs w:val="1"/>
          <w:color w:val="000000" w:themeColor="text1" w:themeTint="FF" w:themeShade="FF"/>
          <w:sz w:val="22"/>
          <w:szCs w:val="22"/>
        </w:rPr>
        <w:t>irst: Human decency. Once these unaccompanied children are in the United States, we have a duty to ensure they are not trafficked or abused. Second: The rule of law. Our immigration system is broken. One problem is that half of these children are not showing up to their court hearings. That’s not good for the kids or for our system. We need to do better.”</w:t>
      </w:r>
      <w:r w:rsidRPr="0673B170" w:rsidR="0673B170">
        <w:rPr>
          <w:b w:val="0"/>
          <w:bCs w:val="0"/>
          <w:color w:val="000000" w:themeColor="text1" w:themeTint="FF" w:themeShade="FF"/>
          <w:sz w:val="22"/>
          <w:szCs w:val="22"/>
        </w:rPr>
        <w:t xml:space="preserve"> The child at risk - a manufactured category for new markets T</w:t>
      </w:r>
      <w:r w:rsidRPr="0673B170" w:rsidR="0673B170">
        <w:rPr>
          <w:rStyle w:val="StyleUnderline"/>
          <w:b w:val="1"/>
          <w:bCs w:val="1"/>
        </w:rPr>
        <w:t xml:space="preserve">he interest of federal agencies in manufacturing categories of children seen as being “at risk” and then promoting solutions for their protection has become a rallying cry that brings together and conflates different moments of state-manufactured panic: </w:t>
      </w:r>
      <w:r w:rsidRPr="0673B170" w:rsidR="0673B170">
        <w:rPr>
          <w:b w:val="0"/>
          <w:bCs w:val="0"/>
          <w:color w:val="000000" w:themeColor="text1" w:themeTint="FF" w:themeShade="FF"/>
          <w:sz w:val="22"/>
          <w:szCs w:val="22"/>
        </w:rPr>
        <w:t>how do we find the lost children? How do we protect them from gang recruitment? From criminals? From themselves? How do we protect children from traffickers – and given that parents have, since the inception of the DREAMer phase and into the current Trump era, been implicitly or explicitly represented as traffickers of their children, how do we protect the innocent children from their criminal parents, families, communities? This h</w:t>
      </w:r>
      <w:r w:rsidRPr="0673B170" w:rsidR="0673B170">
        <w:rPr>
          <w:rStyle w:val="StyleUnderline"/>
          <w:b w:val="1"/>
          <w:bCs w:val="1"/>
        </w:rPr>
        <w:t xml:space="preserve">ype masks a series of important imperatives that reveal the deeper questions being pursued </w:t>
      </w:r>
      <w:r w:rsidRPr="0673B170" w:rsidR="0673B170">
        <w:rPr>
          <w:b w:val="0"/>
          <w:bCs w:val="0"/>
          <w:color w:val="000000" w:themeColor="text1" w:themeTint="FF" w:themeShade="FF"/>
          <w:sz w:val="22"/>
          <w:szCs w:val="22"/>
        </w:rPr>
        <w:t>by the state and the capitalist interests it represents. How do we keep people hostage across all areas of social life? How do we keep prisoners locked up even outside of prisons -- a project of generalizing surveillance and enforcement which began with the so-called prison without walls program that p</w:t>
      </w:r>
      <w:r w:rsidRPr="0673B170" w:rsidR="0673B170">
        <w:rPr>
          <w:b w:val="0"/>
          <w:bCs w:val="0"/>
          <w:color w:val="000000" w:themeColor="text1" w:themeTint="FF" w:themeShade="FF"/>
          <w:sz w:val="22"/>
          <w:szCs w:val="22"/>
        </w:rPr>
        <w:t>romoted an expansion of containment via electronic shackles and surveillance while masquerading as an alternative to detention (The New Housing Boom: “Secure Housing of Immigrants). How do these “at risk children” become useful -- how do we make profit from them? T</w:t>
      </w:r>
      <w:r w:rsidRPr="0673B170" w:rsidR="0673B170">
        <w:rPr>
          <w:rStyle w:val="StyleUnderline"/>
          <w:b w:val="1"/>
          <w:bCs w:val="1"/>
        </w:rPr>
        <w:t xml:space="preserve">he “child at risk”, the lost or trafficked or separated child, becomes a new project for surveillance, such that state and nonstate actors can occupy or take over new sectors that were not previously under their purview. </w:t>
      </w:r>
      <w:r w:rsidRPr="0673B170" w:rsidR="0673B170">
        <w:rPr>
          <w:rFonts w:ascii="Arial" w:hAnsi="Arial" w:eastAsia="Arial" w:cs="Arial"/>
          <w:b w:val="0"/>
          <w:bCs w:val="0"/>
          <w:color w:val="000000" w:themeColor="text1" w:themeTint="FF" w:themeShade="FF"/>
          <w:sz w:val="22"/>
          <w:szCs w:val="22"/>
        </w:rPr>
        <w:t>T</w:t>
      </w:r>
      <w:r w:rsidRPr="0673B170" w:rsidR="0673B170">
        <w:rPr>
          <w:rStyle w:val="StyleUnderline"/>
          <w:b w:val="1"/>
          <w:bCs w:val="1"/>
        </w:rPr>
        <w:t xml:space="preserve">imeframes, social space and areas of peoples lives that were not previously subject to direct state intervention </w:t>
      </w:r>
      <w:r w:rsidRPr="0673B170" w:rsidR="0673B170">
        <w:rPr>
          <w:b w:val="0"/>
          <w:bCs w:val="0"/>
          <w:color w:val="000000" w:themeColor="text1" w:themeTint="FF" w:themeShade="FF"/>
          <w:sz w:val="22"/>
          <w:szCs w:val="22"/>
        </w:rPr>
        <w:t>can be made available to the imperative for surveillance, with immediate large-scale profits in the form of technology, logistics and “consulting” contracts. The children also represent a new market for the social service sector, who have profited greatly from being the outsourced providers of state enforcement. The social service surveillance web includes “home visits”, phone calls etc and post-release services that have until recently been voluntary, in that families could opt-out, but are currently under consideration to be mandatory until the child turns 18 or is deported. New sources of grant moneys for social service agencies have opened-up -- putting the “profit” back into the non-for-profit/NGO sector! For every crisis, a solution? W</w:t>
      </w:r>
      <w:r w:rsidRPr="0673B170" w:rsidR="0673B170">
        <w:rPr>
          <w:rStyle w:val="StyleUnderline"/>
          <w:b w:val="1"/>
          <w:bCs w:val="1"/>
        </w:rPr>
        <w:t xml:space="preserve">hen a new category at risk is created, so too are the corresponding categories of those cast as unworthy, as undeserving of protection. These include the incorrigible children who do not make good figures for paternalistic rescue, gang members and runaways, the ones who abscond. Those made invisible by the spectacle, those cast as background so that the new figure at risk emerges, are implicitly cast as dangerous and criminal -- migrant adults are disappeared into the figure of potential trafficker by the state’s rescue of the children. </w:t>
      </w:r>
      <w:r w:rsidRPr="0673B170" w:rsidR="0673B170">
        <w:rPr>
          <w:rFonts w:ascii="Arial" w:hAnsi="Arial" w:eastAsia="Arial" w:cs="Arial"/>
          <w:b w:val="0"/>
          <w:bCs w:val="0"/>
          <w:color w:val="000000" w:themeColor="text1" w:themeTint="FF" w:themeShade="FF"/>
          <w:sz w:val="22"/>
          <w:szCs w:val="22"/>
        </w:rPr>
        <w:t>W</w:t>
      </w:r>
      <w:r w:rsidRPr="0673B170" w:rsidR="0673B170">
        <w:rPr>
          <w:rStyle w:val="StyleUnderline"/>
          <w:b w:val="1"/>
          <w:bCs w:val="1"/>
        </w:rPr>
        <w:t xml:space="preserve">hile the “child at risk” category is an invention of the state, the figure of a perpetual child who will never reach adulthood, the real children the state is speculating upon, and upon whose bodies this production of risk is performed, will continue to suffer the consequences of expanding criminalization once they turn 18. </w:t>
      </w:r>
      <w:r w:rsidRPr="0673B170" w:rsidR="0673B170">
        <w:rPr>
          <w:b w:val="0"/>
          <w:bCs w:val="0"/>
          <w:color w:val="000000" w:themeColor="text1" w:themeTint="FF" w:themeShade="FF"/>
          <w:sz w:val="22"/>
          <w:szCs w:val="22"/>
        </w:rPr>
        <w:t>(Do it for the Children!) There has been an outpouring of concern for the suffering of migrant children, a desire to act, to mobilize, to resist. But we know that m</w:t>
      </w:r>
      <w:r w:rsidRPr="0673B170" w:rsidR="0673B170">
        <w:rPr>
          <w:rStyle w:val="StyleUnderline"/>
          <w:b w:val="1"/>
          <w:bCs w:val="1"/>
        </w:rPr>
        <w:t xml:space="preserve">edia spectacle and catch phrases like #WhereAreTheChildren, #SaveTheChildren, #FamiliesBelongTogether have so far worked to obscure the vast prison, border, detention, military and economic systems that work together to produce family separation in all its forms. </w:t>
      </w:r>
      <w:r w:rsidRPr="0673B170" w:rsidR="0673B170">
        <w:rPr>
          <w:b w:val="0"/>
          <w:bCs w:val="0"/>
          <w:color w:val="000000" w:themeColor="text1" w:themeTint="FF" w:themeShade="FF"/>
          <w:sz w:val="22"/>
          <w:szCs w:val="22"/>
        </w:rPr>
        <w:t>We cannot fight for migrant children and families based on deceptive and misleading narratives, appeals to “American values” and media hype touting n</w:t>
      </w:r>
      <w:r w:rsidRPr="0673B170" w:rsidR="0673B170">
        <w:rPr>
          <w:b w:val="0"/>
          <w:bCs w:val="0"/>
          <w:i w:val="1"/>
          <w:iCs w:val="1"/>
          <w:color w:val="000000" w:themeColor="text1" w:themeTint="FF" w:themeShade="FF"/>
          <w:sz w:val="22"/>
          <w:szCs w:val="22"/>
        </w:rPr>
        <w:t>ever before.</w:t>
      </w:r>
      <w:r w:rsidRPr="0673B170" w:rsidR="0673B170">
        <w:rPr>
          <w:rFonts w:ascii="Arial" w:hAnsi="Arial" w:eastAsia="Arial" w:cs="Arial"/>
          <w:b w:val="0"/>
          <w:bCs w:val="0"/>
          <w:color w:val="000000" w:themeColor="text1" w:themeTint="FF" w:themeShade="FF"/>
          <w:sz w:val="22"/>
          <w:szCs w:val="22"/>
        </w:rPr>
        <w:t xml:space="preserve"> T</w:t>
      </w:r>
      <w:r w:rsidRPr="0673B170" w:rsidR="0673B170">
        <w:rPr>
          <w:rStyle w:val="StyleUnderline"/>
          <w:b w:val="1"/>
          <w:bCs w:val="1"/>
        </w:rPr>
        <w:t>he Democrats -- who stole our movements while selling us out -- are once again posturing as the pro-migrant solution, while powerful NGO’s are already cashing in on our suffering by using this moment to fundraise and to distract from their c</w:t>
      </w:r>
      <w:r w:rsidRPr="0673B170" w:rsidR="0673B170">
        <w:rPr>
          <w:b w:val="0"/>
          <w:bCs w:val="0"/>
          <w:i w:val="1"/>
          <w:iCs w:val="1"/>
          <w:color w:val="000000" w:themeColor="text1" w:themeTint="FF" w:themeShade="FF"/>
          <w:sz w:val="22"/>
          <w:szCs w:val="22"/>
          <w:u w:val="single"/>
        </w:rPr>
        <w:t>ulpability i</w:t>
      </w:r>
      <w:r w:rsidRPr="0673B170" w:rsidR="0673B170">
        <w:rPr>
          <w:rStyle w:val="StyleUnderline"/>
          <w:b w:val="1"/>
          <w:bCs w:val="1"/>
        </w:rPr>
        <w:t xml:space="preserve">n producing the conditions that created the crisis to begin with. </w:t>
      </w:r>
      <w:r w:rsidRPr="0673B170" w:rsidR="0673B170">
        <w:rPr>
          <w:b w:val="0"/>
          <w:bCs w:val="0"/>
          <w:color w:val="000000" w:themeColor="text1" w:themeTint="FF" w:themeShade="FF"/>
          <w:sz w:val="22"/>
          <w:szCs w:val="22"/>
        </w:rPr>
        <w:t>The powerful and well-resourced institutional left could easily challenge the ways migration is criminalized but have not done so. Even taken at face value, clear and simple responses are self-evident: DHS is claiming they are merely enforcing the law, and citing Article 8 of U.S.C 1325 as the reason prompting the enforcement, and yet so far no legislative proposal authored by the Democrats and promoted by the NGO’s has dared to eliminate provisions for the criminal prosecution of “improper entry”. W</w:t>
      </w:r>
      <w:r w:rsidRPr="0673B170" w:rsidR="0673B170">
        <w:rPr>
          <w:rStyle w:val="StyleUnderline"/>
          <w:b w:val="1"/>
          <w:bCs w:val="1"/>
        </w:rPr>
        <w:t>e are seeing no coherent attempts to demand an end to the prosecution of migrants at the border and an immediate moratorium on deportations -- both of which can be seen as reasonable f</w:t>
      </w:r>
      <w:r w:rsidRPr="0673B170" w:rsidR="0673B170">
        <w:rPr>
          <w:b w:val="0"/>
          <w:bCs w:val="0"/>
          <w:i w:val="1"/>
          <w:iCs w:val="1"/>
          <w:color w:val="000000" w:themeColor="text1" w:themeTint="FF" w:themeShade="FF"/>
          <w:sz w:val="22"/>
          <w:szCs w:val="22"/>
          <w:u w:val="single"/>
        </w:rPr>
        <w:t>irst steps i</w:t>
      </w:r>
      <w:r w:rsidRPr="0673B170" w:rsidR="0673B170">
        <w:rPr>
          <w:rStyle w:val="StyleUnderline"/>
          <w:b w:val="1"/>
          <w:bCs w:val="1"/>
        </w:rPr>
        <w:t>n addressing some of the more obvious conditions that produce family separation. T</w:t>
      </w:r>
      <w:r w:rsidRPr="0673B170" w:rsidR="0673B170">
        <w:rPr>
          <w:rStyle w:val="StyleUnderline"/>
          <w:b w:val="1"/>
          <w:bCs w:val="1"/>
        </w:rPr>
        <w:t>he institutional left are instead trying to mobilize popular outrage around fake solutions -- family reunification based on improved conditions of detention, more access to “services”, better “care”, more efficient “processing” and surveillance, retoolings of “due process”, and the carving out o</w:t>
      </w:r>
      <w:r w:rsidRPr="0673B170" w:rsidR="0673B170">
        <w:rPr>
          <w:rStyle w:val="StyleUnderline"/>
          <w:b w:val="1"/>
          <w:bCs w:val="1"/>
        </w:rPr>
        <w:t>f small exceptional categories deserving of paternalistic rescue. A</w:t>
      </w:r>
      <w:r w:rsidRPr="0673B170" w:rsidR="0673B170">
        <w:rPr>
          <w:rStyle w:val="StyleUnderline"/>
          <w:b w:val="1"/>
          <w:bCs w:val="1"/>
        </w:rPr>
        <w:t xml:space="preserve"> struggle for our communities starts from a refusal to believe the hype, a refusal to buy into the logic of worthy vs unworthy populations, good vs bad migrant, legitimate vs bogus asylum seeker, legal vs illegal migration, citizen vs alien. Our struggle is against the borders that produce these categories to begin with, against state sanctioned violence in all its forms.</w:t>
      </w:r>
      <w:r w:rsidRPr="0673B170" w:rsidR="0673B170">
        <w:rPr>
          <w:b w:val="0"/>
          <w:bCs w:val="0"/>
          <w:color w:val="000000" w:themeColor="text1" w:themeTint="FF" w:themeShade="FF"/>
          <w:sz w:val="22"/>
          <w:szCs w:val="22"/>
        </w:rPr>
        <w:t xml:space="preserve"> Our struggle demands the right to self-determination for all peoples affected by US policy and by the relentless pursuit of US economic and political interests. Our struggle is for self-organization outside and beyond electoral politics, beyond and against the professional movement leaders, it is a struggle for our own analysis, our own understandings and our own solutions from below.</w:t>
      </w:r>
    </w:p>
    <w:p xmlns:wp14="http://schemas.microsoft.com/office/word/2010/wordml" w:rsidRPr="001D492C" w:rsidR="008263E8" w:rsidP="008263E8" w:rsidRDefault="008263E8" w14:paraId="7196D064" wp14:textId="77777777">
      <w:pPr>
        <w:rPr>
          <w:b/>
        </w:rPr>
      </w:pPr>
    </w:p>
    <w:p xmlns:wp14="http://schemas.microsoft.com/office/word/2010/wordml" w:rsidRPr="00965D75" w:rsidR="008263E8" w:rsidP="008263E8" w:rsidRDefault="008263E8" w14:paraId="6EE70C4A" wp14:textId="77777777">
      <w:pPr>
        <w:pStyle w:val="Heading4"/>
      </w:pPr>
      <w:r w:rsidRPr="00965D75">
        <w:t xml:space="preserve">Immigration policy is </w:t>
      </w:r>
      <w:r>
        <w:t xml:space="preserve">intrinsic to the production of sexual normalization as a requirement for citizenship, delimiting the moral character of the body politc.  LGBT expansions of citizenship continue to enforce filial relation as the bedrock of proper relationality as human, citizen, and political subject, suturing the queer to the homonationalist nation-state.  </w:t>
      </w:r>
    </w:p>
    <w:p xmlns:wp14="http://schemas.microsoft.com/office/word/2010/wordml" w:rsidRPr="00AF7C1F" w:rsidR="008263E8" w:rsidP="008263E8" w:rsidRDefault="008263E8" w14:paraId="346E2707" wp14:textId="77777777">
      <w:r w:rsidRPr="00965D75">
        <w:rPr>
          <w:rStyle w:val="Style13ptBold"/>
        </w:rPr>
        <w:t>Luibheid 05</w:t>
      </w:r>
      <w:r w:rsidRPr="00AF7C1F">
        <w:t xml:space="preserve"> (Eithne, Ph.D. in Ethnic Studies from the University of California, Berkeley, is a Professor of Gender and Women's Studies at UA, her specializations included: undocumented immigration, queer migrations, marriage and migration, citizenship, and queer theory, Queering Migration and Citizenship, Queer Migrations: Sexuality, U.S. Citizenship, and Border Crossings, xiv-xxvi, Eithne Luibheid and Liolen Cantu, Jr., Regents of the University of Minnesota, 2005) //jd</w:t>
      </w:r>
    </w:p>
    <w:p xmlns:wp14="http://schemas.microsoft.com/office/word/2010/wordml" w:rsidRPr="00F47448" w:rsidR="008263E8" w:rsidP="008263E8" w:rsidRDefault="008263E8" w14:paraId="7BC02E17" wp14:textId="77777777">
      <w:pPr>
        <w:rPr>
          <w:sz w:val="16"/>
        </w:rPr>
      </w:pPr>
      <w:r w:rsidRPr="00F47448">
        <w:rPr>
          <w:sz w:val="16"/>
        </w:rPr>
        <w:t xml:space="preserve">Following passage of the Page Law,restrictive immigration legislation multiplied. For instance, Chinese exclusion became law in 1882, and by 1924 had been extended to prevent the entry of all Asians.17 Southern and Eastern European arrivals were also significantly reduced after 1924 because of racial and cultural concerns. Class restrictions multiplied, including bans on contract laborers and those deemed liable to become public charges. </w:t>
      </w:r>
      <w:r w:rsidRPr="001937C1">
        <w:rPr>
          <w:rStyle w:val="StyleUnderline"/>
        </w:rPr>
        <w:t xml:space="preserve">At the same time, a preference for nuclear, heteropatriarchal families increasingly structured U.S. immigration law. As a result, in the early decades of the twentieth century, women who were not excluded on racial and class grounds faced growing difficulties entering the United States unless they came under the protection of a male who seemed "respectable" and could provide support.18 Immigration law also expanded the provisions against women coming to the United States for prostitution, and added bans on polygamists and immoral women.19 Immorality encompassed a wide range of sexual (and other) behaviors, including cohabiting and having sex outside of marriage. The focus on heteropatriarchy also legitimated the exclusion of gender- transitive people. Edward Corsi, an Italian immigrant who became the commissioner of immigration and naturalization at Ellis Island in New York, described the experiences of immigrant Alexandra Velas when she reached Ellis Island in the ipios: "She proved to be, upon examination, despite her earlier insistence to the contrary, a young woman. Vehemently she insisted that her identity had not been questioned before. When Dr. Senner asked her why she wore men's clothes, she answered that she would rather kill herself than wear women's clothes."20 Velas was denied entry, apparently on the grounds of cross-dressing, and was sent to England.21 The immigration system's anxious production of heteropatriarchal families became explicitly linked to the reproduction of racial and class exclusions. Asian wives, in particular, were continually singled out for investigation of possible sexual immorality. When not barred for alleged immorality, they were often barred on racial or class </w:t>
      </w:r>
      <w:r w:rsidRPr="001937C1">
        <w:rPr>
          <w:rStyle w:val="StyleUnderline"/>
        </w:rPr>
        <w:lastRenderedPageBreak/>
        <w:t>grounds. Exemplifying these restrictions was the 1920 Ladies Agreement, which ended the migration of Japanese brides joining husbands in the United States be- cause restrictionists claimed that these brides' childbearing rates threatened white supremacy</w:t>
      </w:r>
      <w:r w:rsidRPr="00F47448">
        <w:rPr>
          <w:sz w:val="16"/>
        </w:rPr>
        <w:t xml:space="preserve">.22 Poor and working-class wives of all backgrounds were increasingly refused entry on the grounds that they were "liable to become public charges," such as through bearing children in publicly funded hospitals. </w:t>
      </w:r>
      <w:r w:rsidRPr="001937C1">
        <w:rPr>
          <w:rStyle w:val="StyleUnderline"/>
        </w:rPr>
        <w:t>Revisions to immigration law in 1965 not only reaffirmed lesbian and gay exclusion but also further codified heterosexual, nuclear family rela- tions as the primary basis for admission to the United States by reserv- ing nearly three-quarters of all permanent immigration visas for people with those ties.23 As David Reimers's research shows, these family pref- erences not only upheld patriarchal gender and sexual regimes but also were tacitly intended to perpetuate racial exclusion. Particularly since Asians and Africans had been barred from immigrating for many decades, lawmakers calculated that they would lack the family ties nec- essary for legal immigration under the 1965 revisions.24 In 1996, further revisions to immigration law codified the neoliberal drive to create "re- sponsible" immigrant families through exclusionary measures</w:t>
      </w:r>
      <w:r w:rsidRPr="00F47448">
        <w:rPr>
          <w:sz w:val="16"/>
        </w:rPr>
        <w:t xml:space="preserve">.25 Those whose incomes did not reach at least 125 percent of federal poverty guide- lines became ineligible to sponsor family members for migration. Those who met income requirements had to sign a legally binding affidavit of support for each sponsored family member—even while the 1996 revi- sions also stripped legal immigrants of eligibility for many federal sup- port programs. Representative Lamar Smith explained the rationale for the affidavits: "Just as we require deadbeat dads to provide for the chil- dren they bring into the world, we should require deadbeat sponsors to provide for the immigrants they bring into the country."26 AsKathleen M. Moore described, Smith's rhetoric equates immigrant families with welfare users in a way that justified punitive policies toward both.27 </w:t>
      </w:r>
      <w:r w:rsidRPr="001937C1">
        <w:rPr>
          <w:rStyle w:val="StyleUnderline"/>
        </w:rPr>
        <w:t xml:space="preserve">In short, since its inception in the late nineteenth century, federal immigration control centrally focused on sexuality as a ground for con- trolling newcomers' entry. But sexuality always operated in tandem with gender, racial, class, and cultural considerations. As the immigration control apparatus evolved to address these interlocking concerns, it did not simply apply preexisting sexual, gender, racial, class, and cultural categories to individuals, but rather actively participated in producing these distinctions and linking them to broader processes of nation- making and citizenship.28 As the essays in this volume show, contempo- rary examinations of queer immigration must take this history and its legacies into account. </w:t>
      </w:r>
      <w:r w:rsidRPr="00F47448">
        <w:rPr>
          <w:sz w:val="16"/>
        </w:rPr>
        <w:t xml:space="preserve">The immigration system, however, was not the only channel through which noncitizens sought to enter and often settle in the United States. Noncitizens' entry has also been structured through the refugee/asylum system, which developed after World War II. Unlike the immigration sys- tem, which frames entry as a privilege that can be granted in a discrim- inatory manner by a sovereign nation-state, the refugee/asylum system is underpinned by a different logic. Here, admission is supposed to be granted based on the United States' commitment to upholding inter- national human rights laws, which provide asylum to those fleeing per- secution on the basis of race, religion, nationality, political opinion, or membership in a particular social group. This international standard, codified by the 1951Convention on the Status of Refugees, was formally incorporated into U.S. law through the 1980 Refugee Act, which also sys- tematized admission and resettlement procedures for refugees.29 </w:t>
      </w:r>
      <w:r w:rsidRPr="001937C1">
        <w:rPr>
          <w:rStyle w:val="StyleUnderline"/>
        </w:rPr>
        <w:t>Despite its grounding in international human rights regimes, refugee/ asylum law has historically been interpreted in ways that presumed a male subject seeking to assert his individuality against an oppressive state.30 But in recent years, the refugee/asylum system has had to develop amoregender-sensitiveprocessandinterpretiveframework.31 Compet- ing claims about how to interpret "membership in a particular social group," and about what counts as a legitimate "political opinion" for purposes of asylum, have also opened up the asylum process to new ac- tors and issues. Moreover, since the 19908 courts have considered and issued contradictory rulings about the significance of gender and sexual identities and practices in establishing eligibility for asylum. In particu- lar, courts have addressed persecution on account of sexual orientation, gender identity, and noncompliance with social gender norms</w:t>
      </w:r>
      <w:r w:rsidRPr="00F47448">
        <w:rPr>
          <w:sz w:val="16"/>
        </w:rPr>
        <w:t xml:space="preserve">. They have also addressed persecution that takes gendered or sexualized forms, including rape, FGM (female genital mutilation), forced sterilization or abortion, and domestic violence. Nonetheless, such cases remain difficult to win, and the asylum process is still most accessible to those who are male, heterosexual, economically privileged, and from particular "racial" and national origins (see Randazzo's essay in this volume)—and most inaccessible for those whose persecution </w:t>
      </w:r>
      <w:r w:rsidRPr="00F47448">
        <w:rPr>
          <w:sz w:val="16"/>
        </w:rPr>
        <w:lastRenderedPageBreak/>
        <w:t xml:space="preserve">involved several intersecting axes of subordination (see Randazzo's and Solomon's essays). Thus, the refugee/asylum system also perpetuates exclusions similar to those that structure immigration control. </w:t>
      </w:r>
      <w:r w:rsidRPr="001937C1">
        <w:rPr>
          <w:rStyle w:val="StyleUnderline"/>
        </w:rPr>
        <w:t>Citizens who are marked as outsiders are particularly affected by im- migration control in two interrelated ways. First, the discriminatory immigration laws described above had their counterpart in discrimina- tory citizenship laws, and each reinforced the other. Thus, although citi- zenship involves rights and obligations that are supposedly available to all members of the national community, in practice, in the United States and elsewhere, citizens who were not white, male, able-bodied, property- owning, and sexually reproductive faced great struggle in becoming for- mally recognized as full, rights-bearing members of the national com- munity. The 1790 naturalization law reserved U.S. citizenship for free whites only, and it was only in 1952that all formal racial barriers to citi- zenship were dismantled.39 Citizenship was gendered, so that as men of different racial groups gained citizenship, women from these groups were also enfranchised, but as dependents of men rather than as equal citizens.40 Citizenship was bound up with class relations; "it was on the basis of property and wealth that citizenship rights, voting in particular, were first determined."41</w:t>
      </w:r>
      <w:r w:rsidRPr="00F47448">
        <w:rPr>
          <w:sz w:val="16"/>
        </w:rPr>
        <w:t xml:space="preserve"> </w:t>
      </w:r>
      <w:r w:rsidRPr="001937C1">
        <w:rPr>
          <w:rStyle w:val="StyleUnderline"/>
        </w:rPr>
        <w:t>The intimate connections between citizenship and a patriarchal sexual order that sought to maintain "white" racial purity and related property relations have been well documented.42 Shane Phelan further characterizes U.S. citizenship as increasingly heterosexu- alized during the twentieth century.43 Lauren Berlant extends Phelan's claim to examine how citizenship norms and practices became increas- ingly privatized after the late 19708 through the aggressive promotion of an idealized heterosexual family sphere.44 More generally, M. Jacqui Alexander argues that "heterosexuality is at once necessary to the state's ability to constitute and imagine itself, while simultaneously marking the site of its own instability</w:t>
      </w:r>
      <w:r w:rsidRPr="00F47448">
        <w:rPr>
          <w:sz w:val="16"/>
        </w:rPr>
        <w:t>."</w:t>
      </w:r>
      <w:r w:rsidRPr="001937C1">
        <w:rPr>
          <w:rStyle w:val="StyleUnderline"/>
        </w:rPr>
        <w:t xml:space="preserve">45 Clearly, the abstract ideal of universal citizen- ship, supposedly available to all, was in reality very unequally distrib- uted.46 And these inequalities were mirrored in and reinforced by dis- criminatory immigration laws, which admitted immigrants based on sexual, gender, racial, and class criteria. Changes in one area of law had ramifications in the other area. Moreover, as immigrants who did gain admission sought to become citizens, their possibilities for doing so were mediated by these exclusionary logics (see Somerville's essay). </w:t>
      </w:r>
      <w:r w:rsidRPr="00F47448">
        <w:rPr>
          <w:sz w:val="16"/>
        </w:rPr>
        <w:t xml:space="preserve">A second important way in which marked citizens are deeply affected by U.S. immigration control involves the symbolic realm. In addition to immigration control strategies and citizenship law, representational sys- tems powerfully construct a sense of national belonging and identi- fication. Stuart Hall elaborates, "people are not only legal citizens of a nation, they participate in the idea of the nation as represented in its symbolic culture."47 Representations of immigration are one of the most important motifs through which the U.S. nation and citizenry get imag- ined; as Lauren Berlant suggests, "immigration discourse is a central technology for the reproduction of patriotic nationalism."48 Yet,all rep- resentations of imagined national community also entail exclusions, and this is certainly true in regard to immigration. Mainstream representa- tions of the United States as a nation of immigrants depend on expung- ing histories of genocide, slavery, racialized heteropatriarchy and eco- nomic exploitation, and these representations in turn contribute to a national culture that expels racialized queer migrants, metaphorically and often literally (see Rand's essay). Renato Rosaldo describes how the exclusions that founded norma- tive constructions of U.S. citizenship and nation concomitantly "defined the parameters of dissident traditions that have endured into the pres- ent."49 These dissident traditions provided a basis from which the mean- ings and limits of nation, citizenry, and citizenship have been fiercely contested and partly remade. All the essays in this volume, but especially the three ethnographies by Pena, Roque Ramirez, and Manalansan, pro- vide rich, detailed analyses of efforts to contest and rework the limits of nation and citizenship, from the perspective of racialized queer migrants and the heterogeneous peoples with whom they live, work, mobilize, and love. Building on Rosaldo's redefinition of citizenship as a category to be studied not from the top down, in terms of legal definitions of rights and obligations, but from the bottom up, in terms of everyday practices that inhabit, transform, and extend the meaning of citizenship, the essays make clear how complex citizenship actually is. They also underscore the necessity of moving beyond single-axis analyses that ad- dress only the citizen/alien dichotomy, or the experiences of citizens subordinated along one axis, to theorize how aliens' and citizens' statuses complexly implicate one another, and how people who are multiply mar- ginalized negotiate nationhood and citizenship. The essays ground dis- sident traditions not only in the legacies of U.S. exclusions but also in the cultural forms of other countries to which migrants have ties. By centering racialized queer migrants, these essays both build on and usefully extend scholarship on immigration, sexuality, citizenship, nation-making, and racialization. </w:t>
      </w:r>
      <w:r w:rsidRPr="001937C1">
        <w:rPr>
          <w:rStyle w:val="StyleUnderline"/>
        </w:rPr>
        <w:t xml:space="preserve">An analysis of sexuality begins from the </w:t>
      </w:r>
      <w:r w:rsidRPr="001937C1">
        <w:rPr>
          <w:rStyle w:val="StyleUnderline"/>
        </w:rPr>
        <w:lastRenderedPageBreak/>
        <w:t>understanding that sexuality is not the last bastion of the "natural" or the biological in an increas- ingly technological world. Biology certainly plays a role, but biology is always experienced through cultural mediation.61 Consequently, sexual norms, identities, experiences, and arrangements vary historically and culturally. Efforts to regulate sexuality have been important in all soci- eties, perhaps because sexuality is situated at the juncture of two major axes of concern: the individual, who must be "properly" formed; and society, including "the future growth, well-being, health, and prosperity of the population as</w:t>
      </w:r>
      <w:r w:rsidRPr="00F47448">
        <w:rPr>
          <w:sz w:val="16"/>
        </w:rPr>
        <w:t xml:space="preserve"> </w:t>
      </w:r>
      <w:r w:rsidRPr="001937C1">
        <w:rPr>
          <w:rStyle w:val="StyleUnderline"/>
        </w:rPr>
        <w:t>a whole."</w:t>
      </w:r>
      <w:r w:rsidRPr="00F47448">
        <w:rPr>
          <w:sz w:val="16"/>
        </w:rPr>
        <w:t xml:space="preserve">62 In the United States in the nineteenth century, sexual regulation underwent a significant change as the locus of control shifted from families and churches to the medical profession and state, including its developing criminal, health care, education, and welfare systems. </w:t>
      </w:r>
      <w:r w:rsidRPr="001937C1">
        <w:rPr>
          <w:rStyle w:val="StyleUnderline"/>
        </w:rPr>
        <w:t xml:space="preserve">Shifts in sexual regulation were also evinced by the de- velopment of sexual typologies, with particular attention to "deviant" or "dangerous" sexualities. Deviant sexuality was no longer viewed as simply involving undesirable acts, but rather as a marker of individual identity. Foucault's most famous illustration of these changes concerns homosexuality. According to Foucault, although sodomy had long been prohibited as an immoral or criminal act, persons who engaged in sod- omy were not necessarily considered distinct types of persons. That changed in the nineteenth century when "the homosexual became a personage, a past, a case history, and a childhood, in addition to being a type of life, a life form— The homosexual was now a species."63 Homosexuals and other "deviants" were the first groups to be deline- ated by sexologists, but heterosexuality as a normative and desirable identity became elaborated, promoted, and consolidated by the 19205. These sexual typologies became incorporated into immigration law, as described earlier. </w:t>
      </w:r>
      <w:r w:rsidRPr="00F47448">
        <w:rPr>
          <w:sz w:val="16"/>
        </w:rPr>
        <w:t xml:space="preserve">Efforts to regulate sexuality have been inextricable from racial, gender, and class controls. These interconnections have been richly documented by scholars in many disciplines, including ethnic studies, women's stud- ies, queer theory, sociology, history, and literature. Scholars have also theorized how sexual regulation facilitated imperial projects. According to Ann Laura Stoler, "the regulation of sexual relations was central to the development of particular kinds of colonial settlements and to the allocation of economic activity within them." Indeed, "the very cate- gories of'colonizer' and 'colonized' were secured through forms of sexual control."64 As discussed earlier, the regulation of sexuality, carried out in tandem with immigration control, has also been a central technology for continually reconstructing the nation-state and citizenry within par- ticular limits, historically and at present. Finally, scholarship by feminists of color and queers of color empha- sizes that interconnections among sexuality, race, class, gender, nation, and imperialism transform each category, necessitating new modes of theoretical engagement. Thus, Eng and Horn's analysis of queer Asian Americans stresses: We are not delineating an additive model of social inequity.... Sexuality and race cannot be brought into symmetrical alignment with each other. They are not commensurate oppressions easily catalogued or equated. Instead, the two share a constitutive and dynamic relationship, one whose dialectical combination often yields unrecognized, unacknowledged and understudied configurations.65 These rich analyses of how sexuality is implicated in multiple relations of power, domination, and resistance provide valuable tools for the study of queer migration, on its own terms and in relation to nation-making and citizenship processes. Liberationist Narratives and Revisions </w:t>
      </w:r>
      <w:r w:rsidRPr="001937C1">
        <w:rPr>
          <w:rStyle w:val="StyleUnderline"/>
        </w:rPr>
        <w:t>Despite pioneering research about queer migrants' lives, which has brought sexuality and migration scholarship into productive dialogue, the majority of accounts of queer migration tend to remain organized around a narrative of movement from repression to freedom, or a heroic journey undertaken in search of liberation. Certainly, it is appropriate to describe and appreciate the struggles and fierce dreams that have im- pelled queer migration. Queer migrants—not only those seeking asy- lum from persecution, but also those whose stories are more quotidian— often describe their experiences using precisely these terms</w:t>
      </w:r>
      <w:r w:rsidRPr="00F47448">
        <w:rPr>
          <w:sz w:val="16"/>
        </w:rPr>
        <w:t xml:space="preserve">. Scholars and activists also often use the terms. The difficulty arises, though, when the search for "freedom" and new possibilities become the only elements of queer migration that are addressed. When that happens, complex migration processes become reduced to oversimplified dynamics that reinscribe dominant nationalist myths of the United States as a land of freedom and democracy and erase the struggle, suffering, and resistance experienced by subordinated groups. Furthermore, queer migrants' experiences risk becoming appropriated to serve foreign policy objec- tives, and their subjectivities and histories become represented within colonialist, racist understandings of culture and identity. I want to briefly address these points, drawing on the work of many of the scholars mentioned earlier, who provide ways to study queer migration without becoming enmeshed in these difficulties. Martin F. Manalansan IV has built on transnational, diasporic, and other models that reject strictly nation- and state-centered analyses in favor of analyses that highlight the salience of historical and ongoing links among different regions. In a 1997 essay, he highlights these link- ages in order to underscore that while queer Filipino migrants may be searching for freedom from oppression, their oppression has been sig- nificantly shaped by the legacies of U.S. colonization </w:t>
      </w:r>
      <w:r w:rsidRPr="00F47448">
        <w:rPr>
          <w:sz w:val="16"/>
        </w:rPr>
        <w:lastRenderedPageBreak/>
        <w:t>and by ongoing economic and political relationships between the United States and the Philippines.66 Under these circumstances, queer Filipinos' migration emerges not simply as a search for freedom in the United States, but also as a search for alternatives to circumstances in the Philippines in which the United States is centrally (though not solely) implicated. Conse- quently, queer Filipino immigration cannot be read as a comfortable reiteration of dominant U.S. nationalist myths.</w:t>
      </w:r>
    </w:p>
    <w:p xmlns:wp14="http://schemas.microsoft.com/office/word/2010/wordml" w:rsidRPr="00B0089F" w:rsidR="008263E8" w:rsidP="008263E8" w:rsidRDefault="008263E8" w14:paraId="736909E7" wp14:textId="77777777">
      <w:pPr>
        <w:pStyle w:val="Heading4"/>
        <w:rPr>
          <w:rFonts w:ascii="Times New Roman" w:hAnsi="Times New Roman" w:cs="Times New Roman"/>
          <w:sz w:val="24"/>
          <w:szCs w:val="24"/>
        </w:rPr>
      </w:pPr>
      <w:r w:rsidRPr="00B0089F">
        <w:t>In the age of multicultural inclusion, homonationalism names a structuring force of subject formation that accords citizenship to some populations at the expense of expulsion for others. As such, it expands the state’s capacity to deport and provides the condition of possibility for entry into national and transnational politics. As biopolitical state practices of population control escalate in order to regulate the selective incorporation of some queers, they are attended by a transnational reintensification of racialization through queerness.</w:t>
      </w:r>
    </w:p>
    <w:p xmlns:wp14="http://schemas.microsoft.com/office/word/2010/wordml" w:rsidRPr="00B0089F" w:rsidR="008263E8" w:rsidP="008263E8" w:rsidRDefault="008263E8" w14:paraId="46E40104" wp14:textId="77777777">
      <w:pPr>
        <w:spacing w:after="0" w:line="240" w:lineRule="auto"/>
        <w:rPr>
          <w:rFonts w:ascii="Times New Roman" w:hAnsi="Times New Roman" w:eastAsia="Times New Roman" w:cs="Times New Roman"/>
          <w:sz w:val="24"/>
          <w:szCs w:val="24"/>
        </w:rPr>
      </w:pPr>
      <w:r w:rsidRPr="00B0089F">
        <w:rPr>
          <w:rStyle w:val="Style13ptBold"/>
        </w:rPr>
        <w:t>Puar 17</w:t>
      </w:r>
      <w:r w:rsidRPr="00B0089F">
        <w:rPr>
          <w:rFonts w:eastAsia="Times New Roman"/>
          <w:color w:val="000000"/>
        </w:rPr>
        <w:t xml:space="preserve"> [Jasbir Puar is an associate professor of Women and Gender Studies at Rutgers University. Terrorist Assemblages: Homonationalism in Queer Times, Duke University Press, p 228-232 //tjb]</w:t>
      </w:r>
    </w:p>
    <w:p xmlns:wp14="http://schemas.microsoft.com/office/word/2010/wordml" w:rsidRPr="00B0089F" w:rsidR="008263E8" w:rsidP="008263E8" w:rsidRDefault="008263E8" w14:paraId="34FF1C98" wp14:textId="77777777">
      <w:pPr>
        <w:spacing w:after="0" w:line="240" w:lineRule="auto"/>
        <w:rPr>
          <w:rFonts w:ascii="Times New Roman" w:hAnsi="Times New Roman" w:eastAsia="Times New Roman" w:cs="Times New Roman"/>
          <w:sz w:val="24"/>
          <w:szCs w:val="24"/>
        </w:rPr>
      </w:pPr>
      <w:r w:rsidRPr="00B0089F">
        <w:rPr>
          <w:rFonts w:eastAsia="Times New Roman"/>
          <w:color w:val="000000"/>
        </w:rPr>
        <w:tab/>
      </w:r>
      <w:r w:rsidRPr="00B0089F">
        <w:rPr>
          <w:rFonts w:eastAsia="Times New Roman"/>
          <w:color w:val="000000"/>
        </w:rPr>
        <w:tab/>
      </w:r>
      <w:r w:rsidRPr="00B0089F">
        <w:rPr>
          <w:rFonts w:eastAsia="Times New Roman"/>
          <w:color w:val="000000"/>
        </w:rPr>
        <w:tab/>
      </w:r>
      <w:r w:rsidRPr="00B0089F">
        <w:rPr>
          <w:rFonts w:eastAsia="Times New Roman"/>
          <w:color w:val="000000"/>
        </w:rPr>
        <w:tab/>
      </w:r>
      <w:r w:rsidRPr="00B0089F">
        <w:rPr>
          <w:rFonts w:eastAsia="Times New Roman"/>
          <w:color w:val="000000"/>
        </w:rPr>
        <w:tab/>
      </w:r>
    </w:p>
    <w:p xmlns:wp14="http://schemas.microsoft.com/office/word/2010/wordml" w:rsidRPr="00B0089F" w:rsidR="008263E8" w:rsidP="008263E8" w:rsidRDefault="008263E8" w14:paraId="52D9432E" wp14:textId="77777777">
      <w:pPr>
        <w:spacing w:after="0" w:line="240" w:lineRule="auto"/>
        <w:rPr>
          <w:rFonts w:ascii="Times New Roman" w:hAnsi="Times New Roman" w:eastAsia="Times New Roman" w:cs="Times New Roman"/>
          <w:sz w:val="24"/>
          <w:szCs w:val="24"/>
        </w:rPr>
      </w:pPr>
      <w:r w:rsidRPr="00B0089F">
        <w:rPr>
          <w:rFonts w:eastAsia="Times New Roman"/>
          <w:color w:val="000000"/>
        </w:rPr>
        <w:t xml:space="preserve">My intention in </w:t>
      </w:r>
      <w:r w:rsidRPr="00B0089F">
        <w:rPr>
          <w:rFonts w:eastAsia="Times New Roman"/>
          <w:i/>
          <w:iCs/>
          <w:color w:val="000000"/>
        </w:rPr>
        <w:t xml:space="preserve">Terrorist Assemblages </w:t>
      </w:r>
      <w:r w:rsidRPr="00B0089F">
        <w:rPr>
          <w:rFonts w:eastAsia="Times New Roman"/>
          <w:color w:val="000000"/>
        </w:rPr>
        <w:t xml:space="preserve">was not only to demonstrate simply a relationality of the instrumentalization of queer bodies by the U.S. state, or only the embracing of nationalist, and often xenophobic and imperialist in- terests of the United States by queer communities. </w:t>
      </w:r>
      <w:r w:rsidRPr="00B0089F">
        <w:rPr>
          <w:rFonts w:eastAsia="Times New Roman"/>
          <w:b/>
          <w:bCs/>
          <w:color w:val="000000"/>
          <w:u w:val="single"/>
        </w:rPr>
        <w:t>Homonationalism</w:t>
      </w:r>
      <w:r w:rsidRPr="00B0089F">
        <w:rPr>
          <w:rFonts w:eastAsia="Times New Roman"/>
          <w:color w:val="000000"/>
        </w:rPr>
        <w:t xml:space="preserve"> funda- mentally </w:t>
      </w:r>
      <w:r w:rsidRPr="00B0089F">
        <w:rPr>
          <w:rFonts w:eastAsia="Times New Roman"/>
          <w:b/>
          <w:bCs/>
          <w:color w:val="000000"/>
          <w:u w:val="single"/>
        </w:rPr>
        <w:t>highlights a critique of how lesbian and gay liberal rights discourses produce narratives of progress and modernity that continue to accord some populations access to cultural and legal forms of citizenship at the expense of the partial and full expulsion from those rights of other populations.</w:t>
      </w:r>
      <w:r w:rsidRPr="00B0089F">
        <w:rPr>
          <w:rFonts w:eastAsia="Times New Roman"/>
          <w:color w:val="000000"/>
        </w:rPr>
        <w:t xml:space="preserve"> Simply stated, </w:t>
      </w:r>
      <w:r w:rsidRPr="00B0089F">
        <w:rPr>
          <w:rFonts w:eastAsia="Times New Roman"/>
          <w:b/>
          <w:bCs/>
          <w:color w:val="000000"/>
          <w:u w:val="single"/>
        </w:rPr>
        <w:t>homonationalism is the concomitant rise in the legal, consumer, and representative recognition of lgbtq subjects and the curtailing of welfare provisions, immigrant rights, and the expansion of state power to surveil, detain, and deport</w:t>
      </w:r>
      <w:r w:rsidRPr="00B0089F">
        <w:rPr>
          <w:rFonts w:eastAsia="Times New Roman"/>
          <w:color w:val="000000"/>
        </w:rPr>
        <w:t xml:space="preserve">. This process relies on the shoring up of the respectability of homosexual subjects in relation to the performative reiteration of the pathol- ogized perverse (homo- and hetero-) sexuality of racial others, in specific, Muslim others upon whom Orientalist and neo-Orientalist projections are cast. However, in </w:t>
      </w:r>
      <w:r w:rsidRPr="00B0089F">
        <w:rPr>
          <w:rFonts w:eastAsia="Times New Roman"/>
          <w:i/>
          <w:iCs/>
          <w:color w:val="000000"/>
        </w:rPr>
        <w:t xml:space="preserve">Terrorist Assemblages </w:t>
      </w:r>
      <w:r w:rsidRPr="00B0089F">
        <w:rPr>
          <w:rFonts w:eastAsia="Times New Roman"/>
          <w:color w:val="000000"/>
        </w:rPr>
        <w:t xml:space="preserve">I looked not only at the proliferation of queerness as a white Christian secular norm, but also at the proliferation of homonationalism in South Asian queer communities in the United States, where forms of Hindu secularism and Indian nationalism often converge. </w:t>
      </w:r>
      <w:r w:rsidRPr="00B0089F">
        <w:rPr>
          <w:rStyle w:val="StyleUnderline"/>
        </w:rPr>
        <w:t>Homonationalism</w:t>
      </w:r>
      <w:r w:rsidRPr="00B0089F">
        <w:rPr>
          <w:rFonts w:eastAsia="Times New Roman"/>
          <w:color w:val="000000"/>
        </w:rPr>
        <w:t xml:space="preserve">, therefore, </w:t>
      </w:r>
      <w:r w:rsidRPr="00B0089F">
        <w:rPr>
          <w:rStyle w:val="StyleUnderline"/>
        </w:rPr>
        <w:t>is not a synonym for gay racism, a critique of the racial exclusions and whiteness of mainstream lgbt communities, or another way to mark how gay and lesbian identities became available to conservative political imaginaries.</w:t>
      </w:r>
      <w:r w:rsidRPr="00B0089F">
        <w:rPr>
          <w:rFonts w:eastAsia="Times New Roman"/>
          <w:color w:val="000000"/>
        </w:rPr>
        <w:t xml:space="preserve">The concept of homonationalism has been adapted and redeployed to suit different needs, different strategies, different politics. It has created synergy across and through various political movements and struggles and has gen- erated capacious theoretical paradigms as well as important debates about the fraught relationships between academia and activists, theory and praxis.4 The text and its conceptual apparatus have moved across different disciplinary and geopolitical terrains, crossing the activist-academic species divide many times over and resonating with organizing underway in Northern Europe, the Middle East, India, and the United States. A robust debate about homonation- alism is happening in France, where funnily enough the book has been, in some circles, denounced for its queer intersectional thrust. Some interlocutors have interrogated the relation of homonationalism to Israeli pinkwashing. Others take up the theorization of intersectionality and assemblage, noting, correctly, that I do not properly honor the history or precarity of black feminist theories in relation to the institutional centrality of white male canonicity. This is an error and an elision that I attempt to redress in a later article. As someone who has been drawing on the formative work of black feminists and </w:t>
      </w:r>
      <w:r w:rsidRPr="00B0089F">
        <w:rPr>
          <w:rFonts w:eastAsia="Times New Roman"/>
          <w:color w:val="000000"/>
        </w:rPr>
        <w:lastRenderedPageBreak/>
        <w:t xml:space="preserve">also insisting on and producing intersectional scholarship for two decades now, my interest in rethinking intersectionality was never about a delity to assemblage theory, rather a commitment to what Mel Chen calls “feral methodologies.” </w:t>
      </w:r>
      <w:r w:rsidRPr="00B0089F">
        <w:rPr>
          <w:rStyle w:val="StyleUnderline"/>
        </w:rPr>
        <w:t>I myself do not think of homonationalism as an identity, a position, or an accusation — it is not another marker meant to cleave a “good” (progressive / transgressive / politically Left) queer from a “bad” (sold-out / conservative / politically bankrupt) queer.</w:t>
      </w:r>
      <w:r w:rsidRPr="00B0089F">
        <w:rPr>
          <w:rFonts w:eastAsia="Times New Roman"/>
          <w:color w:val="000000"/>
        </w:rPr>
        <w:t xml:space="preserve"> I feel it is especially unhelpful as an accusa- tion,</w:t>
      </w:r>
      <w:r w:rsidRPr="00B0089F">
        <w:rPr>
          <w:rStyle w:val="StyleUnderline"/>
        </w:rPr>
        <w:t xml:space="preserve"> as if some of us are magically exempt from homonationalism (by virtue, most often, through claiming the position of “queer” as one of the political avant-garde or as politically pure, transcendent, or inherently immune to critique) and others of us are intrinsically predisposed to it.</w:t>
      </w:r>
      <w:r w:rsidRPr="00B0089F">
        <w:rPr>
          <w:rFonts w:eastAsia="Times New Roman"/>
          <w:color w:val="000000"/>
        </w:rPr>
        <w:t xml:space="preserve"> T</w:t>
      </w:r>
      <w:r w:rsidRPr="00B0089F">
        <w:rPr>
          <w:rFonts w:eastAsia="Times New Roman"/>
          <w:b/>
          <w:bCs/>
          <w:color w:val="000000"/>
          <w:u w:val="single"/>
        </w:rPr>
        <w:t>he accusation of homonationalism works to disavow our own inevitable and complex com- plicities with “queer” and with “nation.</w:t>
      </w:r>
      <w:r w:rsidRPr="00B0089F">
        <w:rPr>
          <w:rFonts w:eastAsia="Times New Roman"/>
          <w:color w:val="000000"/>
        </w:rPr>
        <w:t xml:space="preserve">”5 </w:t>
      </w:r>
      <w:r w:rsidRPr="00B0089F">
        <w:rPr>
          <w:rFonts w:eastAsia="Times New Roman"/>
          <w:b/>
          <w:bCs/>
          <w:color w:val="000000"/>
          <w:u w:val="single"/>
        </w:rPr>
        <w:t>As an analytic (rather than a de- scriptor, stance, or position) it most forcefully attends to apprehending the consequences of the successes of lgbt liberal rights movements, deployed to understand and historicize how and why a nation’s status as “gay-friendly” has become desirable in the first place.</w:t>
      </w:r>
      <w:r w:rsidRPr="00B0089F">
        <w:rPr>
          <w:rFonts w:eastAsia="Times New Roman"/>
          <w:color w:val="000000"/>
        </w:rPr>
        <w:t xml:space="preserve"> Like modernity, </w:t>
      </w:r>
      <w:r w:rsidRPr="00B0089F">
        <w:rPr>
          <w:rStyle w:val="StyleUnderline"/>
        </w:rPr>
        <w:t>homonationalism can be resisted and resignified, but not exactly opted out of: we are all produced as subjects through it, even if we are against it.</w:t>
      </w:r>
      <w:r w:rsidRPr="00B0089F">
        <w:rPr>
          <w:rFonts w:eastAsia="Times New Roman"/>
          <w:color w:val="000000"/>
        </w:rPr>
        <w:t xml:space="preserve"> It is not something that one is either inside of / included or against / outside of — rather, </w:t>
      </w:r>
      <w:r w:rsidRPr="00B0089F">
        <w:rPr>
          <w:rFonts w:eastAsia="Times New Roman"/>
          <w:b/>
          <w:bCs/>
          <w:color w:val="000000"/>
          <w:u w:val="single"/>
        </w:rPr>
        <w:t>it is a structuring force of neoliberal subject formation</w:t>
      </w:r>
      <w:r w:rsidRPr="00B0089F">
        <w:rPr>
          <w:rFonts w:eastAsia="Times New Roman"/>
          <w:color w:val="000000"/>
        </w:rPr>
        <w:t xml:space="preserve">. As Maya Mikdashi helpfully expounds, “Homonationalism is not the end goal of a conspiratorial ‘gay international,’ rather, it is only one aspect of the reworking of the world according to neolib- eral logics that maintains not only the balance of power between states, but also within them.”6 The call-and-response process that continues to rely on op- posing a “mainstream/global queer” against a “queer of color / non-Western queer” often fails to interrogate the complex social eld within which “queer” is being produced as a privileged signifier </w:t>
      </w:r>
      <w:r w:rsidRPr="00B0089F">
        <w:rPr>
          <w:rFonts w:eastAsia="Times New Roman"/>
          <w:i/>
          <w:iCs/>
          <w:color w:val="000000"/>
        </w:rPr>
        <w:t xml:space="preserve">across </w:t>
      </w:r>
      <w:r w:rsidRPr="00B0089F">
        <w:rPr>
          <w:rFonts w:eastAsia="Times New Roman"/>
          <w:color w:val="000000"/>
        </w:rPr>
        <w:t xml:space="preserve">these boundaries, with effects within multiple national, regional, and local areas. While Joseph Massad’s work is not inaccurate about the history of sexuality and the travels of the Master Sign of “sexuality” through colonial administrative institutions, his rendering of the “gay international,” privileging the figure of the native sub- altern sexual subject untainted by these transnational circuits, reifies the dis- tinctions between the West and the rest that he insists should be undermined and challenged. </w:t>
      </w:r>
      <w:r w:rsidRPr="00B0089F">
        <w:rPr>
          <w:rFonts w:eastAsia="Times New Roman"/>
          <w:b/>
          <w:bCs/>
          <w:color w:val="000000"/>
          <w:u w:val="single"/>
        </w:rPr>
        <w:t>Homonationalism is thus a structuring facet of modernity (rather than an aberration or “liberalism gone bad”) and a historical shift marked by the en- trance of (some) homosexual bodies as worthy of protection by nation-states, a constitutive and fundamental reorientation of the relationship between the state, capitalism, and sexuality.</w:t>
      </w:r>
      <w:r w:rsidRPr="00B0089F">
        <w:rPr>
          <w:rFonts w:eastAsia="Times New Roman"/>
          <w:color w:val="000000"/>
        </w:rPr>
        <w:t xml:space="preserve"> This historical moment can be called homo- national to the extent that </w:t>
      </w:r>
      <w:r w:rsidRPr="00B0089F">
        <w:rPr>
          <w:rFonts w:eastAsia="Times New Roman"/>
          <w:b/>
          <w:bCs/>
          <w:color w:val="000000"/>
          <w:u w:val="single"/>
        </w:rPr>
        <w:t>one must engage homonationalism in the first place as the condition of possibility for national and transnational politics. And herein lies the ugliness of homonationalism, its bifocal capacity in one instance to attach and entrench bodies even more deeply to the disciplinary force of sexuality through its offerings</w:t>
      </w:r>
      <w:r w:rsidRPr="00B0089F">
        <w:rPr>
          <w:rFonts w:eastAsia="Times New Roman"/>
          <w:color w:val="000000"/>
        </w:rPr>
        <w:t xml:space="preserve"> (hear Foucault, reminding us it is not freedom of sexuality we want but freedom from sexuality) </w:t>
      </w:r>
      <w:r w:rsidRPr="00B0089F">
        <w:rPr>
          <w:rFonts w:eastAsia="Times New Roman"/>
          <w:b/>
          <w:bCs/>
          <w:color w:val="000000"/>
          <w:u w:val="single"/>
        </w:rPr>
        <w:t>and yet still enact a convincing yet brutal liberalism against Others in the very name of this attachment.</w:t>
      </w:r>
      <w:r w:rsidRPr="00B0089F">
        <w:rPr>
          <w:rFonts w:eastAsia="Times New Roman"/>
          <w:color w:val="000000"/>
        </w:rPr>
        <w:t xml:space="preserve"> Trump will do no less than what is already suspected: yank like a yo-yo, threatening the withdrawal of protection in one moment, lauding these very protections to vilify other countries, religions, and races in another. </w:t>
      </w:r>
      <w:r w:rsidRPr="00B0089F">
        <w:rPr>
          <w:rFonts w:eastAsia="Times New Roman"/>
          <w:b/>
          <w:bCs/>
          <w:color w:val="000000"/>
          <w:u w:val="single"/>
        </w:rPr>
        <w:t xml:space="preserve">The assemblage of homonationalism provides Trump, and nation-states in gen- eral, an impressive arsenal of tools: a structure of modernity (connected to another enduring structure of modernity, the nation-state); a convergence of geopolitical and historical forces; neoliberal interests in capitalist accumulation through “multicultural difference” both cultural and material (queer as consumer emerges in line with other niche markets, most notably ethnic ones); biopolitical state practices of population control; and affective investments in discourses of freedom, liberation, and rights (most notably invested in gay and lesbian and sexual human rights discourses but also as an a ective assemblage, in that it is a reading of attachments; attachment to the nation- state </w:t>
      </w:r>
      <w:r w:rsidRPr="00B0089F">
        <w:rPr>
          <w:rFonts w:eastAsia="Times New Roman"/>
          <w:b/>
          <w:bCs/>
          <w:color w:val="000000"/>
          <w:u w:val="single"/>
        </w:rPr>
        <w:lastRenderedPageBreak/>
        <w:t xml:space="preserve">arises as legitimate claim or right). </w:t>
      </w:r>
      <w:r w:rsidRPr="00B0089F">
        <w:rPr>
          <w:rFonts w:eastAsia="Times New Roman"/>
          <w:color w:val="000000"/>
        </w:rPr>
        <w:t xml:space="preserve">Rearticulated as a field of power rather than an activity or property of any one nation-state, organization, or individual, homonationalism is only useful in how it offers a way to track historical shifts in the terms of modernity, even as it has become mobilized within the very shifts it was produced to name. What this also means, I am proposing, is that </w:t>
      </w:r>
      <w:r w:rsidRPr="00B0089F">
        <w:rPr>
          <w:rStyle w:val="StyleUnderline"/>
        </w:rPr>
        <w:t>we are all subjects produced through, not despite or against, homonationalism. And this leaves us with complex questions about agency and accountability, which are no longer dis- crete or located in singular human bodies or concrete entities, but rather dis- persed across numerous entities</w:t>
      </w:r>
      <w:r w:rsidRPr="00B0089F">
        <w:rPr>
          <w:rFonts w:eastAsia="Times New Roman"/>
          <w:color w:val="000000"/>
        </w:rPr>
        <w:t xml:space="preserve">. So the question becomes, for me, not so much who can or cannot be called homonationalist, or which organizing projects are or are not homonationalist, but rather how the structural expectations for homonationalism — expectations that are becoming hegemonic — are nego- tiated by groups who may well want to resist such interpellation but need to articulate that resistance through the same logics of homonationalism. How is homonationalism working or being strategically manipulated differently in different national/geopolitical contexts, and are there homonationalisms that become productively intrinsic to national liberation projects rather than national imperialist/expansionist projects?7 </w:t>
      </w:r>
      <w:r w:rsidRPr="00B0089F">
        <w:rPr>
          <w:rFonts w:eastAsia="Times New Roman"/>
          <w:b/>
          <w:bCs/>
          <w:color w:val="000000"/>
          <w:u w:val="single"/>
        </w:rPr>
        <w:t>Homonationalism thus names a historical shift in the production of nation- states from the insistence on heteronormativity to the increasing inclusion of homonormativity</w:t>
      </w:r>
      <w:r w:rsidRPr="00B0089F">
        <w:rPr>
          <w:rFonts w:eastAsia="Times New Roman"/>
          <w:color w:val="000000"/>
        </w:rPr>
        <w:t xml:space="preserve">. The process of homonationalist inclusions-exclusions coheres not through 9/11 as a solitary temporal moment. September 11 sometimes seems to function as an originary trigger, fostering a dangerous historical reification (what is sometimes cynically referred to in the U.S. as the “9/11 industry.”). Looking back now, through the moment of 9/11, my interest in </w:t>
      </w:r>
      <w:r w:rsidRPr="00B0089F">
        <w:rPr>
          <w:rFonts w:eastAsia="Times New Roman"/>
          <w:i/>
          <w:iCs/>
          <w:color w:val="000000"/>
        </w:rPr>
        <w:t xml:space="preserve">Terrorist Assemblages </w:t>
      </w:r>
      <w:r w:rsidRPr="00B0089F">
        <w:rPr>
          <w:rFonts w:eastAsia="Times New Roman"/>
          <w:color w:val="000000"/>
        </w:rPr>
        <w:t xml:space="preserve">has been in the forty-year span of the era of post–civil rights that, through the politics of liberal inclusion, continued to produce the Sexual Other as white and the Racial Other as straight. Certainly September 11 revealed and drew to the surface forms of Islamophobia that, as Edward Said had argued, were already tremors in the “era of decolonization.”8 </w:t>
      </w:r>
      <w:r w:rsidRPr="00B0089F">
        <w:rPr>
          <w:rFonts w:eastAsia="Times New Roman"/>
          <w:b/>
          <w:bCs/>
          <w:color w:val="000000"/>
          <w:u w:val="single"/>
        </w:rPr>
        <w:t>In the case of the United States, we can</w:t>
      </w:r>
      <w:r w:rsidRPr="00B0089F">
        <w:rPr>
          <w:rFonts w:eastAsia="Times New Roman"/>
          <w:color w:val="000000"/>
        </w:rPr>
        <w:t xml:space="preserve"> point to the work of Nayan Shah, Eithne Luibheid, and Siobhan Somerville, who all elaborate on this binary produc- tion from earlier periods, </w:t>
      </w:r>
      <w:r w:rsidRPr="00B0089F">
        <w:rPr>
          <w:rFonts w:eastAsia="Times New Roman"/>
          <w:b/>
          <w:bCs/>
          <w:color w:val="000000"/>
          <w:u w:val="single"/>
        </w:rPr>
        <w:t>highlight</w:t>
      </w:r>
      <w:r w:rsidRPr="00B0089F">
        <w:rPr>
          <w:rFonts w:eastAsia="Times New Roman"/>
          <w:color w:val="000000"/>
        </w:rPr>
        <w:t xml:space="preserve">ing </w:t>
      </w:r>
      <w:r w:rsidRPr="00B0089F">
        <w:rPr>
          <w:rFonts w:eastAsia="Times New Roman"/>
          <w:b/>
          <w:bCs/>
          <w:color w:val="000000"/>
          <w:u w:val="single"/>
        </w:rPr>
        <w:t xml:space="preserve">the forms of racial disaggregation at work in immigration legislation, the criminalization of sexual activity, and border patrolling. </w:t>
      </w:r>
    </w:p>
    <w:p xmlns:wp14="http://schemas.microsoft.com/office/word/2010/wordml" w:rsidR="008263E8" w:rsidP="008263E8" w:rsidRDefault="008263E8" w14:paraId="6D072C0D" wp14:textId="77777777"/>
    <w:p xmlns:wp14="http://schemas.microsoft.com/office/word/2010/wordml" w:rsidRPr="006C71B6" w:rsidR="008263E8" w:rsidP="008263E8" w:rsidRDefault="008263E8" w14:paraId="5BECC56D" wp14:textId="77777777">
      <w:pPr>
        <w:pStyle w:val="Heading4"/>
        <w:rPr>
          <w:rFonts w:eastAsia="Calibri" w:cs="Calibri"/>
          <w:sz w:val="24"/>
          <w:szCs w:val="24"/>
        </w:rPr>
      </w:pPr>
      <w:r>
        <w:rPr>
          <w:rFonts w:cs="Calibri"/>
        </w:rPr>
        <w:t>Citizenship is made possible through the formation of anti-queer violence.  The aspiration of homonormative subjectivity, non-homonormative subjectivity must be narrated as an outlaw practice.</w:t>
      </w:r>
    </w:p>
    <w:p xmlns:wp14="http://schemas.microsoft.com/office/word/2010/wordml" w:rsidRPr="007E4A11" w:rsidR="008263E8" w:rsidP="008263E8" w:rsidRDefault="008263E8" w14:paraId="0D0B8E7C" wp14:textId="77777777">
      <w:pPr>
        <w:rPr>
          <w:sz w:val="16"/>
        </w:rPr>
      </w:pPr>
      <w:r w:rsidRPr="00810CD5">
        <w:rPr>
          <w:rStyle w:val="Style13ptBold"/>
        </w:rPr>
        <w:t xml:space="preserve">Stanley 11 </w:t>
      </w:r>
      <w:r w:rsidRPr="007E4A11">
        <w:rPr>
          <w:rFonts w:eastAsia="Calibri,ＭＳ ゴシック"/>
          <w:b/>
          <w:bCs/>
          <w:sz w:val="16"/>
        </w:rPr>
        <w:t>(</w:t>
      </w:r>
      <w:r w:rsidRPr="007E4A11">
        <w:rPr>
          <w:sz w:val="16"/>
        </w:rPr>
        <w:t>Eric A. Stanley is an Assistant Professor in the Department of Gender and Sexuality Studies at the University of California, Riverside. Before joining UCR, Eric was a President’s Postdoctoral Fellow in Communication and Critical Gender Studies at the University of California, San Diego. Along with Chris Vargas, they directed the films  Homotopia  (2006) and  Criminal Queers (2015). A coeditor of the anthology  Captive Genders: Trans Embodiment and the Prison Industrial Complex  (AK Press, 2011/2015)   which won the Prevention for a Safe Society award and a finalist for a Lambda Literary Award, Eric’s other writing can be found in the journals  Social Text, American Quarterly,  TSQ, and  Women and Performance. – “Near Life, Queer Death Overkill and Ontological Capture” – May 1, 2011 – KZaidi )</w:t>
      </w:r>
    </w:p>
    <w:p xmlns:wp14="http://schemas.microsoft.com/office/word/2010/wordml" w:rsidRPr="00AF7C1F" w:rsidR="008263E8" w:rsidP="008263E8" w:rsidRDefault="008263E8" w14:paraId="47AA597E" wp14:textId="77777777">
      <w:r w:rsidRPr="00AF7C1F">
        <w:t xml:space="preserve">The problem of privatizing violence is not, however, simply one of the re-narration of the incidents. </w:t>
      </w:r>
      <w:r w:rsidRPr="006C71B6">
        <w:rPr>
          <w:rStyle w:val="StyleUnderline"/>
          <w:rFonts w:cs="Calibri"/>
        </w:rPr>
        <w:t>The law, and specifically “rights” dis- course, which argues to be the safeguard of liberal democracy, is one of the other motors that works to privatize this structural violence.</w:t>
      </w:r>
      <w:r w:rsidRPr="00AF7C1F">
        <w:t xml:space="preserve"> </w:t>
      </w:r>
      <w:r w:rsidRPr="006C71B6">
        <w:rPr>
          <w:rStyle w:val="StyleUnderline"/>
          <w:rFonts w:cs="Calibri"/>
        </w:rPr>
        <w:t>Rights are inscribed, at least in the symbolic, with the power to protect citizens of the nation-state from the excesses of the government and against the trespass of criminality.</w:t>
      </w:r>
      <w:r w:rsidRPr="00AF7C1F">
        <w:t xml:space="preserve"> In paying attention to the anterior magic of the law, it is not so much, or at least not only, that some are granted rights because they are human, but that </w:t>
      </w:r>
      <w:r w:rsidRPr="006C71B6">
        <w:rPr>
          <w:rStyle w:val="StyleUnderline"/>
          <w:rFonts w:cs="Calibri"/>
        </w:rPr>
        <w:t xml:space="preserve">the performative granting of rights is what constitutes the promise of humanity under which some bodies are held. This is important in thinking about the murder of Brazell, and about antiqueer violence at </w:t>
      </w:r>
      <w:r w:rsidRPr="006C71B6">
        <w:rPr>
          <w:rStyle w:val="StyleUnderline"/>
          <w:rFonts w:cs="Calibri"/>
        </w:rPr>
        <w:lastRenderedPageBreak/>
        <w:t xml:space="preserve">large, because it troubles the very foundations of the notion of protection and the formative violence of the law itself. </w:t>
      </w:r>
      <w:r w:rsidRPr="00AF7C1F">
        <w:t xml:space="preserve">Accord- ing to the juridical logic of liberal democracy, if these rights are infringed upon, the law offers remedy in the name of justice. </w:t>
      </w:r>
      <w:r w:rsidRPr="006C71B6">
        <w:rPr>
          <w:rStyle w:val="StyleUnderline"/>
          <w:rFonts w:cs="Calibri"/>
        </w:rPr>
        <w:t>This necessary and assumptive formal equality before the law is the precursor for a system argued to be based on justice. In other words, for the law to lay claim to something called justice, formalized equality must be a precondition.</w:t>
      </w:r>
      <w:r w:rsidRPr="00AF7C1F">
        <w:t xml:space="preserve"> The law then is a systematic and systematizing process of substitution where the singular and the general are shuttled and replaced to inform a matrix of fictive justice. </w:t>
      </w:r>
      <w:r w:rsidRPr="006C71B6">
        <w:rPr>
          <w:rStyle w:val="StyleUnderline"/>
          <w:rFonts w:cs="Calibri"/>
        </w:rPr>
        <w:t>Thus for the law to uphold the fantasy of justice and disguise its punitive aspirations, antiqueer violence, like all structural violence, must be narrated as an outlaw practice and unrepresentative of culture at large.</w:t>
      </w:r>
      <w:r w:rsidRPr="00AF7C1F">
        <w:t xml:space="preserve"> This logic then must understand acts like the murder of Brazell in the sin- gular. Through a mathematics of mimesis the law reproduces difference as similarity. </w:t>
      </w:r>
      <w:r w:rsidRPr="006C71B6">
        <w:rPr>
          <w:rStyle w:val="StyleUnderline"/>
          <w:rFonts w:cs="Calibri"/>
        </w:rPr>
        <w:t>By funneling the desperate situations and multiple possibilities into a calculable trespass kneading out the contours and the excess along the way, equality appears. To acknowledge the inequality of “equality” before the law would undo the fantastical sutures that bind the U.S. legal system. In the hope of being clear, for the law to read antiqueer violence as a symptom of larger cultural forces, the punishment of the “guilty party” would only be a representation of justice. To this end, the law is made pos- sible through the reproduction of both material and discursive formation of antiqueer, along with many other forms of violence. I too quickly rehearse this argument in the hope that it might foreclose the singular reliance on the law as the ground, and rights as the technology, of safety</w:t>
      </w:r>
      <w:r w:rsidRPr="00AF7C1F">
        <w:t>.23</w:t>
      </w:r>
    </w:p>
    <w:p xmlns:wp14="http://schemas.microsoft.com/office/word/2010/wordml" w:rsidR="008263E8" w:rsidP="008263E8" w:rsidRDefault="008263E8" w14:paraId="48A21919" wp14:textId="77777777"/>
    <w:p xmlns:wp14="http://schemas.microsoft.com/office/word/2010/wordml" w:rsidR="008263E8" w:rsidP="008263E8" w:rsidRDefault="008263E8" w14:paraId="0CA25757" wp14:textId="77777777">
      <w:pPr>
        <w:pStyle w:val="Heading4"/>
        <w:rPr>
          <w:rFonts w:cs="Calibri"/>
        </w:rPr>
      </w:pPr>
      <w:r w:rsidRPr="006C71B6">
        <w:rPr>
          <w:rFonts w:cs="Calibri"/>
        </w:rPr>
        <w:t xml:space="preserve">Thus, we affirm a </w:t>
      </w:r>
      <w:r>
        <w:rPr>
          <w:rFonts w:cs="Calibri"/>
        </w:rPr>
        <w:t>queer politics of refusal of homonationalist citizenship predicated filial relation.</w:t>
      </w:r>
    </w:p>
    <w:p xmlns:wp14="http://schemas.microsoft.com/office/word/2010/wordml" w:rsidRPr="002A3344" w:rsidR="008263E8" w:rsidP="008263E8" w:rsidRDefault="008263E8" w14:paraId="6BD18F9B" wp14:textId="77777777"/>
    <w:p xmlns:wp14="http://schemas.microsoft.com/office/word/2010/wordml" w:rsidR="008263E8" w:rsidP="008263E8" w:rsidRDefault="008263E8" w14:paraId="50078BAC" wp14:textId="77777777">
      <w:pPr>
        <w:pStyle w:val="Heading4"/>
      </w:pPr>
      <w:r>
        <w:t>Our queer refusal is a disorientation of the habitus of citizenship that normalizes filial forms of life and makes the nation-state possible.  Inhabiting the world through deviation from homonormative convention makes the familiar strange, inviting other models of kinship and support.</w:t>
      </w:r>
    </w:p>
    <w:p xmlns:wp14="http://schemas.microsoft.com/office/word/2010/wordml" w:rsidRPr="00965D75" w:rsidR="008263E8" w:rsidP="008263E8" w:rsidRDefault="008263E8" w14:paraId="5DD16E83" wp14:textId="77777777">
      <w:r w:rsidRPr="00965D75">
        <w:rPr>
          <w:rStyle w:val="Style13ptBold"/>
        </w:rPr>
        <w:t>Ahmed 6</w:t>
      </w:r>
      <w:r w:rsidRPr="00965D75">
        <w:t xml:space="preserve"> (Sara, British-Australian scholar whose area of study includes the intersection of feminist theory, queer theory, critical race theory and postcolonialism. “Orientations: Towards a Queer Phenomology.” Published in GLQ: A Journal of Gay and Lesbian Studies, Volume 12, Number 4, 2006. Pg 568-570)//ANH</w:t>
      </w:r>
    </w:p>
    <w:p xmlns:wp14="http://schemas.microsoft.com/office/word/2010/wordml" w:rsidRPr="001937C1" w:rsidR="008263E8" w:rsidP="008263E8" w:rsidRDefault="008263E8" w14:paraId="535211BE" wp14:textId="77777777">
      <w:pPr>
        <w:rPr>
          <w:rStyle w:val="StyleUnderline"/>
        </w:rPr>
      </w:pPr>
      <w:r w:rsidRPr="00123B9C">
        <w:rPr>
          <w:sz w:val="16"/>
        </w:rPr>
        <w:t xml:space="preserve">We could agree with Bawer that a queer politics is not about new tables, whatever their sizes. After all, </w:t>
      </w:r>
      <w:r w:rsidRPr="0049444E">
        <w:rPr>
          <w:rStyle w:val="StyleUnderline"/>
        </w:rPr>
        <w:t>to set up new tables would leave the big table in its place.</w:t>
      </w:r>
      <w:r w:rsidRPr="00123B9C">
        <w:rPr>
          <w:sz w:val="16"/>
        </w:rPr>
        <w:t xml:space="preserve"> We might even agree that the point of gay and lesbian politics might be to arrive at this table, as the table around which a family gathers, producing the very effect of social coherence. But such </w:t>
      </w:r>
      <w:r w:rsidRPr="0049444E">
        <w:rPr>
          <w:rStyle w:val="StyleUnderline"/>
        </w:rPr>
        <w:t xml:space="preserve">an arrival cannot simply be a matter of being given a place at the table, as if it were family prejudice that prevents us from taking </w:t>
      </w:r>
      <w:r w:rsidRPr="00256C6A">
        <w:rPr>
          <w:rStyle w:val="StyleUnderline"/>
        </w:rPr>
        <w:t>that place</w:t>
      </w:r>
      <w:r w:rsidRPr="001937C1">
        <w:rPr>
          <w:rStyle w:val="StyleUnderline"/>
        </w:rPr>
        <w:t>. Despite Bawer’s emphasis on “being at home” at the big table, the book is full of examples of being rejected from the table, including from the different kinds of tables that organize the sociality of straight weddings.51</w:t>
      </w:r>
      <w:r w:rsidRPr="00123B9C">
        <w:rPr>
          <w:sz w:val="16"/>
        </w:rPr>
        <w:t xml:space="preserve"> </w:t>
      </w:r>
      <w:r w:rsidRPr="0049444E">
        <w:rPr>
          <w:rStyle w:val="StyleUnderline"/>
        </w:rPr>
        <w:t>The desire to join the table is a desire to inhabit the very place of this rejection.</w:t>
      </w:r>
      <w:r w:rsidRPr="00123B9C">
        <w:rPr>
          <w:sz w:val="16"/>
        </w:rPr>
        <w:t xml:space="preserve"> As Douglas Crimp has shown, the act of following straight lines as bodies that are at least in some ways sexually deviant is melancholic: you are identifying precisely with what repudiates you.52 Such forms of following do not simply accumulate as points on a straight line. We can certainly consider that when queer bodies do join the family table, the table does not stay in </w:t>
      </w:r>
      <w:r w:rsidRPr="00123B9C">
        <w:rPr>
          <w:sz w:val="16"/>
        </w:rPr>
        <w:lastRenderedPageBreak/>
        <w:t xml:space="preserve">place. Queer bodies are out of place in certain family gatherings, which is what produces, in the first place, a queer effect. The table might even become wonky. After all, </w:t>
      </w:r>
      <w:r w:rsidRPr="007A0D9D">
        <w:rPr>
          <w:rStyle w:val="StyleUnderline"/>
        </w:rPr>
        <w:t>this desire to support straight lines and the forms they elevate into moral and social ideals</w:t>
      </w:r>
      <w:r w:rsidRPr="00123B9C">
        <w:rPr>
          <w:sz w:val="16"/>
        </w:rPr>
        <w:t xml:space="preserve"> (such as marriage and family life) </w:t>
      </w:r>
      <w:r w:rsidRPr="007A0D9D">
        <w:rPr>
          <w:rStyle w:val="StyleUnderline"/>
        </w:rPr>
        <w:t>will be rejected by those whose bodies can and do line up with the straight line</w:t>
      </w:r>
      <w:r w:rsidRPr="00123B9C">
        <w:rPr>
          <w:sz w:val="16"/>
        </w:rPr>
        <w:t xml:space="preserve">, which is not, of course, all straight bodies.53 In other words, it is hardly likely that attempts to follow the straight line as gays and lesbians will earn you too many points. To point to such rejection is not then to say that homonormativity is the condition for emergence for a new angle on queer politics (though it could be). It is to say that inhabiting forms that do not extend your shape can produce queer effects, even when you think you are “lining up.” There is hope in such failure, even if we reject publicly (as we must) this sexual as well as social conservatism. In calling for </w:t>
      </w:r>
      <w:r w:rsidRPr="007A0D9D">
        <w:rPr>
          <w:rStyle w:val="StyleUnderline"/>
        </w:rPr>
        <w:t>a politics that involves disorientation, it is important not to make disorientation an obligation or responsibility for those who identify as queer.</w:t>
      </w:r>
      <w:r w:rsidRPr="00123B9C">
        <w:rPr>
          <w:sz w:val="16"/>
        </w:rPr>
        <w:t xml:space="preserve"> In the first place, this demands too much (for some, a lifelong commitment to deviation is not psychically or materially possible or sustainable, even if their desires are rather oblique), but it also “forgives” too much, by letting those who are straight stay on their lines. </w:t>
      </w:r>
      <w:r w:rsidRPr="007A0D9D">
        <w:rPr>
          <w:rStyle w:val="StyleUnderline"/>
        </w:rPr>
        <w:t>It is not up to queers to disorient straights</w:t>
      </w:r>
      <w:r w:rsidRPr="00123B9C">
        <w:rPr>
          <w:sz w:val="16"/>
        </w:rPr>
        <w:t xml:space="preserve">, although of course disorientation might still happen, and we do “do” this work. </w:t>
      </w:r>
      <w:r w:rsidRPr="007A0D9D">
        <w:rPr>
          <w:rStyle w:val="StyleUnderline"/>
        </w:rPr>
        <w:t>Disorientation would</w:t>
      </w:r>
      <w:r w:rsidRPr="00123B9C">
        <w:rPr>
          <w:sz w:val="16"/>
        </w:rPr>
        <w:t xml:space="preserve"> not </w:t>
      </w:r>
      <w:r w:rsidRPr="007A0D9D">
        <w:rPr>
          <w:rStyle w:val="StyleUnderline"/>
        </w:rPr>
        <w:t>be</w:t>
      </w:r>
      <w:r w:rsidRPr="00123B9C">
        <w:rPr>
          <w:sz w:val="16"/>
        </w:rPr>
        <w:t xml:space="preserve"> a politics of the will, </w:t>
      </w:r>
      <w:r w:rsidRPr="007A0D9D">
        <w:rPr>
          <w:rStyle w:val="StyleUnderline"/>
        </w:rPr>
        <w:t>but an effect of how we do politics, which in turn is shaped by a prior matter—simply, how we live</w:t>
      </w:r>
      <w:r w:rsidRPr="00123B9C">
        <w:rPr>
          <w:sz w:val="16"/>
        </w:rPr>
        <w:t>. After all</w:t>
      </w:r>
      <w:r w:rsidRPr="007A0D9D">
        <w:rPr>
          <w:rStyle w:val="StyleUnderline"/>
        </w:rPr>
        <w:t>, it is possible to follow certain lines</w:t>
      </w:r>
      <w:r w:rsidRPr="00123B9C">
        <w:rPr>
          <w:sz w:val="16"/>
        </w:rPr>
        <w:t xml:space="preserve"> (such as the family line</w:t>
      </w:r>
      <w:r w:rsidRPr="007A0D9D">
        <w:rPr>
          <w:rStyle w:val="StyleUnderline"/>
        </w:rPr>
        <w:t>) as a disorientation device, as a way to experience the pleasures of deviation</w:t>
      </w:r>
      <w:r w:rsidRPr="00123B9C">
        <w:rPr>
          <w:sz w:val="16"/>
        </w:rPr>
        <w:t xml:space="preserve">. For some, for instance, </w:t>
      </w:r>
      <w:r w:rsidRPr="007A0D9D">
        <w:rPr>
          <w:rStyle w:val="StyleUnderline"/>
        </w:rPr>
        <w:t>the very act of describing queer gatherings as family gatherings is to have joy in the uncanny effect of a familiar form becoming strange. The point of the following is not to pledge allegiance to the familiar but to make the “familiar” strange, or even to allow what has been overlooked, which has been treated as furniture, to dance with renewed life</w:t>
      </w:r>
      <w:r w:rsidRPr="00123B9C">
        <w:rPr>
          <w:sz w:val="16"/>
        </w:rPr>
        <w:t xml:space="preserve">. Some deviations involve acts of following, but use the same “points” for different effects. This is what Kath Weston’s ethnographic </w:t>
      </w:r>
      <w:r w:rsidRPr="007A0D9D">
        <w:rPr>
          <w:rStyle w:val="StyleUnderline"/>
        </w:rPr>
        <w:t xml:space="preserve">studies of </w:t>
      </w:r>
      <w:r w:rsidRPr="001937C1">
        <w:rPr>
          <w:rStyle w:val="StyleUnderline"/>
        </w:rPr>
        <w:t>queer kinship</w:t>
      </w:r>
      <w:r w:rsidRPr="007A0D9D">
        <w:rPr>
          <w:rStyle w:val="StyleUnderline"/>
        </w:rPr>
        <w:t xml:space="preserve"> show</w:t>
      </w:r>
      <w:r w:rsidRPr="00123B9C">
        <w:rPr>
          <w:sz w:val="16"/>
        </w:rPr>
        <w:t xml:space="preserve"> us. As she says: “Far from viewing families we choose as imitations or derivatives of family ties created elsewhere in their society, many lesbians and gay men alluded to the difficulty and excitement of constructing kinship in the absence of what they called ‘models.’ ”54 </w:t>
      </w:r>
      <w:r w:rsidRPr="007A0D9D">
        <w:rPr>
          <w:rStyle w:val="StyleUnderline"/>
        </w:rPr>
        <w:t>A queer politics does involve a commitment to a certain way of inhabiting the world, even if it is not grounded in a commitment to deviation</w:t>
      </w:r>
      <w:r w:rsidRPr="00123B9C">
        <w:rPr>
          <w:sz w:val="16"/>
        </w:rPr>
        <w:t xml:space="preserve">. As Halberstam puts it, </w:t>
      </w:r>
      <w:r w:rsidRPr="007A0D9D">
        <w:rPr>
          <w:rStyle w:val="StyleUnderline"/>
        </w:rPr>
        <w:t>queer might begin with “</w:t>
      </w:r>
      <w:r w:rsidRPr="001937C1">
        <w:rPr>
          <w:rStyle w:val="StyleUnderline"/>
        </w:rPr>
        <w:t>the potentiality of a life unscripted by the conventions of family</w:t>
      </w:r>
      <w:r w:rsidRPr="007A0D9D">
        <w:rPr>
          <w:rStyle w:val="StyleUnderline"/>
        </w:rPr>
        <w:t>, inheritance, and child rearing</w:t>
      </w:r>
      <w:r w:rsidRPr="00123B9C">
        <w:rPr>
          <w:sz w:val="16"/>
        </w:rPr>
        <w:t xml:space="preserve">.”55 In a way, we can bring Weston and Halberstam together by suggesting that </w:t>
      </w:r>
      <w:r w:rsidRPr="007A0D9D">
        <w:rPr>
          <w:rStyle w:val="StyleUnderline"/>
        </w:rPr>
        <w:t xml:space="preserve">queer lives are about the potentiality of not following certain conventional scripts of family, inheritance, and child rearing, </w:t>
      </w:r>
      <w:r w:rsidRPr="001937C1">
        <w:rPr>
          <w:rStyle w:val="StyleUnderline"/>
        </w:rPr>
        <w:t>whereby “not following” involves disorientation; it makes things oblique, which in turn opens up another way to inhabit those forms</w:t>
      </w:r>
      <w:r w:rsidRPr="00123B9C">
        <w:rPr>
          <w:sz w:val="16"/>
        </w:rPr>
        <w:t>.</w:t>
      </w:r>
      <w:r w:rsidRPr="00585C5D">
        <w:rPr>
          <w:rStyle w:val="StyleUnderline"/>
        </w:rPr>
        <w:t xml:space="preserve"> If orientations point us to the future, to what we are moving toward, then </w:t>
      </w:r>
      <w:r w:rsidRPr="001937C1">
        <w:rPr>
          <w:rStyle w:val="StyleUnderline"/>
        </w:rPr>
        <w:t>they also keep open the possibility of changing directions, of finding other paths,</w:t>
      </w:r>
      <w:r w:rsidRPr="00585C5D">
        <w:rPr>
          <w:rStyle w:val="StyleUnderline"/>
        </w:rPr>
        <w:t xml:space="preserve"> perhaps those that do not clear a common ground, where we can find hope in what goes astray.</w:t>
      </w:r>
      <w:r w:rsidRPr="00123B9C">
        <w:rPr>
          <w:sz w:val="16"/>
        </w:rPr>
        <w:t xml:space="preserve"> Looking back is what keeps open the possibility of going astray. </w:t>
      </w:r>
      <w:r w:rsidRPr="00585C5D">
        <w:rPr>
          <w:rStyle w:val="StyleUnderline"/>
        </w:rPr>
        <w:t>We look back, we go behind; we conjure what is missing from the face. This backward glance also means an openness to the future,</w:t>
      </w:r>
      <w:r w:rsidRPr="00123B9C">
        <w:rPr>
          <w:sz w:val="16"/>
        </w:rPr>
        <w:t xml:space="preserve"> as the imperfect translation of what is behind us. As a result, I would not argue that queer has “no future” as Edelman suggests—though I understand and appreciate this impulse to “give” the future to those who demand to inherit the earth, rather than aiming for a share in this inheritance. Instead, a </w:t>
      </w:r>
      <w:r w:rsidRPr="00585C5D">
        <w:rPr>
          <w:rStyle w:val="StyleUnderline"/>
        </w:rPr>
        <w:t>queer politics would have hope, not even by having hope in the future</w:t>
      </w:r>
      <w:r w:rsidRPr="00123B9C">
        <w:rPr>
          <w:sz w:val="16"/>
        </w:rPr>
        <w:t xml:space="preserve"> (under the sentimental sign of the “not yet”) </w:t>
      </w:r>
      <w:r w:rsidRPr="00585C5D">
        <w:rPr>
          <w:rStyle w:val="StyleUnderline"/>
        </w:rPr>
        <w:t>but because the lines that accumulate through repeated gestures, the lines that gather on skin, already take surprising forms</w:t>
      </w:r>
      <w:r w:rsidRPr="00123B9C">
        <w:rPr>
          <w:sz w:val="16"/>
        </w:rPr>
        <w:t xml:space="preserve">. </w:t>
      </w:r>
      <w:r w:rsidRPr="00585C5D">
        <w:rPr>
          <w:rStyle w:val="StyleUnderline"/>
        </w:rPr>
        <w:t>We have hope because what is behind us is also what allows other ways of gathering in time and space, of making lines that do not reproduce what we follow, but instead create new textures on the ground</w:t>
      </w:r>
      <w:r w:rsidRPr="00123B9C">
        <w:rPr>
          <w:sz w:val="16"/>
        </w:rPr>
        <w:t xml:space="preserve">. It is interesting to note that in landscape architecture the term desire lines is used to describe unofficial paths, </w:t>
      </w:r>
      <w:r w:rsidRPr="00585C5D">
        <w:rPr>
          <w:rStyle w:val="StyleUnderline"/>
        </w:rPr>
        <w:t xml:space="preserve">those marks left on the ground that show </w:t>
      </w:r>
      <w:r w:rsidRPr="001937C1">
        <w:rPr>
          <w:rStyle w:val="StyleUnderline"/>
        </w:rPr>
        <w:t>everyday comings and goings, where people deviate from the paths they are supposed to follow. Deviation leaves its own marks on the ground</w:t>
      </w:r>
      <w:r w:rsidRPr="00585C5D">
        <w:rPr>
          <w:rStyle w:val="StyleUnderline"/>
        </w:rPr>
        <w:t>, which can even help generate alternative lines, which cross the ground in unexpected ways.</w:t>
      </w:r>
      <w:r w:rsidRPr="00123B9C">
        <w:rPr>
          <w:sz w:val="16"/>
        </w:rPr>
        <w:t xml:space="preserve"> Such lines are indeed traces of desire, where people have taken different routes to get to this point or that point. It is certainly </w:t>
      </w:r>
      <w:r w:rsidRPr="00585C5D">
        <w:rPr>
          <w:rStyle w:val="StyleUnderline"/>
        </w:rPr>
        <w:t>desire</w:t>
      </w:r>
      <w:r w:rsidRPr="00123B9C">
        <w:rPr>
          <w:sz w:val="16"/>
        </w:rPr>
        <w:t xml:space="preserve"> that </w:t>
      </w:r>
      <w:r w:rsidRPr="00585C5D">
        <w:rPr>
          <w:rStyle w:val="StyleUnderline"/>
        </w:rPr>
        <w:t>helps generate a queer landscape</w:t>
      </w:r>
      <w:r w:rsidRPr="00123B9C">
        <w:rPr>
          <w:sz w:val="16"/>
        </w:rPr>
        <w:t xml:space="preserve">, shaped by the paths that we follow in deviating from the straight line. Even if queer </w:t>
      </w:r>
      <w:r w:rsidRPr="00123B9C">
        <w:rPr>
          <w:sz w:val="16"/>
        </w:rPr>
        <w:lastRenderedPageBreak/>
        <w:t xml:space="preserve">deviations shape the grounds we inhabit, we should still avoid making deviation into a ground for queer politics. To resist making deviation into a ground is not to say that it does not matter which lines we follow. It does matter. Some lines, as we know, are lines that accumulate privilege and are “returned” by recognition and reward. Other lines are seen as ways out of an ethical life, as deviations from the common good. Despite this, </w:t>
      </w:r>
      <w:r w:rsidRPr="00585C5D">
        <w:rPr>
          <w:rStyle w:val="StyleUnderline"/>
        </w:rPr>
        <w:t>queer is not available as a line that we can follow, and if we took such a line, we would perform a certain injustice to those queers whose lives are lived for different points</w:t>
      </w:r>
      <w:r w:rsidRPr="00123B9C">
        <w:rPr>
          <w:sz w:val="16"/>
        </w:rPr>
        <w:t xml:space="preserve">. For me, </w:t>
      </w:r>
      <w:r w:rsidRPr="00585C5D">
        <w:rPr>
          <w:rStyle w:val="StyleUnderline"/>
        </w:rPr>
        <w:t>the important task is not so much finding a queer line but asking what our orientation toward queer moments of deviation will be</w:t>
      </w:r>
      <w:r w:rsidRPr="00123B9C">
        <w:rPr>
          <w:sz w:val="16"/>
        </w:rPr>
        <w:t xml:space="preserve">. If the object slips away, if its face becomes inverted, if it looks odd, strange, out of place, what will we do? If we feel oblique, where will we find support? </w:t>
      </w:r>
      <w:r w:rsidRPr="00585C5D">
        <w:rPr>
          <w:rStyle w:val="StyleUnderline"/>
        </w:rPr>
        <w:t xml:space="preserve">A queer phenomenology would involve an orientation toward queer, </w:t>
      </w:r>
      <w:r w:rsidRPr="001937C1">
        <w:rPr>
          <w:rStyle w:val="StyleUnderline"/>
        </w:rPr>
        <w:t>a way to inhabit the world that gives “support” to those whose lives and loves make them appear oblique, strange, and out of place</w:t>
      </w:r>
      <w:r w:rsidRPr="00123B9C">
        <w:rPr>
          <w:sz w:val="16"/>
        </w:rPr>
        <w:t>. The table becomes queer when it provides such support.</w:t>
      </w:r>
    </w:p>
    <w:p xmlns:wp14="http://schemas.microsoft.com/office/word/2010/wordml" w:rsidRPr="006C71B6" w:rsidR="008263E8" w:rsidP="008263E8" w:rsidRDefault="008263E8" w14:paraId="4397AADA" wp14:textId="77777777">
      <w:pPr>
        <w:pStyle w:val="Heading4"/>
        <w:rPr>
          <w:rFonts w:eastAsia="Calibri" w:cs="Calibri"/>
        </w:rPr>
      </w:pPr>
      <w:r>
        <w:rPr>
          <w:rFonts w:cs="Calibri"/>
        </w:rPr>
        <w:t>Queer kinship serves as a form of mutual aid enabling us to divest from liberal bueracratic holds on life.  Reclamation of our bodies, communities and affective intensities</w:t>
      </w:r>
      <w:r w:rsidRPr="006C71B6">
        <w:rPr>
          <w:rFonts w:cs="Calibri"/>
        </w:rPr>
        <w:t xml:space="preserve"> disrupt</w:t>
      </w:r>
      <w:r>
        <w:rPr>
          <w:rFonts w:cs="Calibri"/>
        </w:rPr>
        <w:t>s</w:t>
      </w:r>
      <w:r w:rsidRPr="006C71B6">
        <w:rPr>
          <w:rFonts w:cs="Calibri"/>
        </w:rPr>
        <w:t xml:space="preserve"> </w:t>
      </w:r>
      <w:r>
        <w:rPr>
          <w:rFonts w:cs="Calibri"/>
        </w:rPr>
        <w:t xml:space="preserve">normal operations of </w:t>
      </w:r>
      <w:r w:rsidRPr="006C71B6">
        <w:rPr>
          <w:rFonts w:cs="Calibri"/>
        </w:rPr>
        <w:t>state-sanctioned violence.</w:t>
      </w:r>
    </w:p>
    <w:p xmlns:wp14="http://schemas.microsoft.com/office/word/2010/wordml" w:rsidRPr="006C71B6" w:rsidR="008263E8" w:rsidP="008263E8" w:rsidRDefault="008263E8" w14:paraId="4659734E" wp14:textId="77777777">
      <w:pPr>
        <w:rPr>
          <w:rStyle w:val="Style13ptBold"/>
          <w:rFonts w:eastAsia="Calibri" w:cs="Calibri"/>
        </w:rPr>
      </w:pPr>
      <w:r w:rsidRPr="006C71B6">
        <w:rPr>
          <w:rStyle w:val="Style13ptBold"/>
          <w:rFonts w:cs="Calibri"/>
        </w:rPr>
        <w:t xml:space="preserve">Spade, et al 17 </w:t>
      </w:r>
      <w:r w:rsidRPr="00965D75">
        <w:t>(Dean, Associate Professor at Seattle University School of Law, founder of the Sylvia Rivera Law Project, Kai Lumumba Barrow, abolitionist and visual and performance artist, Kalaniopua Young, Ph.D student at University of Washington, Yve Laris Cohen, visual artist, Trap Door: Trans Cultural Production and the Politics of Visibility, pg 321-331)//ANH</w:t>
      </w:r>
    </w:p>
    <w:p xmlns:wp14="http://schemas.microsoft.com/office/word/2010/wordml" w:rsidRPr="007129FC" w:rsidR="008263E8" w:rsidP="008263E8" w:rsidRDefault="008263E8" w14:paraId="561C5DD8" wp14:textId="77777777">
      <w:pPr>
        <w:rPr>
          <w:sz w:val="16"/>
        </w:rPr>
      </w:pPr>
      <w:r w:rsidRPr="007129FC">
        <w:rPr>
          <w:sz w:val="16"/>
        </w:rPr>
        <w:t xml:space="preserve">Beyond strategies of intervention, reparation, and reform to combat anti-trans discrimination and violence, how can we imagine a radical break? What constitutes a prefigurative politics of trans liberation? Can we translate the spirit of abolitionism broadly, looking forward to not only the dismantling of the prison industrial complex, with its many racist, transphobic, and homophobic vectors, but also toward a more expansive alternative for trans life without the constant threat of death? How can we respond to the often specious applications of the prefix “post-” with regard to social justice (“post-racial,” “post-feminist,” “post- critical”), keeping in mind legacies of trans struggle while not giving up on the idea of radical futurity? What role does aesthetics play in speculating about transformation? DEAN SPADE: I would like to acknowledge that we are initiating this conversation about abolition, survival, and transformative futures at a very intense moment: The past few weeks have included the tragic massacre at the Pulse nightclub in Orlando, Florida, the bombings at the Istanbul airport and in Baghdad, the police killings of Alton Sterling and Philando Castile, the Brexit vote, the lifting of the ban on trans military service, important actions against police participation in Pride celebrations, and Micah Johnson’s shooting of five Dallas police officers during a protest against police brutality. It is a complex and difficult moment, and a deep one for thinking about white supremacy, queer and trans life, state violence, and nationalism. Given the conditions under which we are initiating this conversation, I would like to begin by asking how recent events and/ or movement mobilizations in response to them are impacting your thinking about transformative futures, abolition, and how to imagine a radical break? KAI LUMUMBA BARROW: First of all, thanks for the opportunity to discuss these big questions. These times, they are a-changin’. And yet, they seem eerily familiar ... As a Queer Black liberationist, feminist, and abolitionist, I am working to think about this period through a lens of abundance—understanding that this moment is within a continuum of protracted struggle for liberation. We have an opportunity to learn from our victories and mistakes. In this sense, the present moment is bringing up many more questions for me than answers. However, when I am assaulted by media coverage (including of events tantamount to public executions) or confused by the strategies, goals, or current demands of our evolving movement, I think a few key points stand out for me: </w:t>
      </w:r>
      <w:r w:rsidRPr="006C71B6">
        <w:rPr>
          <w:rStyle w:val="StyleUnderline"/>
          <w:rFonts w:cs="Calibri"/>
        </w:rPr>
        <w:t xml:space="preserve">1) We are in a crisis moment, and within conflict and crisis, change occurs. 2) Our response to state violence has become ritualized. </w:t>
      </w:r>
      <w:r w:rsidRPr="001937C1">
        <w:rPr>
          <w:rStyle w:val="StyleUnderline"/>
        </w:rPr>
        <w:t>We participate in a “spectacle of protest”</w:t>
      </w:r>
      <w:r w:rsidRPr="006C71B6">
        <w:rPr>
          <w:rStyle w:val="StyleUnderline"/>
          <w:rFonts w:cs="Calibri"/>
        </w:rPr>
        <w:t xml:space="preserve"> that is strong on performance but lacks a generative strategy.</w:t>
      </w:r>
      <w:r w:rsidRPr="007129FC">
        <w:rPr>
          <w:sz w:val="16"/>
        </w:rPr>
        <w:t xml:space="preserve"> 3) Our evolving movement is well resourced and has access to numerous platforms. By using the phrase “spectacle of protest” I am specifically critiquing our movement’s responses to the violence of the state. </w:t>
      </w:r>
      <w:r w:rsidRPr="006C71B6">
        <w:rPr>
          <w:rStyle w:val="StyleUnderline"/>
          <w:rFonts w:cs="Calibri"/>
        </w:rPr>
        <w:t>With almost ritualized precision, our movement’s responses to exploitation and violence</w:t>
      </w:r>
      <w:r w:rsidRPr="007129FC">
        <w:rPr>
          <w:sz w:val="16"/>
        </w:rPr>
        <w:t xml:space="preserve"> (for example, police murders of Black folks) </w:t>
      </w:r>
      <w:r w:rsidRPr="006C71B6">
        <w:rPr>
          <w:rStyle w:val="StyleUnderline"/>
          <w:rFonts w:cs="Calibri"/>
        </w:rPr>
        <w:t xml:space="preserve">span a pretty narrow spectrum of protest: 1) silence; 2) </w:t>
      </w:r>
      <w:bookmarkStart w:name="_Hlk518206224" w:id="2"/>
      <w:r w:rsidRPr="006C71B6">
        <w:rPr>
          <w:rStyle w:val="StyleUnderline"/>
          <w:rFonts w:cs="Calibri"/>
        </w:rPr>
        <w:t xml:space="preserve">peaceful, nonviolent mobilizations; 3) community uprisings; 4) institutional support (from faith-based, government, and charitable/service-based organizations); </w:t>
      </w:r>
      <w:bookmarkEnd w:id="2"/>
      <w:r w:rsidRPr="006C71B6">
        <w:rPr>
          <w:rStyle w:val="StyleUnderline"/>
          <w:rFonts w:cs="Calibri"/>
        </w:rPr>
        <w:t xml:space="preserve">and 5) state-approved sanctions for state-sponsored actors. </w:t>
      </w:r>
      <w:r w:rsidRPr="007129FC">
        <w:rPr>
          <w:sz w:val="16"/>
        </w:rPr>
        <w:t xml:space="preserve">After decades of work to stop police/police terror, I can almost predict the response from the people and the state, which leads to a few questions: Are our tactics and methods of dissent predictable? Do our tactics of disruption really heighten the contradictions between anti-Black violence and Black liberation? Imagining a radical break, I think </w:t>
      </w:r>
      <w:r w:rsidRPr="006C71B6">
        <w:rPr>
          <w:rStyle w:val="StyleUnderline"/>
          <w:rFonts w:cs="Calibri"/>
        </w:rPr>
        <w:t xml:space="preserve">there are numerous opportunities and challenges before us right now that allow us to direct the crisis, disrupt the ritual, and </w:t>
      </w:r>
      <w:r w:rsidRPr="006C71B6">
        <w:rPr>
          <w:rStyle w:val="StyleUnderline"/>
          <w:rFonts w:cs="Calibri"/>
        </w:rPr>
        <w:lastRenderedPageBreak/>
        <w:t>perform in multiple spaces</w:t>
      </w:r>
      <w:r w:rsidRPr="007129FC">
        <w:rPr>
          <w:sz w:val="16"/>
        </w:rPr>
        <w:t xml:space="preserve"> (from “firstspace” to “thirdspace,” as Edward Soja theorizes).’ </w:t>
      </w:r>
      <w:r w:rsidRPr="006C71B6">
        <w:rPr>
          <w:rStyle w:val="StyleUnderline"/>
          <w:rFonts w:cs="Calibri"/>
        </w:rPr>
        <w:t xml:space="preserve">The work to get there requires </w:t>
      </w:r>
      <w:r w:rsidRPr="001937C1">
        <w:rPr>
          <w:rStyle w:val="StyleUnderline"/>
        </w:rPr>
        <w:t>critical thinking, democratic dialogue, experimentation, and improvisation</w:t>
      </w:r>
      <w:r w:rsidRPr="006C71B6">
        <w:rPr>
          <w:rStyle w:val="StyleUnderline"/>
          <w:rFonts w:eastAsia="Calibri" w:cs="Calibri"/>
        </w:rPr>
        <w:t>.</w:t>
      </w:r>
      <w:r w:rsidRPr="007129FC">
        <w:rPr>
          <w:sz w:val="16"/>
        </w:rPr>
        <w:t xml:space="preserve"> </w:t>
      </w:r>
      <w:r w:rsidRPr="006C71B6">
        <w:rPr>
          <w:rStyle w:val="StyleUnderline"/>
          <w:rFonts w:cs="Calibri"/>
        </w:rPr>
        <w:t xml:space="preserve">I see these as abolitionist practices and principles that allow us to develop praxis and strategies that </w:t>
      </w:r>
      <w:r w:rsidRPr="001937C1">
        <w:rPr>
          <w:rStyle w:val="StyleUnderline"/>
        </w:rPr>
        <w:t>sharpen the contradictions between the state and the rest of us</w:t>
      </w:r>
      <w:r w:rsidRPr="007129FC">
        <w:rPr>
          <w:sz w:val="16"/>
        </w:rPr>
        <w:t xml:space="preserve">. </w:t>
      </w:r>
      <w:r w:rsidRPr="006C71B6">
        <w:rPr>
          <w:rStyle w:val="StyleUnderline"/>
          <w:rFonts w:cs="Calibri"/>
        </w:rPr>
        <w:t xml:space="preserve">Similarly, the act of constructing transformative futures allows us to imagine ourselves </w:t>
      </w:r>
      <w:r w:rsidRPr="001937C1">
        <w:rPr>
          <w:rStyle w:val="StyleUnderline"/>
        </w:rPr>
        <w:t>outside of the borders that define our values and our movements</w:t>
      </w:r>
      <w:r w:rsidRPr="006C71B6">
        <w:rPr>
          <w:rStyle w:val="StyleUnderline"/>
          <w:rFonts w:eastAsia="Calibri" w:cs="Calibri"/>
        </w:rPr>
        <w:t>.</w:t>
      </w:r>
      <w:r w:rsidRPr="007129FC">
        <w:rPr>
          <w:sz w:val="16"/>
        </w:rPr>
        <w:t xml:space="preserve"> What are our radical goals? And what makes them radical? Will our work result in a stronger, more fortified state, or </w:t>
      </w:r>
      <w:r w:rsidRPr="006C71B6">
        <w:rPr>
          <w:rStyle w:val="StyleUnderline"/>
          <w:rFonts w:cs="Calibri"/>
        </w:rPr>
        <w:t>will it shrink/dismantle/end the state?</w:t>
      </w:r>
      <w:r w:rsidRPr="007129FC">
        <w:rPr>
          <w:sz w:val="16"/>
        </w:rPr>
        <w:t xml:space="preserve"> Who are we in addition to and beyond our identities? How do we see ourselves within the arc of history? Do we see ourselves as historical actors? And if so, what is our role? </w:t>
      </w:r>
      <w:r w:rsidRPr="006C71B6">
        <w:rPr>
          <w:rStyle w:val="StyleUnderline"/>
          <w:rFonts w:cs="Calibri"/>
        </w:rPr>
        <w:t xml:space="preserve">I would like to think of us as </w:t>
      </w:r>
      <w:r w:rsidRPr="001937C1">
        <w:rPr>
          <w:rStyle w:val="StyleUnderline"/>
        </w:rPr>
        <w:t>a band of disrupters</w:t>
      </w:r>
      <w:r w:rsidRPr="006C71B6">
        <w:rPr>
          <w:rStyle w:val="StyleUnderline"/>
          <w:rFonts w:cs="Calibri"/>
        </w:rPr>
        <w:t>. Any tactic or strategy that becomes too familiar turns stagnant—into a spectacle</w:t>
      </w:r>
      <w:r w:rsidRPr="007129FC">
        <w:rPr>
          <w:sz w:val="16"/>
        </w:rPr>
        <w:t xml:space="preserve">, so to speak. In this sense, </w:t>
      </w:r>
      <w:r w:rsidRPr="006C71B6">
        <w:rPr>
          <w:rStyle w:val="StyleUnderline"/>
          <w:rFonts w:cs="Calibri"/>
        </w:rPr>
        <w:t>I think we must always be willing to interrupt ourselves, even when we think we’ve got it “right.”</w:t>
      </w:r>
      <w:r w:rsidRPr="007129FC">
        <w:rPr>
          <w:sz w:val="16"/>
        </w:rPr>
        <w:t xml:space="preserve"> We need to ask ourselves: How do we intend to use the resources we have? What are our long-term strategies for moving our goals forward during the lull periods (for instance, when the state fights back)? How are we preparing for this response? Are we institutionalizing too soon? Too much? Are we too US-focused? Should we be thinking about “infrastructurally light” structures to implement our work? I raise these questions as a challenge to current organizers, as opposed to a set of “best practices” that I can draw from any particular experience. KALANIOPUA YOUNG: The </w:t>
      </w:r>
      <w:r w:rsidRPr="006C71B6">
        <w:rPr>
          <w:rStyle w:val="StyleUnderline"/>
          <w:rFonts w:cs="Calibri"/>
        </w:rPr>
        <w:t>mainstream visibility</w:t>
      </w:r>
      <w:r w:rsidRPr="007129FC">
        <w:rPr>
          <w:sz w:val="16"/>
        </w:rPr>
        <w:t xml:space="preserve"> of police killings, mass shootings, and transgender icons </w:t>
      </w:r>
      <w:r w:rsidRPr="006C71B6">
        <w:rPr>
          <w:rStyle w:val="StyleUnderline"/>
          <w:rFonts w:cs="Calibri"/>
        </w:rPr>
        <w:t>is not saving black, brown, and trans lives.</w:t>
      </w:r>
      <w:r w:rsidRPr="007129FC">
        <w:rPr>
          <w:sz w:val="16"/>
        </w:rPr>
        <w:t xml:space="preserve"> In fact, </w:t>
      </w:r>
      <w:r w:rsidRPr="006C71B6">
        <w:rPr>
          <w:rStyle w:val="StyleUnderline"/>
          <w:rFonts w:cs="Calibri"/>
        </w:rPr>
        <w:t>things appear to be getting worse.</w:t>
      </w:r>
      <w:r w:rsidRPr="007129FC">
        <w:rPr>
          <w:sz w:val="16"/>
        </w:rPr>
        <w:t xml:space="preserve"> Kai asks if we are institutionalizing too soon. I think so. For instance, </w:t>
      </w:r>
      <w:r w:rsidRPr="006C71B6">
        <w:rPr>
          <w:rStyle w:val="StyleUnderline"/>
          <w:rFonts w:cs="Calibri"/>
        </w:rPr>
        <w:t xml:space="preserve">while the prohibition of transpeople serving openly in the military can be legitimately contested in the interests of employment and basic civil rights concerns, in the US such an endeavor is simultaneously hijacked by </w:t>
      </w:r>
      <w:r w:rsidRPr="001937C1">
        <w:rPr>
          <w:rStyle w:val="StyleUnderline"/>
        </w:rPr>
        <w:t>a racist heteropatriarchal nation-state system that institutionalizes suppression and is built on hypocrisy and exploitation</w:t>
      </w:r>
      <w:r w:rsidRPr="006C71B6">
        <w:rPr>
          <w:rStyle w:val="StyleUnderline"/>
          <w:rFonts w:eastAsia="Calibri" w:cs="Calibri"/>
        </w:rPr>
        <w:t>.</w:t>
      </w:r>
      <w:r w:rsidRPr="007129FC">
        <w:rPr>
          <w:sz w:val="16"/>
        </w:rPr>
        <w:t xml:space="preserve"> It is as if one must appeal to a visibility logic that seeks to erase our very being. </w:t>
      </w:r>
      <w:r w:rsidRPr="006C71B6">
        <w:rPr>
          <w:rStyle w:val="StyleUnderline"/>
          <w:rFonts w:cs="Calibri"/>
        </w:rPr>
        <w:t xml:space="preserve">The right of transpeople to serve in the military </w:t>
      </w:r>
      <w:r w:rsidRPr="001937C1">
        <w:rPr>
          <w:rStyle w:val="StyleUnderline"/>
        </w:rPr>
        <w:t>emboldens a rationale for inhumane invasions under a pinkwashing campaign</w:t>
      </w:r>
      <w:r w:rsidRPr="006C71B6">
        <w:rPr>
          <w:rStyle w:val="StyleUnderline"/>
          <w:rFonts w:cs="Calibri"/>
        </w:rPr>
        <w:t xml:space="preserve"> that marks other (mostly Islamic) countries as hetero patriarchal, backward, and hostile to the supposed security interests of trans folks. </w:t>
      </w:r>
      <w:r w:rsidRPr="007129FC">
        <w:rPr>
          <w:sz w:val="16"/>
        </w:rPr>
        <w:t xml:space="preserve">The irony of course is that </w:t>
      </w:r>
      <w:r w:rsidRPr="006C71B6">
        <w:rPr>
          <w:rStyle w:val="StyleUnderline"/>
          <w:rFonts w:cs="Calibri"/>
        </w:rPr>
        <w:t>the US is one of the most oppressive military regimes in the world. It regularly sells weapons to oppressive regimes</w:t>
      </w:r>
      <w:r w:rsidRPr="007129FC">
        <w:rPr>
          <w:sz w:val="16"/>
        </w:rPr>
        <w:t xml:space="preserve">, even those incredibly hostile to gender nonconforming folks. </w:t>
      </w:r>
      <w:r w:rsidRPr="006C71B6">
        <w:rPr>
          <w:rStyle w:val="StyleUnderline"/>
          <w:rFonts w:cs="Calibri"/>
        </w:rPr>
        <w:t>It operates on the assumption that bombing brown Muslim trans folks in the Middle East will somehow liberate trans folks in the US or anywhere</w:t>
      </w:r>
      <w:r w:rsidRPr="007129FC">
        <w:rPr>
          <w:sz w:val="16"/>
        </w:rPr>
        <w:t xml:space="preserve">. Obviously, this is a farce. </w:t>
      </w:r>
      <w:r w:rsidRPr="006C71B6">
        <w:rPr>
          <w:rStyle w:val="StyleUnderline"/>
          <w:rFonts w:cs="Calibri"/>
        </w:rPr>
        <w:t>It is exploitative and hypocritical</w:t>
      </w:r>
      <w:r w:rsidRPr="007129FC">
        <w:rPr>
          <w:sz w:val="16"/>
        </w:rPr>
        <w:t xml:space="preserve">. </w:t>
      </w:r>
      <w:r w:rsidRPr="001937C1">
        <w:rPr>
          <w:rStyle w:val="StyleUnderline"/>
        </w:rPr>
        <w:t>We must be critical of such a discourse that marks the nation as a protector of the people rather than the very thing that puts bodies, especially trans bodies of color, at the forefront of imperial nation-building</w:t>
      </w:r>
      <w:r w:rsidRPr="007129FC">
        <w:rPr>
          <w:sz w:val="16"/>
        </w:rPr>
        <w:t xml:space="preserve">. I am befuddled but sadly unsurprised that the </w:t>
      </w:r>
      <w:r w:rsidRPr="006C71B6">
        <w:rPr>
          <w:rStyle w:val="StyleUnderline"/>
          <w:rFonts w:cs="Calibri"/>
        </w:rPr>
        <w:t>US nation-state benefits more than any other country from a war machine that maims, kills, and abuses with impunity.</w:t>
      </w:r>
      <w:r w:rsidRPr="007129FC">
        <w:rPr>
          <w:sz w:val="16"/>
        </w:rPr>
        <w:t xml:space="preserve"> Today, more than half of the federal discretionary spending in the United States goes to support military interests. To put this in context, the National Priorities Project—a research organization dedicated to making the federal budget transparent and accessible to the public—compares US spending to that of other countries such as China, which spends almost three times less than the US on its military expenditures.2 </w:t>
      </w:r>
      <w:r w:rsidRPr="006C71B6">
        <w:rPr>
          <w:rStyle w:val="StyleUnderline"/>
          <w:rFonts w:cs="Calibri"/>
        </w:rPr>
        <w:t>What is to be done when the state’s impunity from violence allows it to mark dissent and difference as criminal in a domestic context as well?</w:t>
      </w:r>
      <w:r w:rsidRPr="007129FC">
        <w:rPr>
          <w:sz w:val="16"/>
        </w:rPr>
        <w:t xml:space="preserve"> “Not in my name!” “No justice, no peace!” </w:t>
      </w:r>
      <w:r w:rsidRPr="006C71B6">
        <w:rPr>
          <w:rStyle w:val="StyleUnderline"/>
          <w:rFonts w:cs="Calibri"/>
        </w:rPr>
        <w:t>We scream these chants</w:t>
      </w:r>
      <w:r w:rsidRPr="007129FC">
        <w:rPr>
          <w:sz w:val="16"/>
        </w:rPr>
        <w:t xml:space="preserve"> in marches for Black Lives Matter </w:t>
      </w:r>
      <w:r w:rsidRPr="006C71B6">
        <w:rPr>
          <w:rStyle w:val="StyleUnderline"/>
          <w:rFonts w:cs="Calibri"/>
        </w:rPr>
        <w:t>to do more than burn systemic injustice down to the ground</w:t>
      </w:r>
      <w:r w:rsidRPr="007129FC">
        <w:rPr>
          <w:sz w:val="16"/>
        </w:rPr>
        <w:t xml:space="preserve">. As an indigenous trans woman, I recognize that I cannot stand idly by while my black brothers and sisters are being slain in the street. Hannah Arendt’s term the “banality of evil,” which she uses in her scathing critique of Adolf Eichmann’s administrative brutality by mindlessly following orders during the Holocaust, is speaking to me right now. </w:t>
      </w:r>
      <w:r w:rsidRPr="006C71B6">
        <w:rPr>
          <w:rStyle w:val="StyleUnderline"/>
          <w:rFonts w:cs="Calibri"/>
        </w:rPr>
        <w:t>The everyday bureaucracy of evil</w:t>
      </w:r>
      <w:r w:rsidRPr="007129FC">
        <w:rPr>
          <w:sz w:val="16"/>
        </w:rPr>
        <w:t xml:space="preserve"> that Arendt suggests allowed Eichmann, the former vacuum salesman turned Nazi officer, to command the deaths of Jews with </w:t>
      </w:r>
      <w:r w:rsidRPr="006C71B6">
        <w:rPr>
          <w:rStyle w:val="StyleUnderline"/>
          <w:rFonts w:cs="Calibri"/>
        </w:rPr>
        <w:t>impunity is the same banality that prevents any personal accounting for the evil that police officers inflict upon black and brown bodies on the streets and in our neighborhoods</w:t>
      </w:r>
      <w:r w:rsidRPr="007129FC">
        <w:rPr>
          <w:sz w:val="16"/>
        </w:rPr>
        <w:t xml:space="preserve">. According to Arendt, the belief that one can do no evil provided one follows the script of a given institutionalized social order must be challenged, abolished, and remade.3 </w:t>
      </w:r>
      <w:r w:rsidRPr="001937C1">
        <w:rPr>
          <w:rStyle w:val="StyleUnderline"/>
        </w:rPr>
        <w:t xml:space="preserve">Institutional thinking replicates hierarchy and puts power in the hands of the state in ways that </w:t>
      </w:r>
      <w:r w:rsidRPr="001937C1">
        <w:rPr>
          <w:rStyle w:val="StyleUnderline"/>
        </w:rPr>
        <w:lastRenderedPageBreak/>
        <w:t>problematically devalue community and place-based power.</w:t>
      </w:r>
      <w:r w:rsidRPr="007129FC">
        <w:rPr>
          <w:sz w:val="16"/>
        </w:rPr>
        <w:t xml:space="preserve"> In order to bring transformation to fruition, </w:t>
      </w:r>
      <w:r w:rsidRPr="006C71B6">
        <w:rPr>
          <w:rStyle w:val="StyleUnderline"/>
          <w:rFonts w:cs="Calibri"/>
        </w:rPr>
        <w:t xml:space="preserve">we must allow ourselves space to </w:t>
      </w:r>
      <w:r w:rsidRPr="001937C1">
        <w:rPr>
          <w:rStyle w:val="StyleUnderline"/>
        </w:rPr>
        <w:t>think in struggle beyond the institution</w:t>
      </w:r>
      <w:r w:rsidRPr="007129FC">
        <w:rPr>
          <w:sz w:val="16"/>
        </w:rPr>
        <w:t xml:space="preserve">, to “git woke,” </w:t>
      </w:r>
      <w:r w:rsidRPr="006C71B6">
        <w:rPr>
          <w:rStyle w:val="StyleUnderline"/>
          <w:rFonts w:cs="Calibri"/>
        </w:rPr>
        <w:t xml:space="preserve">to embrace the fact that </w:t>
      </w:r>
      <w:r w:rsidRPr="001937C1">
        <w:rPr>
          <w:rStyle w:val="StyleUnderline"/>
        </w:rPr>
        <w:t xml:space="preserve">there is something intrinsically valuable about fighting oppression </w:t>
      </w:r>
      <w:r w:rsidRPr="006C71B6">
        <w:rPr>
          <w:rStyle w:val="StyleUnderline"/>
          <w:rFonts w:cs="Calibri"/>
        </w:rPr>
        <w:t>in all of its forms</w:t>
      </w:r>
      <w:r w:rsidRPr="007129FC">
        <w:rPr>
          <w:sz w:val="16"/>
        </w:rPr>
        <w:t xml:space="preserve">. SPADE: Kai asserts that “there are numerous opportunities and challenges before us right now that allow us to direct the crisis, disrupt the ritual.” In the last few years, we have seen </w:t>
      </w:r>
      <w:r w:rsidRPr="006C71B6">
        <w:rPr>
          <w:rStyle w:val="StyleUnderline"/>
          <w:rFonts w:cs="Calibri"/>
        </w:rPr>
        <w:t xml:space="preserve">increased engagement with </w:t>
      </w:r>
      <w:r w:rsidRPr="001937C1">
        <w:rPr>
          <w:rStyle w:val="StyleUnderline"/>
        </w:rPr>
        <w:t>tactics of disruption</w:t>
      </w:r>
      <w:r w:rsidRPr="007129FC">
        <w:rPr>
          <w:sz w:val="16"/>
        </w:rPr>
        <w:t xml:space="preserve">, especially from Black Lives Matter and migrant justice activists. In my experience, </w:t>
      </w:r>
      <w:r w:rsidRPr="006C71B6">
        <w:rPr>
          <w:rStyle w:val="StyleUnderline"/>
          <w:rFonts w:cs="Calibri"/>
        </w:rPr>
        <w:t xml:space="preserve">these disruptions have been exciting, powerful conversation-changers at the local level and on national and international scales. </w:t>
      </w:r>
      <w:r w:rsidRPr="007129FC">
        <w:rPr>
          <w:sz w:val="16"/>
        </w:rPr>
        <w:t xml:space="preserve">At the same time, </w:t>
      </w:r>
      <w:r w:rsidRPr="006C71B6">
        <w:rPr>
          <w:rStyle w:val="StyleUnderline"/>
          <w:rFonts w:cs="Calibri"/>
        </w:rPr>
        <w:t>we see rapid co-optation and recuperation by the violent institutions</w:t>
      </w:r>
      <w:r w:rsidRPr="007129FC">
        <w:rPr>
          <w:sz w:val="16"/>
        </w:rPr>
        <w:t xml:space="preserve"> (and their individual representatives) </w:t>
      </w:r>
      <w:r w:rsidRPr="006C71B6">
        <w:rPr>
          <w:rStyle w:val="StyleUnderline"/>
          <w:rFonts w:cs="Calibri"/>
        </w:rPr>
        <w:t>that were targeted</w:t>
      </w:r>
      <w:r w:rsidRPr="007129FC">
        <w:rPr>
          <w:sz w:val="16"/>
        </w:rPr>
        <w:t xml:space="preserve">. I am curious to hear how other people are thinking about the relationships between disruption and the cultivation of the new worlds that abolition and critical trans politics imagine. Have your experiences in the last few years given you any insights into these relationships, or are there historical movements or moments you look to for thinking about this? BARROW: Given the current political moment (as Dean eloquently identified in the opening remarks), I think it is important for our movement(s) to map our strengths and challenges, trends and contradictions over the past ten to twenty years in order to consider these logistical questions about how to move forward. I think it is important to look at our work within a broad frame and assess this work based upon a reading of our history. For example, as an abolitionist, I want to understand where the movement has been successful and weak from multiple vantage points: How many formal groups with intersectional and abolitionist agendas were birthed and dismantled in the past twenty years? What are the political legacies left by these groups, and how are these ideas and practices currently applied? Or, what have been the results of the paradigm shifts in popular narratives that now make visible police violence, mass incarceration, and the voices of prisoners and former prisoners? How has the stigmatization of prisoners shifted, and what has taken its place? I would love to participate in more of these dialogues—cross-organizational and identity-, geography-, and issue-specific. YOUNG: I’d like to respond to Kai’s remarks on the numerous opportunities and challenges that allow us to direct the crisis and disrupt the ritual. I do think that such opportunities exist. Along with Black Lives Matter and migrant jus tice activists, </w:t>
      </w:r>
      <w:r w:rsidRPr="006C71B6">
        <w:rPr>
          <w:rStyle w:val="StyleUnderline"/>
          <w:rFonts w:cs="Calibri"/>
        </w:rPr>
        <w:t>there are indigenous activists and accomplices taking part in social movements like Idle No More and fighting for sacred sites</w:t>
      </w:r>
      <w:r w:rsidRPr="007129FC">
        <w:rPr>
          <w:sz w:val="16"/>
        </w:rPr>
        <w:t xml:space="preserve"> like Mauna Kea, Oak Flat, and Standing Rock. </w:t>
      </w:r>
      <w:r w:rsidRPr="006C71B6">
        <w:rPr>
          <w:rStyle w:val="StyleUnderline"/>
          <w:rFonts w:cs="Calibri"/>
        </w:rPr>
        <w:t xml:space="preserve">These activists are disrupting resource extraction logics of settler colonialism and rights discourses that disavow the claims of indigenous peoples to self-determination and earth justice resistance. Movements are created, developed by the hands of the afflicted from the ground up. </w:t>
      </w:r>
      <w:r w:rsidRPr="007129FC">
        <w:rPr>
          <w:sz w:val="16"/>
        </w:rPr>
        <w:t xml:space="preserve">I join these direct action marches, speak-outs, and rallies organized by the families and accomplices of the directly affected, particularly of those gunned down by police. Their memories are planted firmly on my shoulders as </w:t>
      </w:r>
      <w:r w:rsidRPr="006C71B6">
        <w:rPr>
          <w:rStyle w:val="StyleUnderline"/>
          <w:rFonts w:cs="Calibri"/>
        </w:rPr>
        <w:t>I fight to hold accountable a racist system that seeks to disappear us in the trenches of ecological devastation and economic austerity</w:t>
      </w:r>
      <w:r w:rsidRPr="007129FC">
        <w:rPr>
          <w:sz w:val="16"/>
        </w:rPr>
        <w:t xml:space="preserve">. In fact, I believe that it is precisely in these times of great sorrow, violence, and mourning that more of us continue to do this work from the ground up. “Hands up, don’t shoot!” “Eric Garner, Sandra Bland, Trayvon Martin, Kollin Elderts, we speak your names!” </w:t>
      </w:r>
      <w:r w:rsidRPr="006C71B6">
        <w:rPr>
          <w:rStyle w:val="StyleUnderline"/>
          <w:rFonts w:cs="Calibri"/>
        </w:rPr>
        <w:t xml:space="preserve">Grassroots organizing and mobilization are needed now more than ever to bring about a different world beyond the power of war machines and the increase in military and police violence. </w:t>
      </w:r>
      <w:r w:rsidRPr="001937C1">
        <w:rPr>
          <w:rStyle w:val="StyleUnderline"/>
        </w:rPr>
        <w:t>We need our boots in the street and our fingers on the digital pulse of disruption to fight powers built on the institutionalization of our very erasure.</w:t>
      </w:r>
      <w:r w:rsidRPr="006C71B6">
        <w:rPr>
          <w:rStyle w:val="StyleUnderline"/>
          <w:rFonts w:eastAsia="Calibri" w:cs="Calibri"/>
        </w:rPr>
        <w:t xml:space="preserve"> </w:t>
      </w:r>
      <w:r w:rsidRPr="007129FC">
        <w:rPr>
          <w:sz w:val="16"/>
        </w:rPr>
        <w:t xml:space="preserve">However, as someone who has been involved in direct actions for Black Lives Matter in Seattle, I’ve seen little resolve in the national and municipal political arenas. </w:t>
      </w:r>
      <w:r w:rsidRPr="006C71B6">
        <w:rPr>
          <w:rStyle w:val="StyleUnderline"/>
          <w:rFonts w:cs="Calibri"/>
        </w:rPr>
        <w:t xml:space="preserve">A key takeaway from this abysmal state of affairs is that </w:t>
      </w:r>
      <w:r w:rsidRPr="001937C1">
        <w:rPr>
          <w:rStyle w:val="StyleUnderline"/>
        </w:rPr>
        <w:t>it takes much more than a movement for visibility, bureaucratic reform, and liberal empathy to transform the neoliberal police state and its continued attack on people of color, women, queer folks, and mother earth</w:t>
      </w:r>
      <w:r w:rsidRPr="006C71B6">
        <w:rPr>
          <w:rStyle w:val="StyleUnderline"/>
          <w:rFonts w:eastAsia="Calibri" w:cs="Calibri"/>
        </w:rPr>
        <w:t>.</w:t>
      </w:r>
      <w:r w:rsidRPr="007129FC">
        <w:rPr>
          <w:sz w:val="16"/>
        </w:rPr>
        <w:t xml:space="preserve"> In fact, </w:t>
      </w:r>
      <w:r w:rsidRPr="006C71B6">
        <w:rPr>
          <w:rStyle w:val="StyleUnderline"/>
          <w:rFonts w:cs="Calibri"/>
        </w:rPr>
        <w:t xml:space="preserve">I’d like to suggest that it is precisely in these moments that we think with and act toward an </w:t>
      </w:r>
      <w:r w:rsidRPr="001937C1">
        <w:rPr>
          <w:rStyle w:val="StyleUnderline"/>
        </w:rPr>
        <w:t>alternative economy of solidarity beyond the institution itself</w:t>
      </w:r>
      <w:r w:rsidRPr="006C71B6">
        <w:rPr>
          <w:rStyle w:val="StyleUnderline"/>
          <w:rFonts w:cs="Calibri"/>
        </w:rPr>
        <w:t xml:space="preserve">, toward </w:t>
      </w:r>
      <w:r w:rsidRPr="001937C1">
        <w:rPr>
          <w:rStyle w:val="StyleUnderline"/>
        </w:rPr>
        <w:t>a radical reclamation of our bodies and our communities as sites of refusal and collaborative possibility</w:t>
      </w:r>
      <w:r w:rsidRPr="007129FC">
        <w:rPr>
          <w:sz w:val="16"/>
        </w:rPr>
        <w:t xml:space="preserve">. BARROW: The familiarity of disrupting that which we know prevents us from engaging </w:t>
      </w:r>
      <w:r w:rsidRPr="006C71B6">
        <w:rPr>
          <w:rStyle w:val="StyleUnderline"/>
          <w:rFonts w:cs="Calibri"/>
        </w:rPr>
        <w:t>a true tactics of transformation in order to impact our daily ways of being and produce the “alternative” realities</w:t>
      </w:r>
      <w:r w:rsidRPr="007129FC">
        <w:rPr>
          <w:sz w:val="16"/>
        </w:rPr>
        <w:t xml:space="preserve"> that Kalaniopua calls for. On the one hand, I agree with Dean’s assessment that the current spate of disruptions has opened the door for broader and more nuanced conversations about dominant norms (e.g., prisons, policing, gender, borders). However, if disruption becomes the primary (or sole) strategy of a movement, we limit our potential to construct new worlds (and by extension, we create new problems). I don’t have the answers for what should be done, and by no means do I think we can reduce the complexity of colonization to a simple panacea/prescription! solution. However, I would love to help bring to fruition </w:t>
      </w:r>
      <w:r w:rsidRPr="006C71B6">
        <w:rPr>
          <w:rStyle w:val="StyleUnderline"/>
          <w:rFonts w:cs="Calibri"/>
        </w:rPr>
        <w:t xml:space="preserve">a global movement that is networked and intentional about creating strategies and tactics for transformation. Movements that transform our </w:t>
      </w:r>
      <w:r w:rsidRPr="006C71B6">
        <w:rPr>
          <w:rStyle w:val="StyleUnderline"/>
          <w:rFonts w:cs="Calibri"/>
        </w:rPr>
        <w:lastRenderedPageBreak/>
        <w:t xml:space="preserve">relationships to power by creating or supporting </w:t>
      </w:r>
      <w:r w:rsidRPr="001937C1">
        <w:rPr>
          <w:rStyle w:val="StyleUnderline"/>
        </w:rPr>
        <w:t>self-determining, autonomous, culturally relevant, sovereign, and sustainable communities are critical to disrupt and dismantle systemic oppression</w:t>
      </w:r>
      <w:r w:rsidRPr="006C71B6">
        <w:rPr>
          <w:rStyle w:val="StyleUnderline"/>
          <w:rFonts w:eastAsia="Calibri" w:cs="Calibri"/>
        </w:rPr>
        <w:t>.</w:t>
      </w:r>
      <w:r w:rsidRPr="007129FC">
        <w:rPr>
          <w:sz w:val="16"/>
        </w:rPr>
        <w:t xml:space="preserve"> </w:t>
      </w:r>
      <w:r w:rsidRPr="006C71B6">
        <w:rPr>
          <w:rStyle w:val="StyleUnderline"/>
          <w:rFonts w:cs="Calibri"/>
        </w:rPr>
        <w:t xml:space="preserve">A </w:t>
      </w:r>
      <w:r w:rsidRPr="001937C1">
        <w:rPr>
          <w:rStyle w:val="StyleUnderline"/>
        </w:rPr>
        <w:t>“counterculture”</w:t>
      </w:r>
      <w:r w:rsidRPr="006C71B6">
        <w:rPr>
          <w:rStyle w:val="StyleUnderline"/>
          <w:rFonts w:cs="Calibri"/>
        </w:rPr>
        <w:t xml:space="preserve"> (e.g., liberation schools, cooperatives, land sovereignty, cultural practices/mores, coded languages, harm reduction</w:t>
      </w:r>
      <w:r w:rsidRPr="007129FC">
        <w:rPr>
          <w:sz w:val="16"/>
        </w:rPr>
        <w:t xml:space="preserve">, and so forth) or dual power model </w:t>
      </w:r>
      <w:r w:rsidRPr="006C71B6">
        <w:rPr>
          <w:rStyle w:val="StyleUnderline"/>
          <w:rFonts w:cs="Calibri"/>
        </w:rPr>
        <w:t>would center the needs and desires of the people who are at the center of the problem</w:t>
      </w:r>
      <w:r w:rsidRPr="007129FC">
        <w:rPr>
          <w:sz w:val="16"/>
        </w:rPr>
        <w:t xml:space="preserve">. To avoid a potential binary, let me say this differently: I think that </w:t>
      </w:r>
      <w:r w:rsidRPr="006C71B6">
        <w:rPr>
          <w:rStyle w:val="StyleUnderline"/>
          <w:rFonts w:cs="Calibri"/>
        </w:rPr>
        <w:t xml:space="preserve">our dissent must include disruptions designed to direct the oppressor’s actions as well as transformative theories and practices that center experimentation, flexibility, and improvisation. A </w:t>
      </w:r>
      <w:r w:rsidRPr="001937C1">
        <w:rPr>
          <w:rStyle w:val="StyleUnderline"/>
        </w:rPr>
        <w:t>tactics of transformation allows us to move (and keep moving) like a spiral, outside of the lines—even the lines that we create for ourselves</w:t>
      </w:r>
      <w:r w:rsidRPr="006C71B6">
        <w:rPr>
          <w:rStyle w:val="StyleUnderline"/>
          <w:rFonts w:cs="Calibri"/>
        </w:rPr>
        <w:t>. This is a place for the artist or “</w:t>
      </w:r>
      <w:r w:rsidRPr="001937C1">
        <w:rPr>
          <w:rStyle w:val="StyleUnderline"/>
        </w:rPr>
        <w:t>trickster</w:t>
      </w:r>
      <w:r w:rsidRPr="006C71B6">
        <w:rPr>
          <w:rStyle w:val="StyleUnderline"/>
          <w:rFonts w:cs="Calibri"/>
        </w:rPr>
        <w:t xml:space="preserve">”—a cross-cultural figure, in art and literature, who represents the </w:t>
      </w:r>
      <w:r w:rsidRPr="001937C1">
        <w:rPr>
          <w:rStyle w:val="StyleUnderline"/>
        </w:rPr>
        <w:t>playful, boundary-crossing, disruptive side of the imagination</w:t>
      </w:r>
      <w:r w:rsidRPr="006C71B6">
        <w:rPr>
          <w:rStyle w:val="StyleUnderline"/>
          <w:rFonts w:cs="Calibri"/>
        </w:rPr>
        <w:t>—to spin possibilities.4 To play. To indulge in an ongoing game of “What’s next?”</w:t>
      </w:r>
      <w:r w:rsidRPr="007129FC">
        <w:rPr>
          <w:sz w:val="16"/>
        </w:rPr>
        <w:t xml:space="preserve"> SPADE: </w:t>
      </w:r>
      <w:r w:rsidRPr="006C71B6">
        <w:rPr>
          <w:rStyle w:val="StyleUnderline"/>
          <w:rFonts w:cs="Calibri"/>
        </w:rPr>
        <w:t>The project of abolition</w:t>
      </w:r>
      <w:r w:rsidRPr="007129FC">
        <w:rPr>
          <w:sz w:val="16"/>
        </w:rPr>
        <w:t xml:space="preserve"> can be narrowly construed as being specifically about getting rid of prisons and police, but for many of us it </w:t>
      </w:r>
      <w:r w:rsidRPr="006C71B6">
        <w:rPr>
          <w:rStyle w:val="StyleUnderline"/>
          <w:rFonts w:cs="Calibri"/>
        </w:rPr>
        <w:t>opens up broader questions, invites expansive imagining, and calls into question many more in stitutions and conditions beyond the formal apparatuses of racial punishment</w:t>
      </w:r>
      <w:r w:rsidRPr="007129FC">
        <w:rPr>
          <w:sz w:val="16"/>
        </w:rPr>
        <w:t xml:space="preserve">. What are the ways, spaces, or sites where abolition is important for you that might be surprising to people newly encountering prison and police abolition work, or perhaps to those who have been working with the idea of prison and police abolition for a while? YVE LARIS COHEN: This spring one of my trans students at the Cooper Union organized a panel called “Black Femme Power” featuring black transfeminine or ganizer and abolitionist Joshua Allen. This student, Rio Sofia, along with a core group of fellow trans students and their cis accomplices, had just won a long and difficult battle with the school administration to degenderize campus restrooms. At one point during the panel, Allen spoke about the difference between radical strategies for trans liberation rooted in abolitionism and rights-based neoliberal projects focused on trans visibility. In the same breath as talking about trans inclusion in the military, Allen listed “bathrooms” as one such neoliberal concern. It was a quick mention—Allen didn’t elaborate or revisit it later in conversation— but a meaningful one. I recoiled a bit and could sense some discomfort among the passionate student bathroom organizers in the audience. I defensively thought through how working for bathroom safety for trans folks was so very different from imploring the Pentagon to participate in US imperialism. I then paused to examine how my position as a white transmasculine person mediated this defensive thinking. The bathroom is one of the primary sites where I’ve experienced violence as a trans person; I haven’t been incarcerated or deported or homeless, for example. I can see how bathroom accessibility might be a very low or non-priority for many of my transfeminine and people of color comrades who experience regular, systemic threats to their lives through many other vectors. Additionally, waging an all-gender restroom campaign almost invariably involves </w:t>
      </w:r>
      <w:r w:rsidRPr="006C71B6">
        <w:rPr>
          <w:rStyle w:val="StyleUnderline"/>
          <w:rFonts w:cs="Calibri"/>
        </w:rPr>
        <w:t>heavy engagement with an institution</w:t>
      </w:r>
      <w:r w:rsidRPr="007129FC">
        <w:rPr>
          <w:sz w:val="16"/>
        </w:rPr>
        <w:t xml:space="preserve">—be it a school, a museum, or a local government. In many cases, heavy engagement </w:t>
      </w:r>
      <w:r w:rsidRPr="006C71B6">
        <w:rPr>
          <w:rStyle w:val="StyleUnderline"/>
          <w:rFonts w:cs="Calibri"/>
        </w:rPr>
        <w:t>means heavy begging</w:t>
      </w:r>
      <w:r w:rsidRPr="007129FC">
        <w:rPr>
          <w:sz w:val="16"/>
        </w:rPr>
        <w:t xml:space="preserve"> (e.g., “Please allocate resources in next year’s budget to build an all-gender restroom with wheelchair accessibility”). The intersection with disability is important and another reason why I was resistant to characterizing bathroom organizing as a neoliberal endeavor. During my teenage years as a queer youth organizer in the early 2000s, I strategically formed coalitions with disabled teens to fight for the building or remodeling of bathrooms to be both ADA-compliant and gender-neutral. High school administrations were much more responsive to demands for accessible all-gender restrooms when threatened with a lawsuit for noncompliance with landmark national legislation. This work was a formative experience in shaping my thinking around how transness is entangled with disability, or crip experience—how trans liberation must be cripped and crip liberation must be transed. In the 1990s and early 2000s, trans bathroom organizing wasn’t entwined with mainstream trans visibility and media representation in the way it’s now become so deeply enmeshed in less than a year’s time. We used to be on the offense, pushing for lasting architectural changes to our institutions. Now, anti- trans bathroom legislation is a de facto legal avenue for conservatives to go after us. And this is where we find ourselves in a neoliberal trap. We’re on the defensive, asserting our right to use whichever existing gendered bathroom “fits” us best. The bathroom fight is no longer about willing a radical futurity, building new spaces for our shit and cum and piss that look and feel different from the old ones. We’re assuring lawmakers and voters that we—particularly transwomen, who are always on the front lines—are not a threat to the safety of cis children in these shitty existing bathrooms. “Safety” has always been about the maintenance of white supremacy. This is where I turn back to my incredible Cooper students and how abolition can lend the bathroom effort a radical break. At several points over the course of the two-and-a-half-year battle, administrators offered the student organizers a number of concessions: more single-stall all-gender bathrooms or opening up some all-gender faculty restrooms to students. The organizers didn’t yield. The point had always been to remove all gender designations from all restrooms in the entire institution, rather than designating auxiliary “safer spaces” for trans and gender nonconforming students, faculty, and staff. This is abolition thinking. It’s not incidental that several of these students are active in prison and police abolition work, such as Freedom To Live (F2 L). It wasn’t about reforming or upgrading or lessening the pain—it was about freeing everyone, cis and trans alike, from the oppressive architecture of gendered facilities. BARROW: </w:t>
      </w:r>
      <w:r w:rsidRPr="006C71B6">
        <w:rPr>
          <w:rStyle w:val="StyleUnderline"/>
          <w:rFonts w:cs="Calibri"/>
        </w:rPr>
        <w:t>I am an abolitionist because I am committed to self-determination.</w:t>
      </w:r>
      <w:r w:rsidRPr="007129FC">
        <w:rPr>
          <w:sz w:val="16"/>
        </w:rPr>
        <w:t xml:space="preserve"> The ways in which the social, cultural, political, economic, and, I think we can add, technological sectors intersect to control the ideas, values, and mobility of the body politic form a violent carceral landscape that exists within our neighbor hoods, households, institutions, and imaginations. I think </w:t>
      </w:r>
      <w:r w:rsidRPr="006C71B6">
        <w:rPr>
          <w:rStyle w:val="StyleUnderline"/>
          <w:rFonts w:cs="Calibri"/>
        </w:rPr>
        <w:t xml:space="preserve">an abolitionist </w:t>
      </w:r>
      <w:r w:rsidRPr="006C71B6">
        <w:rPr>
          <w:rStyle w:val="StyleUnderline"/>
          <w:rFonts w:cs="Calibri"/>
        </w:rPr>
        <w:lastRenderedPageBreak/>
        <w:t>process is both active and reflective. It is internal and external</w:t>
      </w:r>
      <w:r w:rsidRPr="007129FC">
        <w:rPr>
          <w:sz w:val="16"/>
        </w:rPr>
        <w:t xml:space="preserve">; it is within the “between space.” State violence (perpetuated by police, prisons, jails, mental asylums, courts, and surveillance) works in accord with every other sector of systemic oppression— education, housing, finance, business, health, media, planning ... There is no skirting the existence of this behemoth. </w:t>
      </w:r>
      <w:r w:rsidRPr="006C71B6">
        <w:rPr>
          <w:rStyle w:val="StyleUnderline"/>
          <w:rFonts w:cs="Calibri"/>
        </w:rPr>
        <w:t xml:space="preserve">A prison-industrial-complex abolitionist politic is, at its core, </w:t>
      </w:r>
      <w:r w:rsidRPr="001937C1">
        <w:rPr>
          <w:rStyle w:val="StyleUnderline"/>
        </w:rPr>
        <w:t>a politic that is in direct contradiction to systemic oppression</w:t>
      </w:r>
      <w:r w:rsidRPr="007129FC">
        <w:rPr>
          <w:sz w:val="16"/>
        </w:rPr>
        <w:t xml:space="preserve">. </w:t>
      </w:r>
      <w:r w:rsidRPr="001937C1">
        <w:rPr>
          <w:rStyle w:val="StyleUnderline"/>
        </w:rPr>
        <w:t>We cannot reform the system; it is a system that must be dismantled.</w:t>
      </w:r>
      <w:r w:rsidRPr="007129FC">
        <w:rPr>
          <w:sz w:val="16"/>
        </w:rPr>
        <w:t xml:space="preserve"> Similarly, systemic oppression cannot exist without an agreement from the body politic. In what ways are we complicit with our own oppression? I think that to practice </w:t>
      </w:r>
      <w:r w:rsidRPr="006C71B6">
        <w:rPr>
          <w:rStyle w:val="StyleUnderline"/>
          <w:rFonts w:cs="Calibri"/>
        </w:rPr>
        <w:t>an abolitionist praxis requires that we work to decolonize our imaginations, push ourselves beyond borders, and demand aspirational thinking from ourselves and from each other.</w:t>
      </w:r>
      <w:r w:rsidRPr="007129FC">
        <w:rPr>
          <w:sz w:val="16"/>
        </w:rPr>
        <w:t xml:space="preserve"> How do we provide safety for ourselves without calling on outside forces? How are we sustaining ourselves economically to prevent the intrusions of the state into our neighborhoods, communities, households, and minds? Where are these models? I think abolitionists have to keep asking ourselves these questions, compiling documentation, archiving the hell out of stuff, using all of the platforms available to us, and hunkering down ...It’s rough out here! SPADE: It has been challenging to see both criminal punishment system reform and trans politics go mainstream in the last few years. As with all mainstreaming processes, much has been lost in the process, and it seems that </w:t>
      </w:r>
      <w:r w:rsidRPr="006C71B6">
        <w:rPr>
          <w:rStyle w:val="StyleUnderline"/>
          <w:rFonts w:cs="Calibri"/>
        </w:rPr>
        <w:t>a liberal, visibility-centered version of these politics with weak surface reforms has emerged for mass consumption.</w:t>
      </w:r>
      <w:r w:rsidRPr="007129FC">
        <w:rPr>
          <w:sz w:val="16"/>
        </w:rPr>
        <w:t xml:space="preserve"> What have you noticed about these mainstreaming projects? What about these processes and their impacts do we need to think through? Have you seen or participated in resistance to the creation of these liberal, digestible, legible trans and criminal punishment reform projects in ways that you think are effective? YOU N G: HinaleimoanaWong-Kalu, a very well-known and respected mahüwahine (a transgender woman of Hawaiian heritage), has described the term mahü as a place in the middle, a transitory and fluid gender construct that emerges, moves, and falls beyond the confines of “male” and “female.”5 This framing opens up (rather than forecloses) a shape-shifting gendered subjectivity that is radically inclusive and totally compatible with modern life. Why does journalist, activist, and TV personality Janet Mock—a fierce black Native Hawaiian role model of trans-survivance politics in the mainstream—not self-identify as mãhü? In her New York Times best seller Redefining Realness, Mock relegates this conceptual framing of gender liminality to a cultural term, defining it in a way that denies its move to the modern—consigning mãhü to the past while emphasizing her chosen self-identification as a transwoman of color.6 It is as if </w:t>
      </w:r>
      <w:r w:rsidRPr="006C71B6">
        <w:rPr>
          <w:rStyle w:val="StyleUnderline"/>
          <w:rFonts w:cs="Calibri"/>
        </w:rPr>
        <w:t>going mainstream means that she must</w:t>
      </w:r>
      <w:r w:rsidRPr="007129FC">
        <w:rPr>
          <w:sz w:val="16"/>
        </w:rPr>
        <w:t xml:space="preserve"> negate the Native and </w:t>
      </w:r>
      <w:r w:rsidRPr="006C71B6">
        <w:rPr>
          <w:rStyle w:val="StyleUnderline"/>
          <w:rFonts w:cs="Calibri"/>
        </w:rPr>
        <w:t>participate in the settler-colonial erasure of indigenous terminology</w:t>
      </w:r>
      <w:r w:rsidRPr="007129FC">
        <w:rPr>
          <w:sz w:val="16"/>
        </w:rPr>
        <w:t xml:space="preserve">. Mock claims to be Native Hawaiian, but it isn’t all that clear how that identification situates her political commitment to the real struggle that Hawaiian people, particularly mahu, face in our homeland. </w:t>
      </w:r>
      <w:r w:rsidRPr="006C71B6">
        <w:rPr>
          <w:rStyle w:val="StyleUnderline"/>
          <w:rFonts w:cs="Calibri"/>
        </w:rPr>
        <w:t>I think distancing oneself from the language of these struggles can delegitimize our power</w:t>
      </w:r>
      <w:r w:rsidRPr="007129FC">
        <w:rPr>
          <w:sz w:val="16"/>
        </w:rPr>
        <w:t xml:space="preserve"> not only as Native Hawaiian transwomen, but as transwomen of color. Hawaiian transwomen, that is, Hawaiian transwomen who are of Aboriginal ancestry, are of critical import to the work of prison abolition and a broadly envisioned collective movement for land, life, and self-determination. To main stream is to liberalize, centerize, and consumerize what it means to be mahü in today’s world. Within this context, Mock’s incredible story of survival and flourishing gets inoculated in a monolithic narrative for what “girls like us” should implicitly aspire to be and prescriptions for how we should get there. I take issue with this. I know that this is beyond Mock. I know she isn’t to blame for this, because I think this happens to the best of us in the process of going mainstream. Radical voices are inoculated in a model-minority characterization that measures success by capitalist and liberal values. If Mock is going to be the new Oprah, I’m all for it. However, I know that this will not liberate “girls like us” from the prisons and homeless encampments in Hawai’i where Hawaiians comprise the largest segments of these populations. Having more money, a celebrity platform for liberal consumption, and a special television show will not help Hawaiians get our land back. If anything, </w:t>
      </w:r>
      <w:r w:rsidRPr="006C71B6">
        <w:rPr>
          <w:rStyle w:val="StyleUnderline"/>
          <w:rFonts w:cs="Calibri"/>
        </w:rPr>
        <w:t>a move toward the mainstream seems like a step away from liberation.</w:t>
      </w:r>
      <w:r w:rsidRPr="007129FC">
        <w:rPr>
          <w:sz w:val="16"/>
        </w:rPr>
        <w:t xml:space="preserve"> Obama’s election— an undeniable historical feat—was transformative but, as we have seen, was not radical. Though by becoming the first black president he has achieved something many thought impossible, and has even pardoned a number of criminal offenders, he has yet to pardon a single black liberation fighter or political prisoner. How does one transform settler colonialism without confronting it directly, without claiming one’s Native language and culture as a site that refuses elimination? Mock’s walk into the mainstream, while presenting an important new narrative for disenfranchised transwomen, is ill-equipped to support Hawaiian transwomen fighting on the frontlines for place-based de-occupation and decolonial lovemaking. Now, while I can relate to Mock’s love for Beyonce and Oprah’s SuperSoul Sunday programming as escapism at its best, I do not think celebrating under- represented minorities, transpeople, and folks of color in the mainstream will make things better. In fact, it might inadvertently make things worse or even limit a capacity for transforming the status quo. The mainstream will not end prisons, nor will it help Aboriginal folks get our land back. However, it is true that many of us were raised on mainstream media images and that these images have allowed wider horizons for imagining the possible. Still</w:t>
      </w:r>
      <w:r w:rsidRPr="006C71B6">
        <w:rPr>
          <w:rStyle w:val="StyleUnderline"/>
          <w:rFonts w:cs="Calibri"/>
        </w:rPr>
        <w:t>, the limits of the mainstream must be subjected to critique.</w:t>
      </w:r>
      <w:r w:rsidRPr="007129FC">
        <w:rPr>
          <w:sz w:val="16"/>
        </w:rPr>
        <w:t xml:space="preserve"> For some, </w:t>
      </w:r>
      <w:r w:rsidRPr="006C71B6">
        <w:rPr>
          <w:rStyle w:val="StyleUnderline"/>
          <w:rFonts w:cs="Calibri"/>
        </w:rPr>
        <w:t>going mainstream is like using the master’s tools to dismantle the master’s house</w:t>
      </w:r>
      <w:r w:rsidRPr="007129FC">
        <w:rPr>
          <w:sz w:val="16"/>
        </w:rPr>
        <w:t xml:space="preserve">, and as Audre Lorde made clear, </w:t>
      </w:r>
      <w:r w:rsidRPr="006C71B6">
        <w:rPr>
          <w:rStyle w:val="StyleUnderline"/>
          <w:rFonts w:cs="Calibri"/>
        </w:rPr>
        <w:t>this cannot and will not liberate us.</w:t>
      </w:r>
      <w:r w:rsidRPr="007129FC">
        <w:rPr>
          <w:sz w:val="16"/>
        </w:rPr>
        <w:t xml:space="preserve">7 </w:t>
      </w:r>
      <w:r w:rsidRPr="006C71B6">
        <w:rPr>
          <w:rStyle w:val="StyleUnderline"/>
          <w:rFonts w:cs="Calibri"/>
        </w:rPr>
        <w:t>Mainstreaming transpeople will not assuage the struggles of incarceration, displacement, and dispossession.</w:t>
      </w:r>
      <w:r w:rsidRPr="007129FC">
        <w:rPr>
          <w:sz w:val="16"/>
        </w:rPr>
        <w:t xml:space="preserve"> I have a tremendous amount of respect for Mock’s journey into the mainstream. She is doing something that no one else has done before, and she has done so brilliantly by being bold, black Hawaiian, and beautifully trans. However, her written positioning in the mainstream media </w:t>
      </w:r>
      <w:r w:rsidRPr="007129FC">
        <w:rPr>
          <w:sz w:val="16"/>
        </w:rPr>
        <w:lastRenderedPageBreak/>
        <w:t xml:space="preserve">seems to conflict with a more broadly imagined and lived frontier of decolonial homemaking beyond visibility campaigns that tell us mãhü, in a somewhat con descending tone, that “it gets better.” </w:t>
      </w:r>
    </w:p>
    <w:p xmlns:wp14="http://schemas.microsoft.com/office/word/2010/wordml" w:rsidRPr="00E77E45" w:rsidR="008263E8" w:rsidP="008263E8" w:rsidRDefault="008263E8" w14:paraId="63CBD942" wp14:textId="77777777">
      <w:pPr>
        <w:pStyle w:val="Heading4"/>
      </w:pPr>
      <w:r>
        <w:t xml:space="preserve">Refusal of Empire’s </w:t>
      </w:r>
      <w:r w:rsidRPr="00E77E45">
        <w:t>promise project produce</w:t>
      </w:r>
      <w:r>
        <w:t>s</w:t>
      </w:r>
      <w:r w:rsidRPr="00E77E45">
        <w:t xml:space="preserve"> trans</w:t>
      </w:r>
      <w:r>
        <w:t>-</w:t>
      </w:r>
      <w:r w:rsidRPr="00E77E45">
        <w:t>national and trans-positional solidarities and resistances</w:t>
      </w:r>
      <w:r>
        <w:t>.  This is an erotic orientation that wrests our intimacies and desires away from Empire’s genocidal operations towards a queer future.</w:t>
      </w:r>
    </w:p>
    <w:p xmlns:wp14="http://schemas.microsoft.com/office/word/2010/wordml" w:rsidRPr="00E77E45" w:rsidR="008263E8" w:rsidP="008263E8" w:rsidRDefault="008263E8" w14:paraId="55D5FB66" wp14:textId="77777777">
      <w:r w:rsidRPr="00E77E45">
        <w:rPr>
          <w:rStyle w:val="Style13ptBold"/>
        </w:rPr>
        <w:t>Agathangelou, et al ‘08</w:t>
      </w:r>
      <w:r w:rsidRPr="00E77E45">
        <w:t xml:space="preserve">  [Anna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Pg. 137-139]</w:t>
      </w:r>
    </w:p>
    <w:p xmlns:wp14="http://schemas.microsoft.com/office/word/2010/wordml" w:rsidRPr="00E77E45" w:rsidR="008263E8" w:rsidP="008263E8" w:rsidRDefault="008263E8" w14:paraId="0622B1A7" wp14:textId="77777777">
      <w:pPr>
        <w:rPr>
          <w:rStyle w:val="StyleUnderline"/>
        </w:rPr>
      </w:pPr>
      <w:r w:rsidRPr="00E77E45">
        <w:rPr>
          <w:sz w:val="16"/>
        </w:rPr>
        <w:t xml:space="preserve">Global lockdown thus functions as one of the looming underbellies and con- ditions of possibility of the (un)freedoms and (non)futures being promised by neo-liberal empire. </w:t>
      </w:r>
      <w:r w:rsidRPr="00E77E45">
        <w:rPr>
          <w:rStyle w:val="StyleUnderline"/>
        </w:rPr>
        <w:t>Consigning the collective traumas of slavery and colonization to a remote and irrelevant past while drawing on their logics to instantiate its rule, global lockdown shows itself to be neither cruel and unusual nor exceptional, but rather as foundational.</w:t>
      </w:r>
      <w:r w:rsidRPr="00E77E45">
        <w:rPr>
          <w:sz w:val="16"/>
        </w:rPr>
        <w:t xml:space="preserve"> Importantly, </w:t>
      </w:r>
      <w:r w:rsidRPr="00E77E45">
        <w:rPr>
          <w:rStyle w:val="StyleUnderline"/>
        </w:rPr>
        <w:t>these (un)freedoms and (non)futures carry very different promises and pleasures depending on our relationship to the human surplus motor-ing the global political economy.</w:t>
      </w:r>
      <w:r w:rsidRPr="00E77E45">
        <w:rPr>
          <w:sz w:val="16"/>
        </w:rPr>
        <w:t xml:space="preserve"> Global lockdown, then, is not simply the newest outside, but quite literally the material redefining off what life can even mean in the wake of so much “necessary” death. We have thus far argued that </w:t>
      </w:r>
      <w:r w:rsidRPr="00E77E45">
        <w:rPr>
          <w:rStyle w:val="StyleUnderline"/>
        </w:rPr>
        <w:t>across diffuse spaces and moments — the homonormative turn, the neoliberalization of the economy, the war on terror, and global lockdown — we see different dimensions of a promise project</w:t>
      </w:r>
      <w:r w:rsidRPr="00E77E45">
        <w:rPr>
          <w:sz w:val="16"/>
        </w:rPr>
        <w:t xml:space="preserve">, which is also a project </w:t>
      </w:r>
      <w:r w:rsidRPr="00E77E45">
        <w:rPr>
          <w:rStyle w:val="StyleUnderline"/>
        </w:rPr>
        <w:t>forever seeking to (re)consolidate empire. On the one hand, there are those for whom subjectivity, capital, and satiating pleasures and rights are being forever promised. This occurs</w:t>
      </w:r>
      <w:r w:rsidRPr="00E77E45">
        <w:rPr>
          <w:sz w:val="16"/>
        </w:rPr>
        <w:t xml:space="preserve">, we argue, </w:t>
      </w:r>
      <w:r w:rsidRPr="00E77E45">
        <w:rPr>
          <w:rStyle w:val="StyleUnderline"/>
        </w:rPr>
        <w:t>at the expense of</w:t>
      </w:r>
      <w:r w:rsidRPr="00E77E45">
        <w:rPr>
          <w:sz w:val="16"/>
        </w:rPr>
        <w:t xml:space="preserve"> compliance with, </w:t>
      </w:r>
      <w:r w:rsidRPr="00E77E45">
        <w:rPr>
          <w:rStyle w:val="StyleUnderline"/>
        </w:rPr>
        <w:t>or</w:t>
      </w:r>
      <w:r w:rsidRPr="00E77E45">
        <w:rPr>
          <w:sz w:val="16"/>
        </w:rPr>
        <w:t xml:space="preserve"> perhaps </w:t>
      </w:r>
      <w:r w:rsidRPr="00E77E45">
        <w:rPr>
          <w:rStyle w:val="StyleUnderline"/>
        </w:rPr>
        <w:t>distraction from, the larger structural underpinnings of social relations and processes. On the other hand, there are the (non)subjects for whom the same promise has not been issued, the abject(s) whose lives and deaths are completely nonspectacular within the dominant imaginations.</w:t>
      </w:r>
      <w:r w:rsidRPr="00E77E45">
        <w:rPr>
          <w:sz w:val="16"/>
        </w:rPr>
        <w:t xml:space="preserve"> Adding to this contradiction is the dimension that even the promises themselves are tenuous: indeed, as elite queers privilege homonormativity over more radical political and economic praxes, neoconservative forces continue to criminalize queerness. While first and foremost queers outside this elite or national racial strata are produced as exterminable sodomites, the category of the abject and killable always threatens even elite queers in first world spaces. This is part of the politico-economic and affective logics that have fueled a frenzied search for an end to pain: continue imperial soldiering in exchange for a mirage of security, or spend your energies fighting other queers for a prized space as most radical. With such a paucity of choices, </w:t>
      </w:r>
      <w:r w:rsidRPr="00E77E45">
        <w:rPr>
          <w:rStyle w:val="StyleUnderline"/>
        </w:rPr>
        <w:t>our energies are directed away from building solidarities and exhausted by fixing on individualized solutions and fueling the (re)production of neoliberal, neoconservative, homonormative, and ultimately heteronormative worlds. If the neoliberal turn has been part of a larger strategy of counterinsurgency mobilized in the wake of revolutionary decolonization movements threatening capitalism, (hetero)sexism, and white supremacy, it is important to pause on some of the impacts of that (counter)mobilization.</w:t>
      </w:r>
      <w:r w:rsidRPr="00E77E45">
        <w:rPr>
          <w:sz w:val="16"/>
        </w:rPr>
        <w:t xml:space="preserve"> In this paper </w:t>
      </w:r>
      <w:r w:rsidRPr="00E77E45">
        <w:rPr>
          <w:rStyle w:val="StyleUnderline"/>
        </w:rPr>
        <w:t>we have worked to foreground the affective logics that function on the level of feeling and desire in the service of a neoliberal project of a world remade. To begin to articulate the ways in which our most ‘intimate’ sensibilities</w:t>
      </w:r>
      <w:r w:rsidRPr="00E77E45">
        <w:rPr>
          <w:sz w:val="16"/>
        </w:rPr>
        <w:t xml:space="preserve"> — our fears, desires, mourning, and yearning — </w:t>
      </w:r>
      <w:r w:rsidRPr="00E77E45">
        <w:rPr>
          <w:rStyle w:val="StyleUnderline"/>
        </w:rPr>
        <w:t>are being mobilized by a regime of global lockdown is to make urgent the production of solidarities not premised upon exploitation, profit, or death. For those engaged in movements dismantling</w:t>
      </w:r>
      <w:r w:rsidRPr="00E77E45">
        <w:rPr>
          <w:sz w:val="16"/>
        </w:rPr>
        <w:t xml:space="preserve"> the prison industrial complex and any form of </w:t>
      </w:r>
      <w:r w:rsidRPr="00E77E45">
        <w:rPr>
          <w:rStyle w:val="StyleUnderline"/>
        </w:rPr>
        <w:t xml:space="preserve">imperial violence, it is precisely these affective economies </w:t>
      </w:r>
      <w:r w:rsidRPr="00E77E45">
        <w:rPr>
          <w:rStyle w:val="Emphasis"/>
        </w:rPr>
        <w:t>to which we must be attentive.</w:t>
      </w:r>
      <w:r w:rsidRPr="00E77E45">
        <w:rPr>
          <w:rStyle w:val="StyleUnderline"/>
        </w:rPr>
        <w:t xml:space="preserve"> If we do not work to articulate the </w:t>
      </w:r>
      <w:r w:rsidRPr="00E77E45">
        <w:rPr>
          <w:rStyle w:val="StyleUnderline"/>
        </w:rPr>
        <w:lastRenderedPageBreak/>
        <w:t>ways in which we become libidinally and erotically invested in the status quo</w:t>
      </w:r>
      <w:r w:rsidRPr="00E77E45">
        <w:rPr>
          <w:sz w:val="16"/>
        </w:rPr>
        <w:t xml:space="preserve"> of mass lockdown — in effect, the various promises that the prison issues—</w:t>
      </w:r>
      <w:r w:rsidRPr="00E77E45">
        <w:rPr>
          <w:rStyle w:val="StyleUnderline"/>
        </w:rPr>
        <w:t>we run the risk of reproducing the racialized and sexualized economies of benevolence and exploitation that fortify so much of conservative</w:t>
      </w:r>
      <w:r w:rsidRPr="00E77E45">
        <w:rPr>
          <w:sz w:val="16"/>
        </w:rPr>
        <w:t xml:space="preserve">, liberal, and even radical </w:t>
      </w:r>
      <w:r w:rsidRPr="00E77E45">
        <w:rPr>
          <w:rStyle w:val="StyleUnderline"/>
        </w:rPr>
        <w:t>praxis.</w:t>
      </w:r>
      <w:r w:rsidRPr="00E77E45">
        <w:rPr>
          <w:sz w:val="16"/>
        </w:rPr>
        <w:t xml:space="preserve"> However, as we have sought to argue, </w:t>
      </w:r>
      <w:r w:rsidRPr="00E77E45">
        <w:rPr>
          <w:rStyle w:val="StyleUnderline"/>
        </w:rPr>
        <w:t>the price of such dismissals is nothing less than participation in imperial violence that, ultimately, impacts us all. Amidst the many affective callings and seductive offerings we are issued, we must continue the work of imagining alternative ways to feel, be, and love in this moment of intensified empire-building.</w:t>
      </w:r>
      <w:r w:rsidRPr="00E77E45">
        <w:rPr>
          <w:sz w:val="16"/>
        </w:rPr>
        <w:t xml:space="preserve"> To become completely drawn into challenging homonormativization without attention to the larger structural underpinnings of social relations and processes may ultimately prove unproductive as it misses the larger imperial logics that may be embodied differentially in other sites. Moreover, it becomes impossible to discern the relationship between our own struggles and the set of promises and nonpromises offered to other others. </w:t>
      </w:r>
      <w:r w:rsidRPr="00E77E45">
        <w:rPr>
          <w:rStyle w:val="StyleUnderline"/>
        </w:rPr>
        <w:t xml:space="preserve">Foreclosing potential and increasingly crucial solidarities, we are drawn into our own corners and ultimately diverted from the possibilities of massive, cross-bordered mobilizations, movements and revolutionary projects. In the place of this vision, we offer first and foremost a disruption of complicity, </w:t>
      </w:r>
      <w:r w:rsidRPr="00E77E45">
        <w:rPr>
          <w:rStyle w:val="Emphasis"/>
        </w:rPr>
        <w:t>a refusal of empire’s promise project.</w:t>
      </w:r>
      <w:r w:rsidRPr="00E77E45">
        <w:rPr>
          <w:rStyle w:val="StyleUnderline"/>
        </w:rPr>
        <w:t xml:space="preserve"> The series of wars in </w:t>
      </w:r>
      <w:r w:rsidRPr="00E77E45">
        <w:rPr>
          <w:rStyle w:val="Emphasis"/>
        </w:rPr>
        <w:t>which</w:t>
      </w:r>
      <w:r w:rsidRPr="00E77E45">
        <w:rPr>
          <w:rStyle w:val="StyleUnderline"/>
        </w:rPr>
        <w:t xml:space="preserve"> empire asks us to participate </w:t>
      </w:r>
      <w:r w:rsidRPr="00E77E45">
        <w:rPr>
          <w:rStyle w:val="Emphasis"/>
        </w:rPr>
        <w:t>are utterly genocidal</w:t>
      </w:r>
      <w:r w:rsidRPr="00E77E45">
        <w:rPr>
          <w:rStyle w:val="StyleUnderline"/>
        </w:rPr>
        <w:t>, rather than constituting processes that enable our security and healing.</w:t>
      </w:r>
      <w:r w:rsidRPr="00E77E45">
        <w:rPr>
          <w:sz w:val="16"/>
        </w:rPr>
        <w:t xml:space="preserve"> As members of different and overlapping communities and struggles, the authors have each grappled personally with this process. As activists and intellectuals who are engaged in struggles around war, migration and traficking, labor and homelessness, mass imprisonment, and state violence against queer and transgender communities, we are confronted with the seductive — yet ultimately murderous — promises that are described in this essay. Moreover, </w:t>
      </w:r>
      <w:r w:rsidRPr="00E77E45">
        <w:rPr>
          <w:rStyle w:val="StyleUnderline"/>
        </w:rPr>
        <w:t>as members of the academy at different levels</w:t>
      </w:r>
      <w:r w:rsidRPr="00E77E45">
        <w:rPr>
          <w:sz w:val="16"/>
        </w:rPr>
        <w:t xml:space="preserve"> (undergraduate student, graduate student, and faculty member), </w:t>
      </w:r>
      <w:r w:rsidRPr="00E77E45">
        <w:rPr>
          <w:rStyle w:val="StyleUnderline"/>
        </w:rPr>
        <w:t xml:space="preserve">we have witnessed how the strategies of promise and nonpromise projects have worked to fragment, divide, and conquer people of color, working-class people, queers, transgender people, postcolonial subjects, and others within powerful academic zones of knowledge production. Recognizing that we can never be outside empire’s seductive offerings, we engage these questions out of rage, hope, and the desire to form life-sustaining solidarities and intimacies. We strive with others toward a politics that enables intimacies as both means and ends, as a strategy of movement-building in which relationships are formed not to instantiate empire’s incessant production of internal and external enemies, but to disrupt it. This is a politics that would challenge histories that dichotomize and fragment our worlds, and instead offer praxes of erotic resistance in which we might be able to glimpse a breathing space for reconstituting connections and relations based in collectivity and healing. </w:t>
      </w:r>
      <w:r w:rsidRPr="00E77E45">
        <w:rPr>
          <w:sz w:val="16"/>
        </w:rPr>
        <w:t xml:space="preserve">With this analysis in mind, all attempts to separate and make discrete strug- gles for social justice and transformation — those working for prison abolition, sexual and gender freedom, decolonization, and the end to war, for example — prove unsuc- cessful. They are always already imbricated in one another. </w:t>
      </w:r>
      <w:r w:rsidRPr="00E77E45">
        <w:rPr>
          <w:rStyle w:val="StyleUnderline"/>
        </w:rPr>
        <w:t>When one struggles to resist</w:t>
      </w:r>
      <w:r w:rsidRPr="00E77E45">
        <w:rPr>
          <w:sz w:val="16"/>
        </w:rPr>
        <w:t xml:space="preserve"> coercive sexual or gender regimes — </w:t>
      </w:r>
      <w:r w:rsidRPr="00E77E45">
        <w:rPr>
          <w:rStyle w:val="StyleUnderline"/>
        </w:rPr>
        <w:t>heternormativization</w:t>
      </w:r>
      <w:r w:rsidRPr="00E77E45">
        <w:rPr>
          <w:sz w:val="16"/>
        </w:rPr>
        <w:t xml:space="preserve"> as well as homonor- mativization — </w:t>
      </w:r>
      <w:r w:rsidRPr="00E77E45">
        <w:rPr>
          <w:rStyle w:val="StyleUnderline"/>
        </w:rPr>
        <w:t>one is already engaging in a politics deeply implicated in the wars on terror, poverty, and drugs, and</w:t>
      </w:r>
      <w:r w:rsidRPr="00E77E45">
        <w:rPr>
          <w:sz w:val="16"/>
        </w:rPr>
        <w:t xml:space="preserve"> in the </w:t>
      </w:r>
      <w:r w:rsidRPr="00E77E45">
        <w:rPr>
          <w:rStyle w:val="StyleUnderline"/>
        </w:rPr>
        <w:t>(neo)slaveries</w:t>
      </w:r>
      <w:r w:rsidRPr="00E77E45">
        <w:rPr>
          <w:sz w:val="16"/>
        </w:rPr>
        <w:t xml:space="preserve"> of the prison industrial complex. This is true not only because of the devastating impacts these wars have had on queer communities and sexually aberrant (non)subjects locked away, and because of the ways in which a racializing “sodomoti cation” is drawn on to produce the crimi- nal and the terrorist. Indeed, </w:t>
      </w:r>
      <w:r w:rsidRPr="00E77E45">
        <w:rPr>
          <w:rStyle w:val="StyleUnderline"/>
        </w:rPr>
        <w:t xml:space="preserve">the violence and death that we authorize and face operate through and within our libidinal, erotic, and affective investments, investments that we must engage directly and rigorously if we are to disrupt the seductive workings of power in their most intimate dimensions. </w:t>
      </w:r>
      <w:r w:rsidRPr="00E77E45">
        <w:rPr>
          <w:sz w:val="16"/>
        </w:rPr>
        <w:t xml:space="preserve">If, then, all queer politics are already organizing around and implicated in the buildup of global lockdown and imperialist war, the question is not if a praxis of decolonization and abolitionism is pertinent to queer struggles, but how and why it is. </w:t>
      </w:r>
      <w:r w:rsidRPr="00E77E45">
        <w:rPr>
          <w:rStyle w:val="StyleUnderline"/>
        </w:rPr>
        <w:t>If it is true that our deepest desires, feelings, and arousals are tapped into for imperial production, it also becomes crucial to ask how we might organize, mobilize, and form alternative intimacies and desires.</w:t>
      </w:r>
      <w:r w:rsidRPr="00E77E45">
        <w:rPr>
          <w:sz w:val="16"/>
        </w:rPr>
        <w:t xml:space="preserve"> </w:t>
      </w:r>
      <w:r w:rsidRPr="00E77E45">
        <w:rPr>
          <w:rStyle w:val="StyleUnderline"/>
        </w:rPr>
        <w:t xml:space="preserve">These alternatives, which continue to be nurtured in radical and revolutionary movements and collectivities, </w:t>
      </w:r>
      <w:r w:rsidRPr="00E77E45">
        <w:rPr>
          <w:rStyle w:val="StyleUnderline"/>
        </w:rPr>
        <w:lastRenderedPageBreak/>
        <w:t>are forged as a disruption to individualized, consumptive, and privatized erotics in the name of broader collective projects of freedom and transformation that cultivate the plea- sures of substantial connection and the production of more egalitarian relations.</w:t>
      </w:r>
      <w:r w:rsidRPr="00E77E45">
        <w:rPr>
          <w:sz w:val="16"/>
        </w:rPr>
        <w:t xml:space="preserve"> </w:t>
      </w:r>
      <w:r w:rsidRPr="00E77E45">
        <w:rPr>
          <w:rStyle w:val="StyleUnderline"/>
        </w:rPr>
        <w:t xml:space="preserve">These are the intimacies that form the core of decolonizing imaginaries, those that understand sexual freedom only through collective self-determination. It is only when we engage the traumas as well as the yearnings of our pasts and our futures that we might be able to seize the possibilities increasingly foreclosed by empire’s seductive promises. </w:t>
      </w:r>
    </w:p>
    <w:p xmlns:wp14="http://schemas.microsoft.com/office/word/2010/wordml" w:rsidR="008263E8" w:rsidP="008263E8" w:rsidRDefault="008263E8" w14:paraId="039BA799" wp14:textId="77777777">
      <w:pPr>
        <w:pStyle w:val="Heading2"/>
      </w:pPr>
      <w:r>
        <w:lastRenderedPageBreak/>
        <w:t>AFF Extensions</w:t>
      </w:r>
    </w:p>
    <w:p xmlns:wp14="http://schemas.microsoft.com/office/word/2010/wordml" w:rsidR="008263E8" w:rsidP="008263E8" w:rsidRDefault="008263E8" w14:paraId="360B01BF" wp14:textId="77777777">
      <w:pPr>
        <w:pStyle w:val="Heading3"/>
      </w:pPr>
      <w:r>
        <w:lastRenderedPageBreak/>
        <w:t>I: Immigration Control</w:t>
      </w:r>
    </w:p>
    <w:p xmlns:wp14="http://schemas.microsoft.com/office/word/2010/wordml" w:rsidRPr="00965D75" w:rsidR="008263E8" w:rsidP="008263E8" w:rsidRDefault="008263E8" w14:paraId="46990329" wp14:textId="77777777">
      <w:pPr>
        <w:pStyle w:val="Heading4"/>
      </w:pPr>
      <w:r w:rsidRPr="00965D75">
        <w:t>The discourse of family reunification is necessarily a reflection of the heteronormative ideals of US empire. Moreover, immigration control has been a tool of restricting entrance into the country to those deemed productive enough to contribute to the US’s coercive labor system.</w:t>
      </w:r>
    </w:p>
    <w:p xmlns:wp14="http://schemas.microsoft.com/office/word/2010/wordml" w:rsidRPr="00965D75" w:rsidR="008263E8" w:rsidP="008263E8" w:rsidRDefault="008263E8" w14:paraId="5B24CACE" wp14:textId="77777777">
      <w:r w:rsidRPr="00965D75">
        <w:rPr>
          <w:rStyle w:val="Style13ptBold"/>
        </w:rPr>
        <w:t>Luibheid 08</w:t>
      </w:r>
      <w:r w:rsidRPr="00965D75">
        <w:t xml:space="preserve"> (Eithne, Ph.D. in Ethnic Studies from the University of California, Berkeley, is a Professor of Gender and Women's Studies at UA, her specializations included: undocumented immigration, queer migrations, marriage and migration, citizenship, and queer theory, Queer/Migration: An unruly Body of Scholarship, GLQ 14:2-3, 174-176, 2008, </w:t>
      </w:r>
      <w:hyperlink r:id="rId120">
        <w:r w:rsidRPr="00965D75">
          <w:rPr>
            <w:rStyle w:val="Hyperlink"/>
          </w:rPr>
          <w:t>https://read.dukeupress.edu/glq/article-pdf/14/2-3/169/414249/GLQ142-3_01_Intro.pdf</w:t>
        </w:r>
      </w:hyperlink>
      <w:r w:rsidRPr="00965D75">
        <w:t>) //jd</w:t>
      </w:r>
    </w:p>
    <w:p xmlns:wp14="http://schemas.microsoft.com/office/word/2010/wordml" w:rsidRPr="00AF7C1F" w:rsidR="008263E8" w:rsidP="008263E8" w:rsidRDefault="008263E8" w14:paraId="20AAD171" wp14:textId="77777777">
      <w:r w:rsidRPr="001937C1">
        <w:rPr>
          <w:rStyle w:val="StyleUnderline"/>
        </w:rPr>
        <w:t>Heterosexuality is an unstable norm, however, which requires anxious labor to sustain.19 Public discourses, like migration policies, reflect heterosexu- ality’s instability.20 Thus unwelcome migrants are often characterized as engag- ing in “unrestrained” childbearing, which is seen to reflect their deviation from or imperfect mastery over mainstream heterosexual norms, resulting in the birth of “undesirable” children. Or they are portrayed as the bearers of aberrant sex- ual practices, questionable sexual morals, and sexually transmitted diseases, including AIDS, that threaten to “contaminate” the citizenry</w:t>
      </w:r>
      <w:r w:rsidRPr="00AF7C1F">
        <w:t>. On the other hand, migrants are sometimes described as the upholders of family values that promise to remoralize a citizenry that has lost its virtue.21 Or, within national heterosex- ual romance narratives, they are painted as passionately desiring the nation, as shown by their migration; thus citizens depend on migrants to show that the nation remains lovable.</w:t>
      </w:r>
      <w:r w:rsidRPr="001937C1">
        <w:rPr>
          <w:rStyle w:val="StyleUnderline"/>
        </w:rPr>
        <w:t>22 In these and other instances, heteronormativity animates both anti- and pro-immigrant imagery and discourses in ways that reiterate, yet con- tinually recode, sexual, gender, racial, and class distinctions and inequalities in relation to constructs of nation-state, nationalism, and the citizenry. The heteronormative governance of migrants implicates the status of groups who hold official citizenship but are nonetheless marked as suspect, subaltern, and second-class members of the nation. For example, in the United States, same-sex partners still cannot legally immigrate under the existing spousal reunification provisions of immigration law, and couples where one or both partners are trans- gender experience extraordinary difficulties. Family, Unvalued describes how current laws impugn the status of citizens who are lesbian, gay, or trans: “Solely because of their sexual orientation or gender identity, they find their relationships unrecognized, their families endangered, their lives shadowed by dislocation and separation.” The report concludes that these practices “assault human dignity in an essential way.”23 The assault is part of a wider network of queer experience involving the “social and political costs of partial citizenship and the psychic and bodily costs of violence, which the habits of heterosexual privilege” produce.24</w:t>
      </w:r>
      <w:r w:rsidRPr="00AF7C1F">
        <w:t xml:space="preserve"> Given the diversity of queer couples, these assaults materially articulate histories of racialization, sexism, neo-imperialism, and classism, too.25 </w:t>
      </w:r>
      <w:r w:rsidRPr="001937C1">
        <w:rPr>
          <w:rStyle w:val="StyleUnderline"/>
        </w:rPr>
        <w:t xml:space="preserve">Similarly, U.S. public representations of Mexican-origin women as unrestrained “breeders” of welfare- consuming children, which consistently animate anti-immigrant discourses, not only racialize and heterosexualize them within colonialist imagery that legiti- mizes violence but also deeply affect U.S. citizens of Mexican descent, who are continually treated as “aliens” even though they hold national citizenship.26 As Pierrette Hondagneu-Sotelo describes, these representations—materialized in punitive public policies in the areas of welfare, health </w:t>
      </w:r>
      <w:r w:rsidRPr="001937C1">
        <w:rPr>
          <w:rStyle w:val="StyleUnderline"/>
        </w:rPr>
        <w:lastRenderedPageBreak/>
        <w:t>care, voting, education, and law enforcement, as well as immigration control — reject people of Mexican and Latino/a descent “as permanent members of U.S. society” and reinforce “a more coercive system of labor.”27 They also legitimize racialized homophobia and transphobia</w:t>
      </w:r>
      <w:r w:rsidRPr="00AF7C1F">
        <w:t xml:space="preserve">. In these and other instances, the ongoing imbrication of exclusionary forms of national citizenship with immigration control is laid bare. </w:t>
      </w:r>
      <w:r w:rsidRPr="001937C1">
        <w:rPr>
          <w:rStyle w:val="StyleUnderline"/>
        </w:rPr>
        <w:t>The anxious, ongoing (re)production of national heteronormativity — includ- ing through border controls and immigrant management — is connected with wider neocolonial and neo-imperialist processes, historically and at present, as queer migration studies has started to document.28 Historically, for example, “simultaneous efforts to shore up and bifurcate categories of race and sexuality in the late nineteenth and early twentieth centuries were deeply intertwined</w:t>
      </w:r>
      <w:r w:rsidRPr="00AF7C1F">
        <w:t xml:space="preserve">.”29 According to Emma Pérez, these efforts were also centrally connected to the intensified policing of the U.S.-Mexico border — which itself was an outcome of colonial relations, war, and annexation.30 At present, </w:t>
      </w:r>
      <w:r w:rsidRPr="001937C1">
        <w:rPr>
          <w:rStyle w:val="StyleUnderline"/>
        </w:rPr>
        <w:t>immigration policies in neo-imperial countries link efforts to produce properly privatized, heteronormative families with strategies for securing cheap migrant labor; for fighting the “war on terror” through linking sexual “perversity,” enemy status, and orientalism; for manufacturing loyal hetero- masculine soldiers who participate in global warfare; and for building the prison- industrial complex and extrajudicial detention regimes.31</w:t>
      </w:r>
      <w:r w:rsidRPr="00AF7C1F">
        <w:t xml:space="preserve"> Heteronormativity in the global south also results in complicated complicities with these relations of power while also shaping migration circuits in particular ways.32</w:t>
      </w:r>
    </w:p>
    <w:p xmlns:wp14="http://schemas.microsoft.com/office/word/2010/wordml" w:rsidRPr="00965D75" w:rsidR="008263E8" w:rsidP="008263E8" w:rsidRDefault="008263E8" w14:paraId="65BB5927" wp14:textId="77777777">
      <w:pPr>
        <w:pStyle w:val="Heading4"/>
      </w:pPr>
      <w:r w:rsidRPr="00965D75">
        <w:t>In accepting queer asylees, the US has violently characterized queerness as immutable, queer men as necessarily effeminate, and, most importantly, has drawn a distinction between the “good” gay deserving to be admitted and the “bad” gay to be rejected from the US nation-state.</w:t>
      </w:r>
    </w:p>
    <w:p xmlns:wp14="http://schemas.microsoft.com/office/word/2010/wordml" w:rsidRPr="00965D75" w:rsidR="008263E8" w:rsidP="008263E8" w:rsidRDefault="008263E8" w14:paraId="101BD9DA" wp14:textId="77777777">
      <w:r w:rsidRPr="00965D75">
        <w:rPr>
          <w:rStyle w:val="Style13ptBold"/>
        </w:rPr>
        <w:t>Cantu 05</w:t>
      </w:r>
      <w:r w:rsidRPr="00965D75">
        <w:t xml:space="preserve"> (Lionel, Jr., assistant professor of sociology at the University of California, Santa Cruz, who focused on queer theory, queer issues, and Latin American immigration, Well-Founded Fear: Political Asylum and the Boundaries of Sexual Identity in the U.S.-Mexico Borderlands, Queer Migrations: Sexuality, U.S. Citizenship, and Border Crossings, 61-69, Eithne Luibheid and Liolen Cantu, Jr., Regents of the University of Minnesota, 2005) //jd</w:t>
      </w:r>
    </w:p>
    <w:p xmlns:wp14="http://schemas.microsoft.com/office/word/2010/wordml" w:rsidRPr="00AF7C1F" w:rsidR="008263E8" w:rsidP="008263E8" w:rsidRDefault="008263E8" w14:paraId="05506759" wp14:textId="77777777">
      <w:r w:rsidRPr="00AF7C1F">
        <w:t xml:space="preserve">Between 1999 and 2002, Cantu served as an expert witness in five cases involving Mexican men who petitioned for asylum in the United States on the basis of persecution for sexual orientation. The cases were pro- cessed in California, and all five men were eventually granted asylum. Cantu's participation as an expert witness reflected his commitment to using his sociological training and university faculty status to challenge inequalities and to assist those with less privilege. Having researched the lives of men who have sex with men in Mexico, and in migrant Mexi- can communities in the United States, Cantu appreciated the struggles and courage that underlay each application for asylum based on sexual orientation. Yet,he also began to observe a similarity to the process through which these asylum claims were adjudicated. While standardi- zation remains the cornerstone to ensuring equal application of the law, it also meant that individual asylum applicants' experiences were elicited and given meaning within larger institutional structures that Cantu be- gan to question. </w:t>
      </w:r>
      <w:r w:rsidRPr="001937C1">
        <w:rPr>
          <w:rStyle w:val="StyleUnderline"/>
        </w:rPr>
        <w:t xml:space="preserve">Two issues particularly drew Cantu's attention. One issue was that to gain asylum on the basis of being persecuted for one's sexual orienta- tion, the applicant has to prove that being gay is an "immutable" aspect of his selfhood. This tricky undertaking runs the risk of reinscribing essen- tialist notions of gay identity that scholars have spent decades </w:t>
      </w:r>
      <w:r w:rsidRPr="001937C1">
        <w:rPr>
          <w:rStyle w:val="StyleUnderline"/>
        </w:rPr>
        <w:lastRenderedPageBreak/>
        <w:t xml:space="preserve">painstak- ingly challenging. The second issue was that, as Saeed Rahman has de- scribed, receiving asylum requires painting one's country in racialist, colonialist terms, while at the same time disavowing the United States' role in contributing to the oppressive conditions that one fled.1 These two issues converged because narratives about immutable homosexual or gay identities in Third World countries often provide the means to reinforce and remake racialist and colonialist scripts of U.S. "progres- siveness"/Third World "backwardness." </w:t>
      </w:r>
      <w:r w:rsidRPr="00AF7C1F">
        <w:t xml:space="preserve">Immutably Gay Legally and historically in the United States, asylum for gay petitioners is complexly positioned between, on the one hand, a long-held pattern of pathologizing and othering gays and lesbians, and on the other, dis- courses of providing a safe haven for persecuted people. As described in this volume's introduction, lesbian and gay immigrants historically were excluded from entry into the United States based on multiple concerns including morality, public health, and political affiliation, and even though exclusion was stricken from immigration law in 1990, lesbian and gay immigrants still face structural discrimination. Throughout the period of explicit exclusion, the Immigration and Naturalization Service (INS) and the courts relied on constructions of gay identity as immu- table, inherent, and undesirable when policing the national boundaries. For instance, in Boutillier v. INS, the Supreme Court argued, "the peti- tioner is not being deported for conduct engaged in after his entry into the United States, but rather, for characteristics he possessed at the time of his entry."2 </w:t>
      </w:r>
      <w:r w:rsidRPr="001937C1">
        <w:rPr>
          <w:rStyle w:val="StyleUnderline"/>
        </w:rPr>
        <w:t xml:space="preserve">Ironically, while these formal and informal terms for excluding gay immigrants were being articulated, a counterdiscourse of asylum rights was emerging and, by 1994, applied to lesbians and gay men. Since 1980, asylum has technically been available in the United States to those flee- ing persecution on account of one of five criteria: race, religion, nation- ality, political opinion, or membership in a particular social group. The question was, where did gays fit in? While many could credibly demon- strate persecution, this was not enough; to gain asylum, persecution had to have occurred on account of one of the five criteria. Yet the INS and courts remained reluctant to consider gays and lesbians as "a par- ticular social group." </w:t>
      </w:r>
      <w:r w:rsidRPr="00AF7C1F">
        <w:t xml:space="preserve">Randazzo's essay in this volume describes how the move toward rec- ognizing gays and lesbians as a particular social group began in 1986, when a Houston immigration judge barred the INS from deporting a Cuban gay man, Fidel Armando Toboso-Alfonso, based on concerns that he might face persecution for his sexual orientation. When the INS appealed the case in 1990, the Board of Immigration Appeals (BIA) affirmed the prior decision that had argued that gays were a particular social group.3 In 1993, another immigration judge in San Francisco granted asylum to a Brazilian man, Marcelo Tenorio, based on the same assumption.4 In 1994, for the first time, the INS granted asylum directly to a gay Mexican man, "Jose Garcia" (pseudonym). Two months later, Attorney General Janet Reno elevated the Toboso-Alfonso case as prece- dent and affirmed that lesbians and gay men constituted a particular social group for purposes of asylum. Particularly noteworthy is the fact that these precedent-setting gay asylum cases involved migrants from Latin America. Not only are num- bers of Latin American migrants proportionately large when compared to other national origin groups, but also, during the late 19808 and the 19908, Latin Americans filed the majority of asylum petitions.5 How- ever, like all political stories, the issue is more complex than sheer num- bers. The Toboso-Alfonso case, for instance, was clearly complicated by U.S.-Cuban politics—from a U.S. policy perspective, deporting a Cuban refugee, whatever his sexual orientation, was not expedient during the Cold War. Moreover, elevating the Toboso-Alfonso decision to precedent in 1994 provided President Clinton with an opportunity not only to show support for gay rights,6 but also to champion human rights in Latin American countries that had been supported by previous U.S.Republican administrations. The exigencies of U.S. </w:t>
      </w:r>
      <w:r w:rsidRPr="00AF7C1F">
        <w:lastRenderedPageBreak/>
        <w:t xml:space="preserve">relations with Latin America clearly shaped the politics of gay asylum—in ways that demand further research.7 While the INS has officially recognized sexual orientation as evidence of membership in a particular social group for purposes of granting asylum, asylum remains difficult to attain. Illustrating these difficulties are statistics estimating that between 1994 and 1997, approximately sixty petitioners were granted asylum on these grounds, but reportedly over one thousand such petitions were filed in the same time frame.8 </w:t>
      </w:r>
      <w:r w:rsidRPr="001937C1">
        <w:rPr>
          <w:rStyle w:val="StyleUnderline"/>
        </w:rPr>
        <w:t xml:space="preserve">To gain asylum, gays and lesbians must convincingly establish both that they are members of a particular social group and that they experienced or may experience persecution as a result. The legal standards for defining a particular social group are somewhat inconsistent, but Matter of Acosta (1985) established a basic framework that guides the courts. Acosta defined a particular social group as being comprised by those who share a "common, immutable characteristic" that is either "innate" or arises from "shared past experience." In addition, this characteristic "must be one members of the group can not change or is so fundamental to their individual identities or consciences that they should not be required to change it."9 Paradoxically, then, the same logic of inherent, immutable identity that used to be deployed to exclude gay immigrants is now required to establish that one is eligible for asylum.10 Officials require such evidence in part because of exaggerated fears that migrants may falsely claim gay identity in order to become eligible for asylum.11 While this may happen on rare occasions, the converse—where asylum applicants remain afraid to detail persecution based on sexual orientation—is much more likely. </w:t>
      </w:r>
      <w:r w:rsidRPr="00AF7C1F">
        <w:t xml:space="preserve">Racialist and Colonialist Scripts </w:t>
      </w:r>
      <w:r w:rsidRPr="001937C1">
        <w:rPr>
          <w:rStyle w:val="StyleUnderline"/>
        </w:rPr>
        <w:t xml:space="preserve">For an asylum petitioner from Mexico to prove that he is immutably gay, and has been persecuted as a result, is an undertaking fraught with contradictions. Much anthropological and sociological research, especially from the 19708 and 19805, argued that gay identity as understood in the mainstream U.S. sense did not exist in Mexico. This literature, which continues to be referred to in asylum hearings today, certainly creates difficulties for petitioners who must establish that they are essentially gay. According to scholars, the Mexican sex/gender system i such that only men who assume the "feminized" position during sex with other men are stigmatized as homosexual. Men who assume the "active" position can retain their masculinity and heterosexual status. According to this schema, the quintessential Mexican gay asylum applicant is therefore an effeminate man. There can be no doubt that effeminate men face discrimination and persecution that may reach life-threatening levels, and their asylum applications should receive the most serious consideration.12 But the difficulties with the use of these accounts of the Mexican sex/gendersys- tem in asylum hearings are that they often reinforce racist and colonialist imagery and relations. Moreover, they may restrict asylum possibilities for those who do not conform to the image of the effeminate gay man To understand how the reinscription of racism and colonialism occurs, one must realize that asylum hearings are, as Sherene Razack says "encounter[s] between the powerful and the powerless, and the powerful are always from the First World and mostly white, while the powerless are from the Third World and nearly always racialized or ethnicized." The asylum process constructs Third World asylum seekers "as either un- worthy claimants or as supplicants begging to be saved from the tyranny of their own cultures, communities, and men."13 To gain asylum, Third World supplicants must paint their countries in racialist, colonialist terms, while disavowing the United States' role in contributing to the condi- tions that they fled. If the U.S. government decides to "save" the suppli- cant by granting asylum, this easily reaffirms the notion of the United States as a land of liberty and a bastion of progress. </w:t>
      </w:r>
      <w:r w:rsidRPr="00AF7C1F">
        <w:lastRenderedPageBreak/>
        <w:t xml:space="preserve">Cantu particularly noted that when persecution suffered by appli- cants is attributed to "culture," understood in a reified manner that di- vorces it from other variables such as race, gender, class, globalization, neocolonial relationships, and unequal U.S.-Mexico ties, these colonial- ist effects become realized. "Mexican culture" becomes the prism through which the individual is understood and the sole source of problems and repression in Mexico. Neocolonialism, economic exploitation, and other issues become irrelevant. In the cases for which Cantu served as an expert witness, narratives of the Mexican sex/gender system, reduced to a manifestation of "cul- ture" conceived in ahistorical terms, were consistently produced. In those cases, the courts heavily relied on reports written by Andrew Reding, director of the Americas Project of the World Policy Institute and asso- ciate editor of Pacific News Service. Reding has published a series of reports about gays in Mexico: Democracy and Human Rights in Mexico (!995); Mexico: Treatment of Homosexuals (1997); and Mexico: Update on the Treatment of Homosexuals (1999). Significantly, this last report is part of a Question and Answer Series distributed to asylum officials to assist them in adjudicating asylum claims.14 The report offers an analy- sis of the legal, political, cultural, and historical factors shaping the lives of gays in Mexico. Reding's reports maybe strategic, in the sense of pro- viding clear-cut explanations of cultural difference and oppression that resonate effectively within the logic of the legal system, but some of their implications are troubling. Relying on prior scholarship, Reding restates the argument that it is not all men who have sex with men, but instead men who assume the feminized role who are stigmatized and persecuted for being gay. He attributes their persecution to a "dominant cultural ideal of hypermasculinity," which he does not situate in material context, but rather treats as a timeless and hermetically sealed mainstream Mexican cultural characteristic.15 According to Reding, "the potential for violence against homosexuals, especially effeminate men and transvestites, is inherent in the culture of machismo" (emphasis added).16 In the report, culture is explicitly separated from the political and legal realms, areas where significant gains have been made for gays, Reding claims.17 This eviscer- ated model of Mexican culture is depicted as existing in a temporal se- quence that is anterior to mainstream U.S. culture. For instance, he describes "the strong attachments most Mexicans feel to their families" as "comparable to those that prevailed in the United States a century ago."18 Reding also suggests that "exposure" to U.S. culture can help to ameliorate "negative" tendencies in Mexican culture. For example, "with Mexican culture highly resistant to change from within, the primary force for change is coming from international contact—primarily the influence of U.S. culture."19 </w:t>
      </w:r>
      <w:r w:rsidRPr="001937C1">
        <w:rPr>
          <w:rStyle w:val="StyleUnderline"/>
        </w:rPr>
        <w:t xml:space="preserve">In these ways, the United States is discursively constructed as enlight- ened, progressive, separate from Mexico, and positioned to save Mexi- can gaymen from "the tyranny of their [timeless] cultures, communities, and men."20 Mexico, by contrast, emerges as backward and oppressive, as evinced by its sex/gender system and treatment of effeminate men. In fairness, Reding does acknowledge that in terms of certain political and legal issues, Mexico is in advance of the United States in providing for gays and lesbians.21 But since "culture" remains cordoned off from law and politics, these facts do not alter his fundamental narrative of the United States as the savior of feminized brown men who are persecuted by macho men, specifically, and Mexican sex/gender systems, generally, all of which are conceived as manifestations of some sort of essentialized Mexican culture. The role of the United States in materially contribut- ing to conditions in Mexico—including sex/gender conditions as these interact with class and race—is not discussed. Neither is the fact that lesbians and gays in the United States face significant discrimination and repression—and that Mexican gay immigrants in the United States must deal with homophobia, racism, and often severe economic exploita- </w:t>
      </w:r>
      <w:r w:rsidRPr="001937C1">
        <w:rPr>
          <w:rStyle w:val="StyleUnderline"/>
        </w:rPr>
        <w:lastRenderedPageBreak/>
        <w:t xml:space="preserve">tion and language barriers. As Cantii's research showed, "in their attempts to escape from one form of bigotry [homophobia], most of the [immi- grant] Mexican men I interviewed discovered that not only had they not entirely escaped it but they now faced another [racism] ,"22 </w:t>
      </w:r>
      <w:r w:rsidRPr="00AF7C1F">
        <w:t xml:space="preserve">Thus, narratives about Mexican culture generally, and about the treat- ment of gay men specifically, which are produced in the course of asy- lum hearings, variously draw on and reiterate racialist, colonialist im- agery, particularly through the role that is attributed to "culture." This approach stands in marked contrast to the ways that white middle-class gay sexuality tends to be understood. As Cantu writes, Among U.S. gay and lesbian scholars in the late twentieth century, "gay" identities were understood as the socially constructed results of moder- nization This view of homosexuality stood in stark contrast to that of less developed countries. Traditional anthropological explanations of homosexuality point [] to "culture" to explain differences in how homosexuality was defined in "other," that is, non-Western, societies. Culture becomes the mechanism that reified difference and reproduced the imagined distance of "the others" in academic discourse itself.... Why should our understanding of sexual identities in the developing world give primacy to culture and divorce it from political economy?23 The grounding of Mexican homosexuality in a model of "culture" that is divorced from social, economic, and political variables has multiple material consequences, including ignoring or naturalizing inequality in relations with Latin America and discrimination toward Latinos in the United States.24 Moreover, this exclusive focus on "culture" vis-a-vis sexu- ality both exoticizes and eroticizes Mexicans, an aspect of U.S.-Mexican relations that Cantu had explored in his research on queer tourism in Mexico and its representation in the United States.25 </w:t>
      </w:r>
      <w:r w:rsidRPr="001937C1">
        <w:rPr>
          <w:rStyle w:val="StyleUnderline"/>
        </w:rPr>
        <w:t>The narratives of the Mexican sex/gender system deployed in the Reding report also materially contribute to difficulties for some asylum petitioners because they conflate gender and sexuality in problematic ways and leave little room for the specificity of lesbian experience or the diversities of gay identity that exist in Mexico. The conflation of sexuality with gender (which is conceived in binary terms) is evident throughout the report. For example, "Effeminate behavior elicits far greater levels of social disapproval than does homosexuality [i.e., homosexual acts] per se— Effeminacy and cross-dressing are serious violations of the masculine ideal. But the greatest transgression is for a man to assume the sexual role of a woman in intercourse</w:t>
      </w:r>
      <w:r w:rsidRPr="00AF7C1F">
        <w:t xml:space="preserve">."26 What is problematic in this passage and elsewhere is that the report does not differentiate between being an effeminate man and being a biological female. Yet,Cantu's research makes clear that Mexican men themselves recognize and act on such a distinction: Being a joto is not to be a man. Neither a man nor a woman, it is an abomination, a curse Thus, the relationship of homosexuality to femininity is more complex than a synonymous equation implies. Homosexuality is not only the opposite of masculinity, it is a corruption of it, an unnatural form that by virtue of its transgression of the binary male/female order poses a threat that must be contained or controlled.27 These important distinctions, between men who are feminized and bio- logical females, are not made in Reding's report. Thus, the report fre- quently compares the treatment of effeminate men to the treatment of biological women. This strategy means that his report gives short shrift to lesbians and the specificity of their persecution. It also contributes to the courts' difficulties in understanding how gender and sexuality vari- ously intersect to produce specific kinds of persecution that single-axis analyses cannot capture (see Randazzo's discussion of intersectionality).28 Finally, this conflation of gender with sexuality, which results in the production of the feminized gay man as the quintessential asylum appli- cant, does not allow for the variety of Mexican gay identities that exist today. Scholars including Cantu have described the emergence in the 19808 of identity categories such as "internacional" and the </w:t>
      </w:r>
      <w:r w:rsidRPr="00AF7C1F">
        <w:lastRenderedPageBreak/>
        <w:t xml:space="preserve">growing popularity of the term "gay" in parts of Mexico.29 These new identities connect to political and economic changes that Mexico is undergoing, including urbanization, economic restructuring, and new transnational links. Their emergence again underscores that sexuality cannot be ana- lyzed simply by reference to a colonialist notion of "culture"; there must be reference to material, political relations. Reding's report erases the range and complexity of these identities. Options for asylum maybe re- duced accordingly. Based on his experiences as an expert witness, and on his sociological research including in-depth interviews with gay Mexican immigrants in California, Cantu posited that even while globalizing forces had multi- plied the range of available sexual identities and political projects, the asylum system was generating new, essentializing constructions of sex- uality that functioned within strictly nationalist logics, thereby reinscribing borders that globalization had blurred. These contradictions have been paralleled by the United States' management of the U.S.- Mexico border, historically and at present. Since the 19908, the contradictory management of the U.S.-Mexico border has been exemplified by policies such as the North American Free Trade Agreement (NAFTA), which further integrated the economies of Mexico and the United States, even while immigration policies attempted to clearly separate the two countries. As Peter Andreas demonstrates, </w:t>
      </w:r>
      <w:r w:rsidRPr="001937C1">
        <w:rPr>
          <w:rStyle w:val="StyleUnderline"/>
        </w:rPr>
        <w:t>mi- grants have continued to cross the increasingly militarized U.S.-Mexico border because the logic of economic integration inevitably increased (rather than reduced) such movement and because U.S. employers con- tinued to demand Mexican labor.30 While militarization of the U.S.- Mexico border cannot, in Andreas's view, stem the migration of Mexi- cans, it nonetheless fulfills crucial symbolic functions by providing a means to visibly stage displays of state power, sovereign national bound- aries, and distinctive national identity—despite, and indeed because of, globalization. Moreover, these displays have legitimated the further ex- tension of violent and dehumanizing practices, which are directed not only at border crossers but also at those within the United States whose belonging remains in question on racial, sexual, and other grounds. Cantii believed that the INS's construction of the effeminate gay Mexi- can asylum seeker, whose sexuality and persecution were ascribed to essentialized Mexican cultural characteristics, filled an important role in the symbolic production of images of national difference, which mapped onto distinct sovereign territories—that were then defended through violent means. Cantu was particularly concerned to explore how these discursive constructions translated into material practices that affect border crossers.</w:t>
      </w:r>
      <w:r w:rsidRPr="00AF7C1F">
        <w:t xml:space="preserve"> </w:t>
      </w:r>
    </w:p>
    <w:p xmlns:wp14="http://schemas.microsoft.com/office/word/2010/wordml" w:rsidRPr="006C71B6" w:rsidR="008263E8" w:rsidP="008263E8" w:rsidRDefault="008263E8" w14:paraId="34B8738E" wp14:textId="77777777">
      <w:pPr>
        <w:pStyle w:val="Heading4"/>
        <w:rPr>
          <w:rFonts w:eastAsia="Calibri" w:cs="Calibri"/>
        </w:rPr>
      </w:pPr>
      <w:r w:rsidRPr="006C71B6">
        <w:rPr>
          <w:rFonts w:cs="Calibri"/>
        </w:rPr>
        <w:lastRenderedPageBreak/>
        <w:t xml:space="preserve">The homonormative demand for patriotic performances of masculinity to be considered a “good gay citizen” is tied with the concealing and condoning of queer death and discipline that allows multicultural America to remain coherent at the expense of the non-white queer other. These masculine performances of citizenship cause American discourse to simultaneously understand the </w:t>
      </w:r>
      <w:r>
        <w:rPr>
          <w:rFonts w:cs="Calibri"/>
        </w:rPr>
        <w:t>queer as</w:t>
      </w:r>
      <w:r w:rsidRPr="006C71B6">
        <w:rPr>
          <w:rFonts w:cs="Calibri"/>
        </w:rPr>
        <w:t xml:space="preserve"> someone to be protected from the “barbaric,” Muslim world. This dual field of signification justifies the war on terror and a brutal machine of necropolitical violence that destroys and exploits queer bodies by stripping them of universal rights and subjecting them to the politics of rightful killing.</w:t>
      </w:r>
    </w:p>
    <w:p xmlns:wp14="http://schemas.microsoft.com/office/word/2010/wordml" w:rsidRPr="00965D75" w:rsidR="008263E8" w:rsidP="008263E8" w:rsidRDefault="008263E8" w14:paraId="7E74322E" wp14:textId="77777777">
      <w:r w:rsidRPr="00965D75">
        <w:rPr>
          <w:rStyle w:val="Style13ptBold"/>
        </w:rPr>
        <w:t>Shakshari 14</w:t>
      </w:r>
      <w:r w:rsidRPr="00965D75">
        <w:t xml:space="preserve"> (Sima, Assistant Professor at University of Minnesota, Department of Gender, Women, and Sexuality Studies, Queer Necropolitics Chapter 4: “Killing Me Softly With Your Rights: Queer Death and the Politics of Rightful Killing, pg 93-102, 2014)//ANH</w:t>
      </w:r>
    </w:p>
    <w:p xmlns:wp14="http://schemas.microsoft.com/office/word/2010/wordml" w:rsidRPr="006C71B6" w:rsidR="008263E8" w:rsidP="008263E8" w:rsidRDefault="008263E8" w14:paraId="58D281F8" wp14:textId="77777777">
      <w:pPr>
        <w:widowControl w:val="0"/>
        <w:autoSpaceDE w:val="0"/>
        <w:autoSpaceDN w:val="0"/>
        <w:adjustRightInd w:val="0"/>
        <w:spacing w:after="240" w:line="300" w:lineRule="atLeast"/>
        <w:rPr>
          <w:rStyle w:val="StyleUnderline"/>
          <w:rFonts w:eastAsia="Calibri" w:cs="Calibri"/>
          <w:sz w:val="16"/>
          <w:szCs w:val="16"/>
          <w:u w:val="none"/>
        </w:rPr>
      </w:pPr>
      <w:r w:rsidRPr="00AF7C1F">
        <w:t>On 8 July 2008 an Associated Press reporter asked the US Presidential candidate Senator John McCain why, despite the US sanctions against Iran, the US cigarette exports to Iran grew more than tenfold during President Bush’s presidency. McCain responded, ‘</w:t>
      </w:r>
      <w:r w:rsidRPr="006C71B6">
        <w:rPr>
          <w:rStyle w:val="StyleUnderline"/>
          <w:rFonts w:cs="Calibri"/>
        </w:rPr>
        <w:t>Maybe that’s a way of killing them</w:t>
      </w:r>
      <w:r w:rsidRPr="00AF7C1F">
        <w:t xml:space="preserve">’ (Bradley 2008). There is an uncanny relation of sorts between McCain’s racist statement, disguised under the cloak of a light joke and the following sobering quote from Mahtab, an Iranian transgender refugee applicant in Turkey: My life is not like a cigarette that you can smoke and then put away, as I will live and suffer in its ashes. We are (we live). The world has a forgettable mind, and I will be forgotten very quickly. I might get to Canada, or I might not. But I will never forget that all my rights were taken away from me and there are even no selected individuals who I can blame for this. From now on, I want to build my life. (Mahtab, Interviewed by the Iranian Queer Organization) Mahtab made this statement in Turkey, where she was waiting for several years to be recognized as a legitimate refugee by the United Nations High Commission on Refugees (UNHCR) and the Canadian embassy. In 2008, not too long after arriving in Canada, Mahtab quietly took her life in her apartment, which she was asked to vacate as the terms of her subsidized housing had come to an end. </w:t>
      </w:r>
      <w:r w:rsidRPr="006C71B6">
        <w:rPr>
          <w:rStyle w:val="StyleUnderline"/>
          <w:rFonts w:cs="Calibri"/>
        </w:rPr>
        <w:t>The cigarette as a metaphor for a desired yet easily disposable commodity, and as an object with which to kill slowly, links the above two statements, positioned very differently in the neoliberal militarized economy of sexed bodies. There is no one to blame for the suffering of that which becomes killable like an extinguished cigarette, except for the self-responsible willing individual</w:t>
      </w:r>
      <w:r w:rsidRPr="00AF7C1F">
        <w:t xml:space="preserve">. </w:t>
      </w:r>
      <w:r w:rsidRPr="006C71B6">
        <w:rPr>
          <w:rStyle w:val="StyleUnderline"/>
          <w:rFonts w:cs="Calibri"/>
        </w:rPr>
        <w:t>It is as though to kill slowly (through sanctions or poverty), without bearing the responsibility for murderous laws and policies, is not only contingent on the possible threat that the killable subject poses to the population whose life is worth protecting (Shakhsari 2010), but it also requires desire and willingness on the killable subject’s part. As a form of political ‘branding’, refugee incites the affective experience of freedom one has not had yet, but expects in future activation and repetition</w:t>
      </w:r>
      <w:r w:rsidRPr="00AF7C1F">
        <w:t xml:space="preserve"> Chapter 4 94 Queer necropolitics (Clough and Willse 2011). A necessary component of the refugee discourse, the desire for freedom is eerily present in the branding of cigarettes.1 It is no accident that the ‘Don’t be a Maybe’ Marlboro advertising campaign in Germany claimed ‘There is no freedom in maybe’. Neither is it surprising that an online design competition for Marlboro </w:t>
      </w:r>
      <w:r w:rsidRPr="00AF7C1F">
        <w:lastRenderedPageBreak/>
        <w:t xml:space="preserve">included a pack of cigarettes adorned with an American flag next to the phrase ‘packed with freedom’. The promise of freedom is also present in the 2012 ‘Be Marlboro’ campaign that targeted Indonesian youth whose ideal future is ensured against the uncertain present: ‘No poems finished, no mountains climbed, oceans crossed, no freedom won, no city lights, no love letters, this world would be nothing if we just said maybe, so let it out, set it free. Don’t be a maybe. Be Marlboro’ (Tobacco Tactics). If Marlboro is ‘packed with freedom’, death may be the price to pay for the self-responsible subject who desires to experience the sweet taste of the ‘Marlboro Country,’ knowing its risks. </w:t>
      </w:r>
      <w:r w:rsidRPr="006C71B6">
        <w:rPr>
          <w:rStyle w:val="StyleUnderline"/>
          <w:rFonts w:cs="Calibri"/>
        </w:rPr>
        <w:t>If queer life is imbued with freedom in the ‘West’, death is the price to pay for the desiring queer refugee whose rights are taken away in the name of rights in the ‘free country’</w:t>
      </w:r>
      <w:r w:rsidRPr="00AF7C1F">
        <w:t xml:space="preserve"> (see Figure 4.1). Figure 4.1 ‘Maybe that’s a way of killing them’ Collaborative project by Loriana Espinel and Sima Shakhsari, 2012 </w:t>
      </w:r>
      <w:r w:rsidRPr="006C71B6">
        <w:rPr>
          <w:rStyle w:val="StyleUnderline"/>
          <w:rFonts w:cs="Calibri"/>
        </w:rPr>
        <w:t>In what follows, I compare the unspeakability of Mahtab’s death to the representability of two other stories of death during the ‘war on terror’, in order to examine the representational economy of queer death in relation to biopolitics and necropolitics as they concern different populations</w:t>
      </w:r>
      <w:r w:rsidRPr="00AF7C1F">
        <w:t xml:space="preserve">. </w:t>
      </w:r>
      <w:r w:rsidRPr="006C71B6">
        <w:rPr>
          <w:rStyle w:val="StyleUnderline"/>
          <w:rFonts w:cs="Calibri"/>
        </w:rPr>
        <w:t xml:space="preserve">Although it is the individual who is subjected to the management of life and death through biopower, as Foucault has argued, it is the population that is the target of the art of govern - mentality through biopolitics, where the management of life of one is inevitably connected to death of another. As such, the management of life and death of the transgender refugee is inherently connected to the government of the population. However, there is a difference in the value of life and death of different populations, different multitudes, in the transnational context and beyond Foucault’s analysis of the state. </w:t>
      </w:r>
      <w:r w:rsidRPr="00AF7C1F">
        <w:t xml:space="preserve">How does the government of the life of one population connect to the techniques of the killing of another population? </w:t>
      </w:r>
      <w:r w:rsidRPr="006C71B6">
        <w:rPr>
          <w:rStyle w:val="StyleUnderline"/>
          <w:rFonts w:cs="Calibri"/>
        </w:rPr>
        <w:t>When does the sovereign who has the right to kill, do so softly with sanctions (which are selective in allowing or disallowing the type of commodities; cigarettes are allowed, but medicine is not) and when does it kill in the manner of shock and awe? When does the sovereign kill in the name of rights and when does it let die, forgetting those rights?</w:t>
      </w:r>
      <w:r w:rsidRPr="00AF7C1F">
        <w:t xml:space="preserve"> Through examining representations of deaths of Mahtab, Mark Bingham and Ayaz Marhouni and Mahmood Asgari, I argue that </w:t>
      </w:r>
      <w:r w:rsidRPr="006C71B6">
        <w:rPr>
          <w:rStyle w:val="StyleUnderline"/>
          <w:rFonts w:cs="Calibri"/>
        </w:rPr>
        <w:t>during the ‘war on terror’, hegemonic representational politics not only produce universalized sexual identities that are mobilized according to the logic of US homonationalism</w:t>
      </w:r>
      <w:r w:rsidRPr="00AF7C1F">
        <w:t xml:space="preserve"> (Puar 2007), </w:t>
      </w:r>
      <w:r w:rsidRPr="006C71B6">
        <w:rPr>
          <w:rStyle w:val="StyleUnderline"/>
          <w:rFonts w:cs="Calibri"/>
        </w:rPr>
        <w:t>but they also contribute to the management of life and death of different popula tions.</w:t>
      </w:r>
      <w:r w:rsidRPr="00AF7C1F">
        <w:t xml:space="preserve"> </w:t>
      </w:r>
      <w:r w:rsidRPr="006C71B6">
        <w:rPr>
          <w:rStyle w:val="StyleUnderline"/>
          <w:rFonts w:cs="Calibri"/>
        </w:rPr>
        <w:t>The representational economy of queer death is implicated in an assemblage that includes state and non-state institutions, individuals, human rights regimes, civilizational discourses, diasporas and the international media</w:t>
      </w:r>
      <w:r w:rsidRPr="00AF7C1F">
        <w:t xml:space="preserve">. I suggest that the Iranian transgender refugee, as the paradigmatic figure of the homo sacer (Agamben 1998), is an important site of inquiry in the analysis of the politics of life and death of different populations during the ‘war on terror’. </w:t>
      </w:r>
      <w:r w:rsidRPr="006C71B6">
        <w:rPr>
          <w:rStyle w:val="StyleUnderline"/>
          <w:rFonts w:cs="Calibri"/>
        </w:rPr>
        <w:t>The representability of some queer deaths and unspeakability of others complicate biopolitics and necropolitics, pointing to</w:t>
      </w:r>
      <w:r w:rsidRPr="001937C1">
        <w:rPr>
          <w:rStyle w:val="StyleUnderline"/>
        </w:rPr>
        <w:t xml:space="preserve"> the killability of lives that are simultaneously imbued with and stripped of liberal universal rights;</w:t>
      </w:r>
      <w:r w:rsidRPr="006C71B6">
        <w:rPr>
          <w:rStyle w:val="StyleUnderline"/>
          <w:rFonts w:cs="Calibri"/>
        </w:rPr>
        <w:t xml:space="preserve"> lives that are subjected to </w:t>
      </w:r>
      <w:r w:rsidRPr="001937C1">
        <w:rPr>
          <w:rStyle w:val="StyleUnderline"/>
        </w:rPr>
        <w:t>the politics of rightful killing</w:t>
      </w:r>
      <w:r w:rsidRPr="006C71B6">
        <w:rPr>
          <w:rStyle w:val="StyleUnderline"/>
          <w:rFonts w:cs="Calibri"/>
        </w:rPr>
        <w:t>. The discursive production of the Iranian transgender refugee as one who is in need of rescue and protection by human rights regimes and Western democracies is inevitably connected to performances of citizenship in</w:t>
      </w:r>
      <w:r w:rsidRPr="00AF7C1F">
        <w:t xml:space="preserve"> First World locations such as </w:t>
      </w:r>
      <w:r w:rsidRPr="006C71B6">
        <w:rPr>
          <w:rStyle w:val="StyleUnderline"/>
          <w:rFonts w:cs="Calibri"/>
        </w:rPr>
        <w:t>the United States</w:t>
      </w:r>
      <w:r w:rsidRPr="00AF7C1F">
        <w:t xml:space="preserve">.2 Therefore, in the first part of </w:t>
      </w:r>
      <w:r w:rsidRPr="00AF7C1F">
        <w:lastRenderedPageBreak/>
        <w:t xml:space="preserve">this chapter, I discuss the way in which </w:t>
      </w:r>
      <w:r w:rsidRPr="006C71B6">
        <w:rPr>
          <w:rStyle w:val="StyleUnderline"/>
          <w:rFonts w:cs="Calibri"/>
        </w:rPr>
        <w:t xml:space="preserve">successful </w:t>
      </w:r>
      <w:r w:rsidRPr="001937C1">
        <w:rPr>
          <w:rStyle w:val="StyleUnderline"/>
        </w:rPr>
        <w:t>performances of American citizenship</w:t>
      </w:r>
      <w:r w:rsidRPr="006C71B6">
        <w:rPr>
          <w:rStyle w:val="StyleUnderline"/>
          <w:rFonts w:cs="Calibri"/>
        </w:rPr>
        <w:t xml:space="preserve"> are tied to the visibility and concealment of queer life and death, disciplining of queer bodies according to conventions of gendered and raced citizenship in the US, production of queer difference vis-à-vis the demonized and dangerous Muslim other, and the protection of the victimized Third World queer</w:t>
      </w:r>
      <w:r w:rsidRPr="00AF7C1F">
        <w:t xml:space="preserve">. In the second part, I explore the connection between the representability of death to the politics of rightful killing. Heroic death In America, we are free. Free to choose, free to say, free to voice our opinions, free to be ourselves. In many places around the world, I could not be myself. Regardless of others’ opinions, I can be who I am, and not have to fear my life. I am proud to be me, proud to be an American, and proud to be gay! Only in America can I be this FREE!!! (Testimony on the Tribute to American Spirit Online Photo Quilt ) 3 As </w:t>
      </w:r>
      <w:r w:rsidRPr="006C71B6">
        <w:rPr>
          <w:rStyle w:val="StyleUnderline"/>
          <w:rFonts w:cs="Calibri"/>
        </w:rPr>
        <w:t xml:space="preserve">multicultural America hinders the exclusion of racialized and gendered sexualities through the myth of equality, it </w:t>
      </w:r>
      <w:r w:rsidRPr="001937C1">
        <w:rPr>
          <w:rStyle w:val="StyleUnderline"/>
        </w:rPr>
        <w:t>reifies the sovereignty of the figure of the coherent citizen subject vis-à-vis its refugee other</w:t>
      </w:r>
      <w:r w:rsidRPr="00AF7C1F">
        <w:t xml:space="preserve">. </w:t>
      </w:r>
      <w:r w:rsidRPr="006C71B6">
        <w:rPr>
          <w:rStyle w:val="StyleUnderline"/>
          <w:rFonts w:cs="Calibri"/>
        </w:rPr>
        <w:t>The queer refugee’s instability and lack of freedom is juxtaposed to the freedom that First World queer citizens seemingly enjoy</w:t>
      </w:r>
      <w:r w:rsidRPr="00AF7C1F">
        <w:t xml:space="preserve">. The willing </w:t>
      </w:r>
      <w:r w:rsidRPr="006C71B6">
        <w:rPr>
          <w:rStyle w:val="StyleUnderline"/>
          <w:rFonts w:cs="Calibri"/>
        </w:rPr>
        <w:t>American queer subjects</w:t>
      </w:r>
      <w:r w:rsidRPr="00AF7C1F">
        <w:t xml:space="preserve"> who have historically been excluded from the realms of the ‘normal’, </w:t>
      </w:r>
      <w:r w:rsidRPr="006C71B6">
        <w:rPr>
          <w:rStyle w:val="StyleUnderline"/>
          <w:rFonts w:cs="Calibri"/>
        </w:rPr>
        <w:t>often exercise belonging to the national culture through performances of normative citizenship, against the figure of the dangerous terrorist or the victimized refugee</w:t>
      </w:r>
      <w:r w:rsidRPr="00AF7C1F">
        <w:t xml:space="preserve">.4 </w:t>
      </w:r>
      <w:r w:rsidRPr="006C71B6">
        <w:rPr>
          <w:rStyle w:val="StyleUnderline"/>
          <w:rFonts w:cs="Calibri"/>
        </w:rPr>
        <w:t>Events of 11 September 2001 provided an opportunity for American queer citizens to insert themselves into the imaginations of the nation,</w:t>
      </w:r>
      <w:r w:rsidRPr="00AF7C1F">
        <w:t xml:space="preserve"> in a moment of crisis when </w:t>
      </w:r>
      <w:r w:rsidRPr="006C71B6">
        <w:rPr>
          <w:rStyle w:val="StyleUnderline"/>
          <w:rFonts w:cs="Calibri"/>
        </w:rPr>
        <w:t>particular forms of queerness became</w:t>
      </w:r>
      <w:r w:rsidRPr="00AF7C1F">
        <w:t xml:space="preserve"> tolerable and even </w:t>
      </w:r>
      <w:r w:rsidRPr="006C71B6">
        <w:rPr>
          <w:rStyle w:val="StyleUnderline"/>
          <w:rFonts w:cs="Calibri"/>
        </w:rPr>
        <w:t>encouraged in the American nationalist discourse</w:t>
      </w:r>
      <w:r w:rsidRPr="00AF7C1F">
        <w:t xml:space="preserve">. As Puar and Rai (2002) have observed, celebrations of outness had an unprecedented prevalence in gay and lesbian cultural circuits in the US after 9/11.5 One of the most publicized stories in mainstream media was that of Mark Bingham, a successful gay white businessman with a bi-coastal firm who lost his life as he supposedly thwarted the plan of the hijackers to crash the plane into the White House. Even though the overarching discourse of male hero and patriotic wife occupied every media representation of American-ness, Mark Bingham was celebrated for his masculinity along with the other three athletic men who according to the Life magazine ‘were the hijackers’ worst nightmare’.6 </w:t>
      </w:r>
      <w:r w:rsidRPr="006C71B6">
        <w:rPr>
          <w:rStyle w:val="StyleUnderline"/>
          <w:rFonts w:cs="Calibri"/>
        </w:rPr>
        <w:t>While the hypervisibility of the post-9/11 American nationalism emphasized the heteronormativity of the nation through images, language, and nationalist practices, queer forms of American nationalism had an overarching presence</w:t>
      </w:r>
      <w:r w:rsidRPr="00AF7C1F">
        <w:t xml:space="preserve"> in gay and lesbian websites.7 Emulating heteronormative media praise of Bingham’s masculinity, </w:t>
      </w:r>
      <w:r w:rsidRPr="006C71B6">
        <w:rPr>
          <w:rStyle w:val="StyleUnderline"/>
          <w:rFonts w:cs="Calibri"/>
        </w:rPr>
        <w:t>many queer websites</w:t>
      </w:r>
      <w:r w:rsidRPr="00AF7C1F">
        <w:t xml:space="preserve"> focused mainly on the way in which Bingham </w:t>
      </w:r>
      <w:r w:rsidRPr="006C71B6">
        <w:rPr>
          <w:rStyle w:val="StyleUnderline"/>
          <w:rFonts w:cs="Calibri"/>
        </w:rPr>
        <w:t>broke the stereotypes on gay masculinity by showing that gays are ‘men’ too</w:t>
      </w:r>
      <w:r w:rsidRPr="00AF7C1F">
        <w:t>. Attempting to counter homophobic stereotypes, q</w:t>
      </w:r>
      <w:r w:rsidRPr="006C71B6">
        <w:rPr>
          <w:rStyle w:val="StyleUnderline"/>
          <w:rFonts w:cs="Calibri"/>
        </w:rPr>
        <w:t xml:space="preserve">ueer celebrations of Bingham’s death constructed his masculinity – which eerily approximated that of the heterosexual citizen soldier – as an ideal to be reached by </w:t>
      </w:r>
      <w:r w:rsidRPr="001937C1">
        <w:rPr>
          <w:rStyle w:val="StyleUnderline"/>
        </w:rPr>
        <w:t>the patriotic gay American on his path to fulfilling the American dream</w:t>
      </w:r>
      <w:r w:rsidRPr="006C71B6">
        <w:rPr>
          <w:rStyle w:val="StyleUnderline"/>
          <w:rFonts w:eastAsia="Calibri" w:cs="Calibri"/>
        </w:rPr>
        <w:t>.</w:t>
      </w:r>
      <w:r w:rsidRPr="00AF7C1F">
        <w:t xml:space="preserve"> While there were instances of dissent, </w:t>
      </w:r>
      <w:r w:rsidRPr="006C71B6">
        <w:rPr>
          <w:rStyle w:val="StyleUnderline"/>
          <w:rFonts w:cs="Calibri"/>
        </w:rPr>
        <w:t xml:space="preserve">what enabled the American gay subject to successfully join the imaginations of the nation and citizenship in the mainstream gay and lesbian media was </w:t>
      </w:r>
      <w:r w:rsidRPr="001937C1">
        <w:rPr>
          <w:rStyle w:val="StyleUnderline"/>
        </w:rPr>
        <w:t>to perform ‘manhood’ and patrotism</w:t>
      </w:r>
      <w:r w:rsidRPr="00AF7C1F">
        <w:t xml:space="preserve">.8 </w:t>
      </w:r>
      <w:r w:rsidRPr="006C71B6">
        <w:rPr>
          <w:rStyle w:val="StyleUnderline"/>
          <w:rFonts w:cs="Calibri"/>
        </w:rPr>
        <w:t>Bingham’s hypermasculinity became an ideal to which every queer was expected to aspire:</w:t>
      </w:r>
      <w:r w:rsidRPr="00AF7C1F">
        <w:t xml:space="preserve"> ‘I didn’t have a gay role model or hero growing up; our future generations now have one. God Bless America!’ (Mark Bingham Forum n.d.). </w:t>
      </w:r>
      <w:r w:rsidRPr="006C71B6">
        <w:rPr>
          <w:rStyle w:val="StyleUnderline"/>
          <w:rFonts w:cs="Calibri"/>
        </w:rPr>
        <w:t xml:space="preserve">Like any performance, </w:t>
      </w:r>
      <w:r w:rsidRPr="001937C1">
        <w:rPr>
          <w:rStyle w:val="StyleUnderline"/>
        </w:rPr>
        <w:t xml:space="preserve">the drama of patriotism and masculine success requires an </w:t>
      </w:r>
      <w:r w:rsidRPr="001937C1">
        <w:rPr>
          <w:rStyle w:val="StyleUnderline"/>
        </w:rPr>
        <w:lastRenderedPageBreak/>
        <w:t>observer</w:t>
      </w:r>
      <w:r w:rsidRPr="006C71B6">
        <w:rPr>
          <w:rStyle w:val="StyleUnderline"/>
          <w:rFonts w:cs="Calibri"/>
        </w:rPr>
        <w:t>: becoming a citizen subject necessitates visibility and ‘coming out’ into the purview of the nation.</w:t>
      </w:r>
      <w:r w:rsidRPr="00AF7C1F">
        <w:t xml:space="preserve"> The post-9/11 critical ‘outing’ was intertwined with the trope of protectorship, which served two purposes in the US nationalist discourse. On one level, </w:t>
      </w:r>
      <w:r w:rsidRPr="001937C1">
        <w:rPr>
          <w:rStyle w:val="StyleUnderline"/>
        </w:rPr>
        <w:t>the masculine gay man was tolerated as ‘out’</w:t>
      </w:r>
      <w:r w:rsidRPr="006C71B6">
        <w:rPr>
          <w:rStyle w:val="StyleUnderline"/>
          <w:rFonts w:cs="Calibri"/>
        </w:rPr>
        <w:t xml:space="preserve"> and proud </w:t>
      </w:r>
      <w:r w:rsidRPr="001937C1">
        <w:rPr>
          <w:rStyle w:val="StyleUnderline"/>
        </w:rPr>
        <w:t>when he performed hegemonic norms of masculinity</w:t>
      </w:r>
      <w:r w:rsidRPr="006C71B6">
        <w:rPr>
          <w:rStyle w:val="StyleUnderline"/>
          <w:rFonts w:cs="Calibri"/>
        </w:rPr>
        <w:t xml:space="preserve"> and took on the role of the ‘protector’ of the nation</w:t>
      </w:r>
      <w:r w:rsidRPr="00AF7C1F">
        <w:t xml:space="preserve">. On another level, </w:t>
      </w:r>
      <w:r w:rsidRPr="006C71B6">
        <w:rPr>
          <w:rStyle w:val="StyleUnderline"/>
          <w:rFonts w:cs="Calibri"/>
        </w:rPr>
        <w:t>being ‘out’ became significant as a patriotic act when it designated a spatial division within a Manichean logic</w:t>
      </w:r>
      <w:r w:rsidRPr="00AF7C1F">
        <w:t xml:space="preserve">. </w:t>
      </w:r>
      <w:r w:rsidRPr="006C71B6">
        <w:rPr>
          <w:rStyle w:val="StyleUnderline"/>
          <w:rFonts w:cs="Calibri"/>
        </w:rPr>
        <w:t>Within this logic, the US signified freedom and democracy, the Muslim world stood for homophobia and gay oppression and the protection of queers against the homophobic enemy became the raison d’être of war</w:t>
      </w:r>
      <w:r w:rsidRPr="00AF7C1F">
        <w:t xml:space="preserve">.9 For example, on 21 September 2001, Andrew Sullivan wrote: Of all wars, this is surely one in which gay America can take a proud and central part. The men who have launched a war on this country see freedom that gay people have here as one of the central reasons for their hatred . . . Gay Americans should not merely support this war as a matter of patriotism and pride; they should support it because the enemy sees us as one of their first targets for destruction. (Sullivan 2001: n.p.) Of course, the opposition between the ‘civilized’ West and the ‘barbaric’ Muslim world pre-dates the ‘war on terror’ and has a colonial history. </w:t>
      </w:r>
      <w:r w:rsidRPr="006C71B6">
        <w:rPr>
          <w:rStyle w:val="StyleUnderline"/>
          <w:rFonts w:cs="Calibri"/>
        </w:rPr>
        <w:t>The spatial binary division also involves a mapping of time into space, where the US is juxtaposed against a temporally backward Muslim world</w:t>
      </w:r>
      <w:r w:rsidRPr="00AF7C1F">
        <w:t xml:space="preserve">.10 </w:t>
      </w:r>
      <w:r w:rsidRPr="006C71B6">
        <w:rPr>
          <w:rStyle w:val="StyleUnderline"/>
          <w:rFonts w:cs="Calibri"/>
        </w:rPr>
        <w:t>These temporal and spatial contrasts</w:t>
      </w:r>
      <w:r w:rsidRPr="00AF7C1F">
        <w:t xml:space="preserve">, as Weston argues in discussing rural/urban divides, </w:t>
      </w:r>
      <w:r w:rsidRPr="006C71B6">
        <w:rPr>
          <w:rStyle w:val="StyleUnderline"/>
          <w:rFonts w:cs="Calibri"/>
        </w:rPr>
        <w:t>structure the ‘very subjectivity that allows people to think of themselves or others as gay’</w:t>
      </w:r>
      <w:r w:rsidRPr="00AF7C1F">
        <w:t xml:space="preserve"> (Weston 1998: 41). </w:t>
      </w:r>
      <w:r w:rsidRPr="006C71B6">
        <w:rPr>
          <w:rStyle w:val="StyleUnderline"/>
          <w:rFonts w:cs="Calibri"/>
        </w:rPr>
        <w:t xml:space="preserve">While Islam and Muslims become associated with an archaic past, gayness becomes foundationally American. In this dual field of signification, </w:t>
      </w:r>
      <w:r w:rsidRPr="001937C1">
        <w:rPr>
          <w:rStyle w:val="StyleUnderline"/>
        </w:rPr>
        <w:t>the American gay citizen subject identifies both as the protector and the one who is protected from the Muslim enemy</w:t>
      </w:r>
      <w:r w:rsidRPr="00AF7C1F">
        <w:t>. The American gay subject and the victimized Muslim gay are constructed through difference and commonality. As Minoo Moallem argues, ‘</w:t>
      </w:r>
      <w:r w:rsidRPr="001937C1">
        <w:rPr>
          <w:rStyle w:val="StyleUnderline"/>
        </w:rPr>
        <w:t>the barbaric other is there to legitimize and give meaning to the masculine militarism of the “civilized”</w:t>
      </w:r>
      <w:r w:rsidRPr="00AF7C1F">
        <w:t xml:space="preserve"> and his constant need to “protect”. Protection enables an alliance between the protector and the protected against a common foe’ (Moallem 2002: 300). </w:t>
      </w:r>
      <w:r w:rsidRPr="006C71B6">
        <w:rPr>
          <w:rStyle w:val="StyleUnderline"/>
          <w:rFonts w:cs="Calibri"/>
        </w:rPr>
        <w:t xml:space="preserve">This common foe to the heterosexually imagined American nation, the homogeneously imagined visible gay subject and the victimized queer refugee is the barbaric Muslim other. </w:t>
      </w:r>
      <w:r w:rsidRPr="00AF7C1F">
        <w:t xml:space="preserve">Barbaric death: Iranian queer victims An example of the way in which the binary opposition of the backward homophobic Muslim/civilized queer has been deployed repeatedly during the ‘war on terror’ is </w:t>
      </w:r>
      <w:r w:rsidRPr="006C71B6">
        <w:rPr>
          <w:rStyle w:val="StyleUnderline"/>
          <w:rFonts w:cs="Calibri"/>
        </w:rPr>
        <w:t>the widely publicized case of the hanging of</w:t>
      </w:r>
      <w:r w:rsidRPr="00AF7C1F">
        <w:t xml:space="preserve"> two young men, </w:t>
      </w:r>
      <w:r w:rsidRPr="006C71B6">
        <w:rPr>
          <w:rStyle w:val="StyleUnderline"/>
          <w:rFonts w:cs="Calibri"/>
        </w:rPr>
        <w:t>Ayaz Marhouni and Mahmood Asgari</w:t>
      </w:r>
      <w:r w:rsidRPr="00AF7C1F">
        <w:t xml:space="preserve">, in Iran. Marhouni and Asgari were hanged on charges of raping a male minor (lavat beh onf) in the city of Mashad, on 19 July 2005. While it is unclear if the two young men were ‘gay’, the international media, the international gay and lesbian organizations and diasporic Iranian opposition groups publicized the case on the Internet, alleging that Marhouni and Asgari were hanged because of their sexual orientation (Kim 2005). Images of the Mashad hangings spread quickly on news websites, YouTube and weblogs, while email lists and weblogs were used to mobilize protests internationally in different cities.11 The overwhelming circulation of images of the hanging on the Internet was to the extent that most (and the top) results produced in an image search for the keywords ‘gay’ and ‘Iran’ in the Google search engine are still those of Marhouni and Asgari’s hanging. Several groups, including the International Gay and Lesbian Human Rights Commission, Human Rights </w:t>
      </w:r>
      <w:r w:rsidRPr="00AF7C1F">
        <w:lastRenderedPageBreak/>
        <w:t xml:space="preserve">Watch and the Amnesty International issued statements and disclaimers about the lack of credible information about Marhoni and Asgari’s sexuality or the reasons for their execution. Scott Long, a human rights activist with a history of working on Iranian cases argued that the investi - gations into this case (and similar ‘gay’ cases) are merely based on speculations and are not rooted in any evidence leading to the conclusion that Marhouni and Asgari were gay. The Human Rights Campaign, the Log Cabin Republicans and Britain’s Outrage, however, insisted that Marhoni and Asgari were executed for their ‘sexual orientation’. Representing the UK-based group, Outrage, Peter Tatchell announced: ‘This is just the latest barbarity by the Islamo-fascists in Iran. . . . The entire country is a gigantic prison, with Islamic rule sustained by detention without trial, torture and state-sanctioned murder’ (Kim 2005). Log Cabin Republicans denounced the execution of Marhouni and Asgari and reaffirmed the organ - ization’s commitment to the global ‘war on terror’. Like Sullivan, who used this case to legitimize the ‘war on terror’, Patrick Guerrero, the president of the Log Cabin Republicans, issued a press release announcing that ‘this barbarous slaughter clearly demonstrates the stakes in the global “war on terror”. Freedom must prevail over radical Islamic extremism’ (2005). The case </w:t>
      </w:r>
      <w:r w:rsidRPr="006C71B6">
        <w:rPr>
          <w:rStyle w:val="StyleUnderline"/>
          <w:rFonts w:cs="Calibri"/>
        </w:rPr>
        <w:t xml:space="preserve">has become the prime example of violence against queers in Iran, inciting the masculine pro - tectorship of the First World and the need to rescue the victimized Iranian queer. </w:t>
      </w:r>
    </w:p>
    <w:p xmlns:wp14="http://schemas.microsoft.com/office/word/2010/wordml" w:rsidR="008263E8" w:rsidP="008263E8" w:rsidRDefault="008263E8" w14:paraId="3E285911" wp14:textId="77777777">
      <w:pPr>
        <w:pStyle w:val="Heading3"/>
      </w:pPr>
      <w:r>
        <w:lastRenderedPageBreak/>
        <w:t>I: Pinkwashing</w:t>
      </w:r>
    </w:p>
    <w:p xmlns:wp14="http://schemas.microsoft.com/office/word/2010/wordml" w:rsidRPr="006C71B6" w:rsidR="008263E8" w:rsidP="008263E8" w:rsidRDefault="008263E8" w14:paraId="29859D37" wp14:textId="77777777">
      <w:pPr>
        <w:pStyle w:val="Heading4"/>
        <w:rPr>
          <w:rFonts w:cs="Calibri"/>
        </w:rPr>
      </w:pPr>
      <w:r w:rsidRPr="006C71B6">
        <w:rPr>
          <w:rFonts w:cs="Calibri"/>
        </w:rPr>
        <w:t>The neoliberal accommodationist economic structure fuels the global exportation of pinkwashing, justifying the Israeli settler colonial occupation of Palestine. By passing “gay-friendly” legislation, Israel can divert attention from and legitimate their occupation of Palestine while simultaneously normalizing cisgenderedness. This homonationalist pinkwashing thus both excludes those who don’t conform to certain standards of queerness and actively erases histories of settler colonialism and imperialism. (also an antiblackness impact in here)</w:t>
      </w:r>
    </w:p>
    <w:p xmlns:wp14="http://schemas.microsoft.com/office/word/2010/wordml" w:rsidRPr="0092329A" w:rsidR="008263E8" w:rsidP="008263E8" w:rsidRDefault="008263E8" w14:paraId="01971BAB" wp14:textId="77777777">
      <w:r w:rsidRPr="0092329A">
        <w:rPr>
          <w:rStyle w:val="Style13ptBold"/>
        </w:rPr>
        <w:t>Puar 17</w:t>
      </w:r>
      <w:r w:rsidRPr="0092329A">
        <w:t xml:space="preserve"> (Jasbir K., Associate Professor of Women’s and Gender Studies at Rutgers University, received Ph.D in Ethnic Studies from the University of California Berkeley and M.A. in  Women’s Studies from the University of York, England. The Right to Maim: Debility, Capacity, Disability. October 2017. pg 95-101)//ANH</w:t>
      </w:r>
    </w:p>
    <w:p xmlns:wp14="http://schemas.microsoft.com/office/word/2010/wordml" w:rsidR="008263E8" w:rsidP="008263E8" w:rsidRDefault="008263E8" w14:paraId="43E7C725" wp14:textId="77777777">
      <w:pPr>
        <w:rPr>
          <w:rStyle w:val="StyleUnderline"/>
        </w:rPr>
      </w:pPr>
      <w:r w:rsidRPr="006C71B6">
        <w:rPr>
          <w:rFonts w:cs="Calibri"/>
          <w:sz w:val="16"/>
        </w:rPr>
        <w:t xml:space="preserve">pinkwashing and its discontents </w:t>
      </w:r>
      <w:r w:rsidRPr="006C71B6">
        <w:rPr>
          <w:rStyle w:val="StyleUnderline"/>
          <w:rFonts w:cs="Calibri"/>
        </w:rPr>
        <w:t>The advertisement opens with</w:t>
      </w:r>
      <w:r w:rsidRPr="006C71B6">
        <w:rPr>
          <w:rFonts w:cs="Calibri"/>
          <w:sz w:val="16"/>
        </w:rPr>
        <w:t xml:space="preserve"> the tantalizing twangs of exotic music, setting the scene for a double date; </w:t>
      </w:r>
      <w:r w:rsidRPr="006C71B6">
        <w:rPr>
          <w:rStyle w:val="StyleUnderline"/>
          <w:rFonts w:cs="Calibri"/>
        </w:rPr>
        <w:t>two cisgender men and two cisgender women face each other at a</w:t>
      </w:r>
      <w:r w:rsidRPr="006C71B6">
        <w:rPr>
          <w:rFonts w:cs="Calibri"/>
          <w:sz w:val="16"/>
        </w:rPr>
        <w:t>n intimate</w:t>
      </w:r>
      <w:r w:rsidRPr="006C71B6">
        <w:rPr>
          <w:rStyle w:val="StyleUnderline"/>
          <w:rFonts w:cs="Calibri"/>
        </w:rPr>
        <w:t xml:space="preserve"> dinner table. While three of the party members might potentially be read as white, one is definitely not. A black woman is notably distinct from her companion</w:t>
      </w:r>
      <w:r w:rsidRPr="006C71B6">
        <w:rPr>
          <w:rFonts w:cs="Calibri"/>
          <w:sz w:val="16"/>
        </w:rPr>
        <w:t xml:space="preserve">s, the rest of whom, despite having somewhat varied features, pass as familiar bodies of the Levantine region. As the languorous tune unfolds, </w:t>
      </w:r>
      <w:r w:rsidRPr="006C71B6">
        <w:rPr>
          <w:rStyle w:val="StyleUnderline"/>
          <w:rFonts w:cs="Calibri"/>
        </w:rPr>
        <w:t>the black woman slips off one of her shoes with her other foot and boldly reaches her toes out to the feet of the pretty woman sitting across from her</w:t>
      </w:r>
      <w:r w:rsidRPr="006C71B6">
        <w:rPr>
          <w:rFonts w:cs="Calibri"/>
          <w:sz w:val="16"/>
        </w:rPr>
        <w:t xml:space="preserve">, who promptly lurches, spilling her glass of wine on herself. </w:t>
      </w:r>
      <w:r w:rsidRPr="006C71B6">
        <w:rPr>
          <w:rStyle w:val="StyleUnderline"/>
          <w:rFonts w:cs="Calibri"/>
        </w:rPr>
        <w:t>The bearded man sitting next to her gives her a confused look, until he feels the advance of toes on his crotch from underneath the table. After catching a quick wink from his counterpart, he bursts into the laughter of recognition: all are welcome here</w:t>
      </w:r>
      <w:r w:rsidRPr="006C71B6">
        <w:rPr>
          <w:rFonts w:cs="Calibri"/>
          <w:sz w:val="16"/>
        </w:rPr>
        <w:t xml:space="preserve">. As the laughter infects the scene, </w:t>
      </w:r>
      <w:r w:rsidRPr="006C71B6">
        <w:rPr>
          <w:rStyle w:val="StyleUnderline"/>
          <w:rFonts w:cs="Calibri"/>
        </w:rPr>
        <w:t>the video</w:t>
      </w:r>
      <w:r w:rsidRPr="006C71B6">
        <w:rPr>
          <w:rFonts w:cs="Calibri"/>
          <w:sz w:val="16"/>
        </w:rPr>
        <w:t xml:space="preserve">, directed to Canadians specifically and North Americans and Europeans more generally, </w:t>
      </w:r>
      <w:r w:rsidRPr="006C71B6">
        <w:rPr>
          <w:rStyle w:val="StyleUnderline"/>
          <w:rFonts w:cs="Calibri"/>
        </w:rPr>
        <w:t xml:space="preserve">in bold caption announces, “In Israel, Love Has No Boundaries.” This shameless conviction, blatantly challenging all conventional understanding of the </w:t>
      </w:r>
      <w:r w:rsidRPr="00FE30C0">
        <w:rPr>
          <w:rStyle w:val="StyleUnderline"/>
        </w:rPr>
        <w:t>territorial apparatus of the occupation and its perfection of the proliferation and instrumentalization of boundaries,</w:t>
      </w:r>
      <w:r w:rsidRPr="006C71B6">
        <w:rPr>
          <w:rStyle w:val="StyleUnderline"/>
          <w:rFonts w:cs="Calibri"/>
        </w:rPr>
        <w:t xml:space="preserve"> is then followed by the written phrases “Tel Aviv Is the Host to One of the World’s Largest Gay Pride Parades” and, shortly after, “Israel, Small Country, Big Pride.</w:t>
      </w:r>
      <w:r w:rsidRPr="006C71B6">
        <w:rPr>
          <w:rFonts w:cs="Calibri"/>
          <w:sz w:val="16"/>
        </w:rPr>
        <w:t xml:space="preserve">”1 </w:t>
      </w:r>
      <w:r w:rsidRPr="006C71B6">
        <w:rPr>
          <w:rStyle w:val="StyleUnderline"/>
          <w:rFonts w:cs="Calibri"/>
        </w:rPr>
        <w:t>This piece of advertising</w:t>
      </w:r>
      <w:r w:rsidRPr="006C71B6">
        <w:rPr>
          <w:rFonts w:cs="Calibri"/>
          <w:sz w:val="16"/>
        </w:rPr>
        <w:t xml:space="preserve">, created by the pro-Israel organization Size Doesn’t Matter as part of an ad campaign focused on promoting the virtues of Israel to Canadians, </w:t>
      </w:r>
      <w:r w:rsidRPr="006C71B6">
        <w:rPr>
          <w:rStyle w:val="StyleUnderline"/>
          <w:rFonts w:cs="Calibri"/>
        </w:rPr>
        <w:t>can be hailed as an example of “</w:t>
      </w:r>
      <w:r w:rsidRPr="00FE30C0">
        <w:rPr>
          <w:rStyle w:val="StyleUnderline"/>
        </w:rPr>
        <w:t>pinkwashing,”</w:t>
      </w:r>
      <w:r w:rsidRPr="006C71B6">
        <w:rPr>
          <w:rFonts w:cs="Calibri"/>
          <w:sz w:val="16"/>
        </w:rPr>
        <w:t xml:space="preserve"> a piece of propaganda highlighting the lgbt rights record of Israel as a function of obscuring or legitimating its occupation of Palestine.2 Repurposed in 2009 from campaigns to critique facile medical corporate support of breast cancer research, </w:t>
      </w:r>
      <w:r w:rsidRPr="006C71B6">
        <w:rPr>
          <w:rStyle w:val="StyleUnderline"/>
          <w:rFonts w:cs="Calibri"/>
        </w:rPr>
        <w:t xml:space="preserve">pinkwashing has been redefined as the Israeli state’s use of its admittedly stellar lgbt rights record to deflect attention from, and in some instances to </w:t>
      </w:r>
      <w:r w:rsidRPr="00FE30C0">
        <w:rPr>
          <w:rStyle w:val="StyleUnderline"/>
        </w:rPr>
        <w:t>justify or legitimate, its occupation of Palestine</w:t>
      </w:r>
      <w:r w:rsidRPr="006C71B6">
        <w:rPr>
          <w:rStyle w:val="StyleUnderline"/>
          <w:rFonts w:cs="Calibri"/>
        </w:rPr>
        <w:t>. Resonating within a receptive field of globalized Islamophobia</w:t>
      </w:r>
      <w:r w:rsidRPr="006C71B6">
        <w:rPr>
          <w:rFonts w:cs="Calibri"/>
          <w:sz w:val="16"/>
        </w:rPr>
        <w:t xml:space="preserve"> significantly </w:t>
      </w:r>
      <w:r w:rsidRPr="006C71B6">
        <w:rPr>
          <w:rStyle w:val="StyleUnderline"/>
          <w:rFonts w:cs="Calibri"/>
        </w:rPr>
        <w:t>amplified since</w:t>
      </w:r>
      <w:r w:rsidRPr="006C71B6">
        <w:rPr>
          <w:rFonts w:cs="Calibri"/>
          <w:sz w:val="16"/>
        </w:rPr>
        <w:t xml:space="preserve"> September 11, </w:t>
      </w:r>
      <w:r w:rsidRPr="006C71B6">
        <w:rPr>
          <w:rStyle w:val="StyleUnderline"/>
          <w:rFonts w:cs="Calibri"/>
        </w:rPr>
        <w:t>2001</w:t>
      </w:r>
      <w:r w:rsidRPr="006C71B6">
        <w:rPr>
          <w:rFonts w:cs="Calibri"/>
          <w:sz w:val="16"/>
        </w:rPr>
        <w:t xml:space="preserve">, </w:t>
      </w:r>
      <w:r w:rsidRPr="006C71B6">
        <w:rPr>
          <w:rStyle w:val="StyleUnderline"/>
          <w:rFonts w:cs="Calibri"/>
        </w:rPr>
        <w:t>this messaging is reliant on a civilizational narrative about the modernity of the Israelis juxtaposed against the backward homophobia of the Palestinians</w:t>
      </w:r>
      <w:r w:rsidRPr="006C71B6">
        <w:rPr>
          <w:rFonts w:cs="Calibri"/>
          <w:sz w:val="16"/>
        </w:rPr>
        <w:t xml:space="preserve">. As such, </w:t>
      </w:r>
      <w:r w:rsidRPr="006C71B6">
        <w:rPr>
          <w:rStyle w:val="StyleUnderline"/>
          <w:rFonts w:cs="Calibri"/>
        </w:rPr>
        <w:t>pinkwashing</w:t>
      </w:r>
      <w:r w:rsidRPr="006C71B6">
        <w:rPr>
          <w:rFonts w:cs="Calibri"/>
          <w:sz w:val="16"/>
        </w:rPr>
        <w:t xml:space="preserve"> has become a commonly used tag for the cynical promotion of lgbt bodies as representative of Israeli democracy. More generally, it </w:t>
      </w:r>
      <w:r w:rsidRPr="006C71B6">
        <w:rPr>
          <w:rStyle w:val="StyleUnderline"/>
          <w:rFonts w:cs="Calibri"/>
        </w:rPr>
        <w:t xml:space="preserve">is </w:t>
      </w:r>
      <w:r w:rsidRPr="00FE30C0">
        <w:rPr>
          <w:rStyle w:val="StyleUnderline"/>
        </w:rPr>
        <w:t xml:space="preserve">the erasure of hierarchies of power </w:t>
      </w:r>
      <w:r w:rsidRPr="006C71B6">
        <w:rPr>
          <w:rStyle w:val="StyleUnderline"/>
          <w:rFonts w:cs="Calibri"/>
        </w:rPr>
        <w:t>through the favoring of the “gay-friendly nation” imagery. It is a discourse about civilizational superiority that relies on a transparent and uninterrogated construction of “Palestinian homophobia” contingent upon the foreclosure of any questioning about “Israeli homophobia.”</w:t>
      </w:r>
      <w:r w:rsidRPr="006C71B6">
        <w:rPr>
          <w:rFonts w:cs="Calibri"/>
          <w:sz w:val="16"/>
        </w:rPr>
        <w:t xml:space="preserve"> Besides making Zionism more appealing to (Euro-American) gays, </w:t>
      </w:r>
      <w:r w:rsidRPr="006C71B6">
        <w:rPr>
          <w:rStyle w:val="StyleUnderline"/>
          <w:rFonts w:cs="Calibri"/>
        </w:rPr>
        <w:lastRenderedPageBreak/>
        <w:t>part of the mechanism</w:t>
      </w:r>
      <w:r w:rsidRPr="006C71B6">
        <w:rPr>
          <w:rFonts w:cs="Calibri"/>
          <w:sz w:val="16"/>
        </w:rPr>
        <w:t xml:space="preserve"> at work that benefits Israel </w:t>
      </w:r>
      <w:r w:rsidRPr="006C71B6">
        <w:rPr>
          <w:rStyle w:val="StyleUnderline"/>
          <w:rFonts w:cs="Calibri"/>
        </w:rPr>
        <w:t>is a disciplining of Palestinian queers into legible subjects</w:t>
      </w:r>
      <w:r w:rsidRPr="006C71B6">
        <w:rPr>
          <w:rFonts w:cs="Calibri"/>
          <w:sz w:val="16"/>
        </w:rPr>
        <w:t xml:space="preserve">. At the same time, as Haneen Maikey has noted, </w:t>
      </w:r>
      <w:r w:rsidRPr="006C71B6">
        <w:rPr>
          <w:rStyle w:val="StyleUnderline"/>
          <w:rFonts w:cs="Calibri"/>
        </w:rPr>
        <w:t>the most</w:t>
      </w:r>
      <w:r w:rsidRPr="006C71B6">
        <w:rPr>
          <w:rFonts w:cs="Calibri"/>
          <w:sz w:val="16"/>
        </w:rPr>
        <w:t xml:space="preserve"> relevant and </w:t>
      </w:r>
      <w:r w:rsidRPr="006C71B6">
        <w:rPr>
          <w:rStyle w:val="StyleUnderline"/>
          <w:rFonts w:cs="Calibri"/>
        </w:rPr>
        <w:t xml:space="preserve">damning effect of pinkwashing is its contribution to the processes of </w:t>
      </w:r>
      <w:r w:rsidRPr="00FE30C0">
        <w:rPr>
          <w:rStyle w:val="StyleUnderline"/>
        </w:rPr>
        <w:t>internal colonization</w:t>
      </w:r>
      <w:r w:rsidRPr="006C71B6">
        <w:rPr>
          <w:rStyle w:val="StyleUnderline"/>
          <w:rFonts w:cs="Calibri"/>
        </w:rPr>
        <w:t>: the naturalization of Israeli superiority by Palestinians themselves</w:t>
      </w:r>
      <w:r w:rsidRPr="006C71B6">
        <w:rPr>
          <w:rFonts w:cs="Calibri"/>
          <w:sz w:val="16"/>
        </w:rPr>
        <w:t xml:space="preserve">. The most important targets of </w:t>
      </w:r>
      <w:r w:rsidRPr="006C71B6">
        <w:rPr>
          <w:rStyle w:val="StyleUnderline"/>
          <w:rFonts w:cs="Calibri"/>
        </w:rPr>
        <w:t>pinkwashing</w:t>
      </w:r>
      <w:r w:rsidRPr="006C71B6">
        <w:rPr>
          <w:rFonts w:cs="Calibri"/>
          <w:sz w:val="16"/>
        </w:rPr>
        <w:t xml:space="preserve"> therefore are not actually Euro-American gay tourists but (queer and gay) Palestinians themselves.3 As such, I would argue that it </w:t>
      </w:r>
      <w:r w:rsidRPr="006C71B6">
        <w:rPr>
          <w:rStyle w:val="StyleUnderline"/>
          <w:rFonts w:cs="Calibri"/>
        </w:rPr>
        <w:t xml:space="preserve">functions dually, as a form of </w:t>
      </w:r>
      <w:r w:rsidRPr="00FE30C0">
        <w:rPr>
          <w:rStyle w:val="StyleUnderline"/>
        </w:rPr>
        <w:t>discursive preemptive securitization</w:t>
      </w:r>
      <w:r w:rsidRPr="006C71B6">
        <w:rPr>
          <w:rStyle w:val="StyleUnderline"/>
          <w:rFonts w:cs="Calibri"/>
        </w:rPr>
        <w:t xml:space="preserve"> that marshals neo-orientalist fears of Palestinians as backward, sexually repressed terrorists, and as an </w:t>
      </w:r>
      <w:r w:rsidRPr="00FE30C0">
        <w:rPr>
          <w:rStyle w:val="StyleUnderline"/>
        </w:rPr>
        <w:t>intense mode of subjugation of Palestinians under settler colonial rule</w:t>
      </w:r>
      <w:r w:rsidRPr="006C71B6">
        <w:rPr>
          <w:rFonts w:cs="Calibri"/>
          <w:sz w:val="16"/>
        </w:rPr>
        <w:t xml:space="preserve">. For whom is pinkwashing legible and persuasive as a political discourse, and why? First of all, </w:t>
      </w:r>
      <w:r w:rsidRPr="006C71B6">
        <w:rPr>
          <w:rStyle w:val="StyleUnderline"/>
          <w:rFonts w:cs="Calibri"/>
        </w:rPr>
        <w:t xml:space="preserve">a </w:t>
      </w:r>
      <w:r w:rsidRPr="00FE30C0">
        <w:rPr>
          <w:rStyle w:val="StyleUnderline"/>
        </w:rPr>
        <w:t xml:space="preserve">neoliberal accommodationist economic structure </w:t>
      </w:r>
      <w:r w:rsidRPr="006C71B6">
        <w:rPr>
          <w:rStyle w:val="StyleUnderline"/>
          <w:rFonts w:cs="Calibri"/>
        </w:rPr>
        <w:t xml:space="preserve">engenders the niche marketing of various ethnic and minoritized groups and has </w:t>
      </w:r>
      <w:r w:rsidRPr="00FE30C0">
        <w:rPr>
          <w:rStyle w:val="StyleUnderline"/>
        </w:rPr>
        <w:t>normalized the production of a gay and lesbian tourism industry</w:t>
      </w:r>
      <w:r w:rsidRPr="006C71B6">
        <w:rPr>
          <w:rStyle w:val="StyleUnderline"/>
          <w:rFonts w:cs="Calibri"/>
        </w:rPr>
        <w:t xml:space="preserve"> built on the discursive distinction between gay-friendly and not-gayfriendly destinations.</w:t>
      </w:r>
      <w:r w:rsidRPr="006C71B6">
        <w:rPr>
          <w:rFonts w:cs="Calibri"/>
          <w:sz w:val="16"/>
        </w:rPr>
        <w:t xml:space="preserve">4 The claims of pinkwashing are often seen as plausible when rendered through an lgbt rights discourse that resonates within North America and Europe as a dominant measurement of teleological progress.5 These claims make far less sense in the “Middle East,” for example, where there is a healthy skepticism about the universalizing of lgbt rights discourses and where knowledge of the complexities of sexualities in the region is far more nuanced. Additionally, in some senses Israel is a pioneer of </w:t>
      </w:r>
      <w:r w:rsidRPr="006C71B6">
        <w:rPr>
          <w:rStyle w:val="StyleUnderline"/>
          <w:rFonts w:cs="Calibri"/>
        </w:rPr>
        <w:t>homonationalism</w:t>
      </w:r>
      <w:r w:rsidRPr="006C71B6">
        <w:rPr>
          <w:rFonts w:cs="Calibri"/>
          <w:sz w:val="16"/>
        </w:rPr>
        <w:t xml:space="preserve">, as its particular position at the crosshairs of </w:t>
      </w:r>
      <w:r w:rsidRPr="006C71B6">
        <w:rPr>
          <w:rStyle w:val="StyleUnderline"/>
          <w:rFonts w:cs="Calibri"/>
        </w:rPr>
        <w:t>settler colonialism</w:t>
      </w:r>
      <w:r w:rsidRPr="006C71B6">
        <w:rPr>
          <w:rFonts w:cs="Calibri"/>
          <w:sz w:val="16"/>
        </w:rPr>
        <w:t xml:space="preserve">, occupation, </w:t>
      </w:r>
      <w:r w:rsidRPr="006C71B6">
        <w:rPr>
          <w:rStyle w:val="StyleUnderline"/>
          <w:rFonts w:cs="Calibri"/>
        </w:rPr>
        <w:t xml:space="preserve">and neoliberalist accommodationism creates the perfect storm for the </w:t>
      </w:r>
      <w:r w:rsidRPr="00FE30C0">
        <w:rPr>
          <w:rStyle w:val="StyleUnderline"/>
        </w:rPr>
        <w:t>normalization of homosexuality through national belonging</w:t>
      </w:r>
      <w:r w:rsidRPr="006C71B6">
        <w:rPr>
          <w:rStyle w:val="StyleUnderline"/>
          <w:rFonts w:cs="Calibri"/>
        </w:rPr>
        <w:t>.</w:t>
      </w:r>
      <w:r w:rsidRPr="006C71B6">
        <w:rPr>
          <w:rFonts w:cs="Calibri"/>
          <w:sz w:val="16"/>
        </w:rPr>
        <w:t xml:space="preserve"> The homonationalist history of Israel illuminates a burgeoning of lgbt rights and increased mobility for gays and lesbians during the concomitant increased segregation and decreased mobility of Palestinian populations, especially post-Oslo. I have detailed this point at greater length elsewhere, but to quickly summarize: the advent of gay rights in Israel begins around the same time as the first intifada, with the 1990s known as Israel’s “gay decade” brought on by the legalization of homosexuality in the Israeli Defense Forces, workplace antidiscrimination provisions, and numerous other legislative changes.6 The idf becomes a notable site of homonationalist distinction in relation to other countries in the “Middle East,” as “Only in Israel” can “Gay Officers Serve Their Country.” </w:t>
      </w:r>
      <w:r w:rsidRPr="006C71B6">
        <w:rPr>
          <w:rStyle w:val="StyleUnderline"/>
          <w:rFonts w:cs="Calibri"/>
        </w:rPr>
        <w:t xml:space="preserve">The financial, military, affective, and ideological entwinement of U.S. </w:t>
      </w:r>
      <w:r w:rsidRPr="006C71B6">
        <w:rPr>
          <w:rFonts w:cs="Calibri"/>
          <w:sz w:val="16"/>
        </w:rPr>
        <w:t xml:space="preserve">and Israeli settler colonialisms, </w:t>
      </w:r>
      <w:r w:rsidRPr="006C71B6">
        <w:rPr>
          <w:rStyle w:val="StyleUnderline"/>
          <w:rFonts w:cs="Calibri"/>
        </w:rPr>
        <w:t>and the role of the United States more generally</w:t>
      </w:r>
      <w:r w:rsidRPr="006C71B6">
        <w:rPr>
          <w:rFonts w:cs="Calibri"/>
          <w:sz w:val="16"/>
        </w:rPr>
        <w:t xml:space="preserve">, </w:t>
      </w:r>
      <w:r w:rsidRPr="006C71B6">
        <w:rPr>
          <w:rStyle w:val="StyleUnderline"/>
          <w:rFonts w:cs="Calibri"/>
        </w:rPr>
        <w:t>should</w:t>
      </w:r>
      <w:r w:rsidRPr="006C71B6">
        <w:rPr>
          <w:rFonts w:cs="Calibri"/>
          <w:sz w:val="16"/>
        </w:rPr>
        <w:t xml:space="preserve"> also </w:t>
      </w:r>
      <w:r w:rsidRPr="006C71B6">
        <w:rPr>
          <w:rStyle w:val="StyleUnderline"/>
          <w:rFonts w:cs="Calibri"/>
        </w:rPr>
        <w:t>not be minimized when evaluating why pinkwashing appears to be an effective discursive strategy</w:t>
      </w:r>
      <w:r w:rsidRPr="006C71B6">
        <w:rPr>
          <w:rFonts w:cs="Calibri"/>
          <w:sz w:val="16"/>
        </w:rPr>
        <w:t xml:space="preserve">.7 </w:t>
      </w:r>
      <w:r w:rsidRPr="00FE30C0">
        <w:rPr>
          <w:rStyle w:val="StyleUnderline"/>
        </w:rPr>
        <w:t>The United States and Israel are the greatest beneficiaries of homonationalism</w:t>
      </w:r>
      <w:r w:rsidRPr="006C71B6">
        <w:rPr>
          <w:rStyle w:val="StyleUnderline"/>
          <w:rFonts w:cs="Calibri"/>
        </w:rPr>
        <w:t xml:space="preserve"> in the current global geopolitical order</w:t>
      </w:r>
      <w:r w:rsidRPr="006C71B6">
        <w:rPr>
          <w:rFonts w:cs="Calibri"/>
          <w:sz w:val="16"/>
        </w:rPr>
        <w:t xml:space="preserve">, as </w:t>
      </w:r>
      <w:r w:rsidRPr="006C71B6">
        <w:rPr>
          <w:rStyle w:val="StyleUnderline"/>
          <w:rFonts w:cs="Calibri"/>
        </w:rPr>
        <w:t>homonationalism operates to manage difference on the scalar registers of the internal, territorial, and global</w:t>
      </w:r>
      <w:r w:rsidRPr="006C71B6">
        <w:rPr>
          <w:rFonts w:cs="Calibri"/>
          <w:sz w:val="16"/>
        </w:rPr>
        <w:t xml:space="preserve">. Moreover, </w:t>
      </w:r>
      <w:r w:rsidRPr="006C71B6">
        <w:rPr>
          <w:rStyle w:val="StyleUnderline"/>
          <w:rFonts w:cs="Calibri"/>
        </w:rPr>
        <w:t>pinkwashing is an ideological and economic solicitation directed to the United States</w:t>
      </w:r>
      <w:r w:rsidRPr="006C71B6">
        <w:rPr>
          <w:rFonts w:cs="Calibri"/>
          <w:sz w:val="16"/>
        </w:rPr>
        <w:t>—</w:t>
      </w:r>
      <w:r w:rsidRPr="006C71B6">
        <w:rPr>
          <w:rStyle w:val="StyleUnderline"/>
          <w:rFonts w:cs="Calibri"/>
        </w:rPr>
        <w:t>Israel’s greatest financial supporter internationally</w:t>
      </w:r>
      <w:r w:rsidRPr="006C71B6">
        <w:rPr>
          <w:rFonts w:cs="Calibri"/>
          <w:sz w:val="16"/>
        </w:rPr>
        <w:t xml:space="preserve">—and to EuroAmerican gays who have the political capital and financial resources to invest in Israel. Thus, </w:t>
      </w:r>
      <w:r w:rsidRPr="006C71B6">
        <w:rPr>
          <w:rStyle w:val="StyleUnderline"/>
          <w:rFonts w:cs="Calibri"/>
        </w:rPr>
        <w:t xml:space="preserve">pinkwashing’s unconscious appeal to U.S. gays is produced through </w:t>
      </w:r>
      <w:r w:rsidRPr="00FE30C0">
        <w:rPr>
          <w:rStyle w:val="StyleUnderline"/>
        </w:rPr>
        <w:t>the erasure of U.S. settler colonialism</w:t>
      </w:r>
      <w:r w:rsidRPr="006C71B6">
        <w:rPr>
          <w:rStyle w:val="StyleUnderline"/>
          <w:rFonts w:cs="Calibri"/>
        </w:rPr>
        <w:t xml:space="preserve"> enacted in the tacit endorsement of Israel’s occupation of Palestine.</w:t>
      </w:r>
      <w:r w:rsidRPr="006C71B6">
        <w:rPr>
          <w:rFonts w:cs="Calibri"/>
          <w:sz w:val="16"/>
        </w:rPr>
        <w:t xml:space="preserve">8 But </w:t>
      </w:r>
      <w:r w:rsidRPr="006C71B6">
        <w:rPr>
          <w:rStyle w:val="StyleUnderline"/>
          <w:rFonts w:cs="Calibri"/>
        </w:rPr>
        <w:t>pinkwashing</w:t>
      </w:r>
      <w:r w:rsidRPr="006C71B6">
        <w:rPr>
          <w:rFonts w:cs="Calibri"/>
          <w:sz w:val="16"/>
        </w:rPr>
        <w:t xml:space="preserve"> has many antecedents; it </w:t>
      </w:r>
      <w:r w:rsidRPr="006C71B6">
        <w:rPr>
          <w:rStyle w:val="StyleUnderline"/>
          <w:rFonts w:cs="Calibri"/>
        </w:rPr>
        <w:t xml:space="preserve">is one more </w:t>
      </w:r>
      <w:r w:rsidRPr="00FE30C0">
        <w:rPr>
          <w:rStyle w:val="StyleUnderline"/>
        </w:rPr>
        <w:t>justification of colonial rule in the long history of imperial, racial, and national violence</w:t>
      </w:r>
      <w:r w:rsidRPr="006C71B6">
        <w:rPr>
          <w:rFonts w:cs="Calibri"/>
          <w:sz w:val="16"/>
        </w:rPr>
        <w:t xml:space="preserve">. How has “the homosexual question” come to supplement “the woman question” of the colonial era to modulate arbitration between modernity and tradition, citizen and terrorist, homonational and queer? As elaborated by Partha Chatterjee, this question arose with some force in the decolonization movements in South Asia, whereby the capacity for an emerging postcolonial government to protect native women from oppressive patriarchal cultural practices, marked as tradition, became the barometer by which colonizers arbitrated political concessions made to the colonized.9 Here echoes Gayatri Spivak’s famous dictum regarding the colonial project: “white men saving brown women from brown men.”10 Over time the terms of the woman question have been redictated, from the nineteenthcentury formulation of white women’s relation to colonial women as the “white woman’s burden” to present-day liberal feminist scholars who have become the arbiters of other women’s modernity, or the modernity of the Other Woman. To reinvoke Spivak for the twentieth and twenty-first centuries, then: white women saving brown women from brown men. The white woman’s burden from the nineteenth century is regenerated for contemporary deployment through liberal feminist frames within human rights discourses. While the woman question has hardly disappeared as a liberal missionary narrative design, it is now accompanied by another formulation: white queers (queer men?) saving brown homosexuals from brown heterosexuals.11 I call this the homosexual question: How well do you treat your homosexuals? A mere thirty years ago this question was of no relevance to the evaluation of a nation’s capacity for sovereign governance. </w:t>
      </w:r>
      <w:r w:rsidRPr="006C71B6">
        <w:rPr>
          <w:rStyle w:val="StyleUnderline"/>
          <w:rFonts w:cs="Calibri"/>
        </w:rPr>
        <w:t>The homosexual question</w:t>
      </w:r>
      <w:r w:rsidRPr="006C71B6">
        <w:rPr>
          <w:rFonts w:cs="Calibri"/>
          <w:sz w:val="16"/>
        </w:rPr>
        <w:t xml:space="preserve"> is in fact a reiteration of the woman question, insofar as it </w:t>
      </w:r>
      <w:r w:rsidRPr="006C71B6">
        <w:rPr>
          <w:rStyle w:val="StyleUnderline"/>
          <w:rFonts w:cs="Calibri"/>
        </w:rPr>
        <w:t xml:space="preserve">reproduces a demand for gender exceptionalism, relies on the continual reproduction of the gender binary, and </w:t>
      </w:r>
      <w:r w:rsidRPr="006C71B6">
        <w:rPr>
          <w:rFonts w:cs="Calibri"/>
          <w:sz w:val="16"/>
        </w:rPr>
        <w:t xml:space="preserve">as with the advertisement described above, </w:t>
      </w:r>
      <w:r w:rsidRPr="006C71B6">
        <w:rPr>
          <w:rStyle w:val="StyleUnderline"/>
          <w:rFonts w:cs="Calibri"/>
        </w:rPr>
        <w:t xml:space="preserve">embraces </w:t>
      </w:r>
      <w:r w:rsidRPr="006C71B6">
        <w:rPr>
          <w:rStyle w:val="StyleUnderline"/>
          <w:rFonts w:cs="Calibri"/>
        </w:rPr>
        <w:lastRenderedPageBreak/>
        <w:t>queer bodies that are cisgender and gender conforming. The homosexuals hailed by the nation-state are not gender queer or gender nonconforming—they are, rather, the ones re-creating cisgender norms through, rather than despite, homosexual identity</w:t>
      </w:r>
      <w:r w:rsidRPr="006C71B6">
        <w:rPr>
          <w:rFonts w:cs="Calibri"/>
          <w:sz w:val="16"/>
        </w:rPr>
        <w:t xml:space="preserve">. </w:t>
      </w:r>
      <w:r w:rsidRPr="006C71B6">
        <w:rPr>
          <w:rStyle w:val="StyleUnderline"/>
          <w:rFonts w:cs="Calibri"/>
        </w:rPr>
        <w:t xml:space="preserve">Obscured by pinkwashing is how </w:t>
      </w:r>
      <w:r w:rsidRPr="00FE30C0">
        <w:rPr>
          <w:rStyle w:val="StyleUnderline"/>
        </w:rPr>
        <w:t>trans and gender-nonconforming queers are not welcome in this new version of the proper “homonationalist” Israeli citizen</w:t>
      </w:r>
      <w:r w:rsidRPr="006C71B6">
        <w:rPr>
          <w:rFonts w:cs="Calibri"/>
          <w:sz w:val="16"/>
        </w:rPr>
        <w:t xml:space="preserve">. What was also known as “the Jewish question,” a series of debates in the nineteenth century and early twentieth century in Europe interrogating the capacity for Jewish populations to assimilate, hinged on religious difference as the defining obstacle to Jews achieving European modernity.12 Pivotal to my analysis, therefore, is that a quasi resolution to the Jewish question reworks the denigrated effeminate masculinity of nineteenth-century European Jewry into the elevated, rehabilitated, secular, homonationalist masculinity of the occupying and settler colonialist Israeli state. Pinkwashing also obscures the persistent downplaying of the woman question, and attendant feminist struggles, in relation to the homosexual question. </w:t>
      </w:r>
      <w:r w:rsidRPr="006C71B6">
        <w:rPr>
          <w:rStyle w:val="StyleUnderline"/>
          <w:rFonts w:cs="Calibri"/>
        </w:rPr>
        <w:t>Gender segregation in some</w:t>
      </w:r>
      <w:r w:rsidRPr="006C71B6">
        <w:rPr>
          <w:rFonts w:cs="Calibri"/>
          <w:sz w:val="16"/>
        </w:rPr>
        <w:t xml:space="preserve"> ultra-</w:t>
      </w:r>
      <w:r w:rsidRPr="006C71B6">
        <w:rPr>
          <w:rStyle w:val="StyleUnderline"/>
          <w:rFonts w:cs="Calibri"/>
        </w:rPr>
        <w:t>Orthodox Jewish communities in Israel is still an active practice</w:t>
      </w:r>
      <w:r w:rsidRPr="006C71B6">
        <w:rPr>
          <w:rFonts w:cs="Calibri"/>
          <w:sz w:val="16"/>
        </w:rPr>
        <w:t xml:space="preserve">, for one example.13 Another is how the homosexual question might eclipse the woman question for gay and lesbian consumers. </w:t>
      </w:r>
      <w:r w:rsidRPr="006C71B6">
        <w:rPr>
          <w:rStyle w:val="StyleUnderline"/>
          <w:rFonts w:cs="Calibri"/>
        </w:rPr>
        <w:t>On January 11, 2011, the same day that Tel Aviv’s dubious honor as the “world’s best gay city” was announced, an amendment to Israel’s citizenship laws that prohibits the unification of West Bank Palestinians with their spouses in Israel was upheld by the High Court of Justice</w:t>
      </w:r>
      <w:r w:rsidRPr="006C71B6">
        <w:rPr>
          <w:rFonts w:cs="Calibri"/>
          <w:sz w:val="16"/>
        </w:rPr>
        <w:t xml:space="preserve">.14 As Nadera Shalhoub-Kevorkian explains, the citizenship law was approved by the Knesset in 2007 and prohibits Palestinian spouses or children of Israeli citizens from receiving permanent residency or citizenship in Israel.15 </w:t>
      </w:r>
      <w:r w:rsidRPr="006C71B6">
        <w:rPr>
          <w:rStyle w:val="StyleUnderline"/>
          <w:rFonts w:cs="Calibri"/>
        </w:rPr>
        <w:t>The passage of “social suitability” laws, attempts at regulating sexual activities between foreign laborers and Israeli Jews, and the efforts of vigilante groups and social organizations that monitor and agitate against sexual liaisons between Israeli Jewish women and Palestinian men: these are forms of (hetero)sexual regulation that are submerged in the pinkwashed stories of lgbt liberation.</w:t>
      </w:r>
      <w:r w:rsidRPr="006C71B6">
        <w:rPr>
          <w:rFonts w:cs="Calibri"/>
          <w:sz w:val="16"/>
        </w:rPr>
        <w:t xml:space="preserve"> </w:t>
      </w:r>
      <w:r w:rsidRPr="00FE30C0">
        <w:rPr>
          <w:rStyle w:val="StyleUnderline"/>
        </w:rPr>
        <w:t>Regulation across homo-hetero divides seeks to constrict the sexual, ethnic, reproductive, and familial activities of all bodies not deemed suitable for the Israeli body politic.</w:t>
      </w:r>
      <w:r w:rsidRPr="006C71B6">
        <w:rPr>
          <w:rFonts w:cs="Calibri"/>
          <w:sz w:val="16"/>
        </w:rPr>
        <w:t xml:space="preserve">16 </w:t>
      </w:r>
      <w:r w:rsidRPr="006C71B6">
        <w:rPr>
          <w:rStyle w:val="StyleUnderline"/>
          <w:rFonts w:cs="Calibri"/>
        </w:rPr>
        <w:t xml:space="preserve">Pinkwashing thus does more than work through an active portrayal of the Palestinian population as homophobic and thus unworthy of liberation; </w:t>
      </w:r>
      <w:r w:rsidRPr="00FE30C0">
        <w:rPr>
          <w:rStyle w:val="StyleUnderline"/>
        </w:rPr>
        <w:t>the biopolitical target is arguably even more so the control of heterosexual reproduction</w:t>
      </w:r>
      <w:r w:rsidRPr="006C71B6">
        <w:rPr>
          <w:rStyle w:val="StyleUnderline"/>
          <w:rFonts w:cs="Calibri"/>
        </w:rPr>
        <w:t>.</w:t>
      </w:r>
      <w:r w:rsidRPr="006C71B6">
        <w:rPr>
          <w:rFonts w:cs="Calibri"/>
          <w:sz w:val="16"/>
        </w:rPr>
        <w:t xml:space="preserve"> Furthermore, </w:t>
      </w:r>
      <w:r w:rsidRPr="006C71B6">
        <w:rPr>
          <w:rStyle w:val="StyleUnderline"/>
          <w:rFonts w:cs="Calibri"/>
        </w:rPr>
        <w:t>we see in the advertisement described earlier that there are many forms of normativity proliferating</w:t>
      </w:r>
      <w:r w:rsidRPr="006C71B6">
        <w:rPr>
          <w:rFonts w:cs="Calibri"/>
          <w:sz w:val="16"/>
        </w:rPr>
        <w:t xml:space="preserve">. The fact that the opening scene suggests two heterosexual couples reflects certain versions of gender and racial normativity. </w:t>
      </w:r>
      <w:r w:rsidRPr="006C71B6">
        <w:rPr>
          <w:rStyle w:val="StyleUnderline"/>
          <w:rFonts w:cs="Calibri"/>
        </w:rPr>
        <w:t>Blackness in the video stands in for diversity and seeks to solicit African American and Afro-Canadian audiences, while also deflecting from the lack of presence of any notably Arab bodies</w:t>
      </w:r>
      <w:r w:rsidRPr="006C71B6">
        <w:rPr>
          <w:rFonts w:cs="Calibri"/>
          <w:sz w:val="16"/>
        </w:rPr>
        <w:t xml:space="preserve">.17 </w:t>
      </w:r>
      <w:r w:rsidRPr="006C71B6">
        <w:rPr>
          <w:rStyle w:val="StyleUnderline"/>
          <w:rFonts w:cs="Calibri"/>
        </w:rPr>
        <w:t>This is</w:t>
      </w:r>
      <w:r w:rsidRPr="006C71B6">
        <w:rPr>
          <w:rFonts w:cs="Calibri"/>
          <w:sz w:val="16"/>
        </w:rPr>
        <w:t xml:space="preserve"> truly </w:t>
      </w:r>
      <w:r w:rsidRPr="006C71B6">
        <w:rPr>
          <w:rStyle w:val="StyleUnderline"/>
          <w:rFonts w:cs="Calibri"/>
        </w:rPr>
        <w:t>notable given the efforts that the Israeli government is making to recruit African Americans</w:t>
      </w:r>
      <w:r w:rsidRPr="006C71B6">
        <w:rPr>
          <w:rFonts w:cs="Calibri"/>
          <w:sz w:val="16"/>
        </w:rPr>
        <w:t xml:space="preserve"> into the Brand Israel project and African American Jews </w:t>
      </w:r>
      <w:r w:rsidRPr="006C71B6">
        <w:rPr>
          <w:rStyle w:val="StyleUnderline"/>
          <w:rFonts w:cs="Calibri"/>
        </w:rPr>
        <w:t>into birthright projects.</w:t>
      </w:r>
      <w:r w:rsidRPr="006C71B6">
        <w:rPr>
          <w:rFonts w:cs="Calibri"/>
          <w:sz w:val="16"/>
        </w:rPr>
        <w:t xml:space="preserve"> 18 </w:t>
      </w:r>
      <w:r w:rsidRPr="006C71B6">
        <w:rPr>
          <w:rStyle w:val="StyleUnderline"/>
          <w:rFonts w:cs="Calibri"/>
        </w:rPr>
        <w:t xml:space="preserve">In Israel, Ethiopian Jewish women have been subjected to forced sterilization, and African populations have been protesting their labor conditions </w:t>
      </w:r>
      <w:r w:rsidRPr="006C71B6">
        <w:rPr>
          <w:rFonts w:cs="Calibri"/>
          <w:sz w:val="16"/>
        </w:rPr>
        <w:t>and are connecting to Black Lives Matter organizing. 19 Finally, the reclaiming of small size is worthy of mention. Tourism literature compares Israel to the state of New Jersey—“Israel is the size of New Jersey.”20 The focus on size might reflect the anxious histories of debilitation and rehabilitation in the establishment and development of the state of Israel. The notation of the “small” size of Israel is often encased in compensatory rhetoric. In this chapter I am interested in what else pinkwashing regulates besides and alongside sexual orientation. I map out a broader biopolitical portrait of sexual regulation in the Israeli occupation of Palestine and elaborate sexuality as an assemblage not anchored through the prism of queer, lesbian, gay, bisexual, or trans identities. I am interested in this particular turn for several reasons that encompass both theoretical and pragmatic organizing issues. First, as a political response to pinkwashing in the U.S. context, I argue that it is crucial not to reiterate the fantasy of queer exceptionalism by responding to pinkwashing through an appeal to queer solidarity or queer resistance, but rather to connect the regulation of queerness to the regulation of sexuality and bodies writ large. The articulation of the specific connections between dif</w:t>
      </w:r>
      <w:r w:rsidRPr="006C71B6">
        <w:rPr>
          <w:rFonts w:cs="Calibri"/>
          <w:sz w:val="16"/>
        </w:rPr>
        <w:softHyphen/>
        <w:t xml:space="preserve">ferent kinds of sexualities—indeed, the sexual regulation of heterosexuality, in fact, miscegenated heterosexuality—not only provides a more nuanced understanding of how sex and biopolitics work in Palestine/Israel but also refuses to return the gaze of the exceptionalizing mandate of the Israeli state that insists on propping up homosexuals as sexual citizens par excellence.21 </w:t>
      </w:r>
      <w:r w:rsidRPr="006C71B6">
        <w:rPr>
          <w:rStyle w:val="StyleUnderline"/>
          <w:rFonts w:cs="Calibri"/>
        </w:rPr>
        <w:t>This portrait of biopolitical reproductive and regenerative mechanisms necessarily implicates convergences of gender, sexuality, race, nationalism, and bodily ability and disability.</w:t>
      </w:r>
      <w:r w:rsidRPr="006C71B6">
        <w:rPr>
          <w:rFonts w:cs="Calibri"/>
          <w:sz w:val="16"/>
        </w:rPr>
        <w:t xml:space="preserve"> Finally, </w:t>
      </w:r>
      <w:r w:rsidRPr="006C71B6">
        <w:rPr>
          <w:rStyle w:val="StyleUnderline"/>
          <w:rFonts w:cs="Calibri"/>
        </w:rPr>
        <w:t xml:space="preserve">what I am adding to the analysis of homonationalism is its imbrication in a nation-building project of rehabilitation, reproductive biopolitics, and the capacity and debility </w:t>
      </w:r>
      <w:r w:rsidRPr="006C71B6">
        <w:rPr>
          <w:rStyle w:val="StyleUnderline"/>
          <w:rFonts w:cs="Calibri"/>
        </w:rPr>
        <w:lastRenderedPageBreak/>
        <w:t>of bodies</w:t>
      </w:r>
      <w:r w:rsidRPr="006C71B6">
        <w:rPr>
          <w:rFonts w:cs="Calibri"/>
          <w:sz w:val="16"/>
        </w:rPr>
        <w:t xml:space="preserve">; how </w:t>
      </w:r>
      <w:r w:rsidRPr="006C71B6">
        <w:rPr>
          <w:rStyle w:val="StyleUnderline"/>
          <w:rFonts w:cs="Calibri"/>
        </w:rPr>
        <w:t>ableism and hetero and homo reproduction are entwined</w:t>
      </w:r>
      <w:r w:rsidRPr="006C71B6">
        <w:rPr>
          <w:rFonts w:cs="Calibri"/>
          <w:sz w:val="16"/>
        </w:rPr>
        <w:t xml:space="preserve">. This chapter draws on the latest research from Israel 48 (a reference to the 1948 borders of Israel and a term used by those supporting the Palestinian right of return) on reproductive rights, disability organizing, and lgbtq rights. The analysis offered in this chapter does not seek to approximate or replicate an ethnographic or area studies analysis of the quotidian aspects of living with disability, with queerness, or with the facets of reproductive duress that drive the biopolitical logic of the occupation. Rather, I hope to offer a diagram of sorts that enables researchers to take up these issues in more detail. I also wish, however, neither to reify the method of ethnography nor to prioritize any one version of area studies. </w:t>
      </w:r>
      <w:r w:rsidRPr="006C71B6">
        <w:rPr>
          <w:rStyle w:val="StyleUnderline"/>
          <w:rFonts w:cs="Calibri"/>
        </w:rPr>
        <w:t xml:space="preserve">The territorial project of Israeli occupation itself already lays bare the paradox of territory, wherein </w:t>
      </w:r>
      <w:r w:rsidRPr="00FE30C0">
        <w:rPr>
          <w:rStyle w:val="StyleUnderline"/>
        </w:rPr>
        <w:t>a deep historical connection to the land must be claimed but any genetic connection to the inhabitants of that land must be disavowed.</w:t>
      </w:r>
    </w:p>
    <w:p xmlns:wp14="http://schemas.microsoft.com/office/word/2010/wordml" w:rsidRPr="00FE30C0" w:rsidR="008263E8" w:rsidP="008263E8" w:rsidRDefault="008263E8" w14:paraId="238601FE" wp14:textId="77777777">
      <w:pPr>
        <w:rPr>
          <w:rStyle w:val="StyleUnderline"/>
        </w:rPr>
      </w:pPr>
    </w:p>
    <w:p xmlns:wp14="http://schemas.microsoft.com/office/word/2010/wordml" w:rsidR="008263E8" w:rsidP="008263E8" w:rsidRDefault="008263E8" w14:paraId="08C43553" wp14:textId="77777777">
      <w:pPr>
        <w:pStyle w:val="Heading3"/>
      </w:pPr>
      <w:r>
        <w:lastRenderedPageBreak/>
        <w:t>I: US gatekeeping</w:t>
      </w:r>
    </w:p>
    <w:p xmlns:wp14="http://schemas.microsoft.com/office/word/2010/wordml" w:rsidRPr="00C66D24" w:rsidR="008263E8" w:rsidP="008263E8" w:rsidRDefault="008263E8" w14:paraId="10F92D0E" wp14:textId="77777777">
      <w:pPr>
        <w:pStyle w:val="Heading4"/>
      </w:pPr>
      <w:r w:rsidRPr="00C66D24">
        <w:t>Problematic status quo definitions of queer citizenship are formulated in opposition to the incarcerated queer; “good” queerness has become affectively invested in the continued incarceration of those deemed less-than-worthy by the state. Compromises in favor of rights-focused legislation are unacceptable because to advocate for legal reform is to implicitly sustain the functioning of the necropolitics of incarceration and state-sanctioned death.</w:t>
      </w:r>
    </w:p>
    <w:p xmlns:wp14="http://schemas.microsoft.com/office/word/2010/wordml" w:rsidRPr="00D24EEF" w:rsidR="008263E8" w:rsidP="008263E8" w:rsidRDefault="008263E8" w14:paraId="5E5FC8D7" wp14:textId="77777777">
      <w:pPr>
        <w:rPr>
          <w:sz w:val="16"/>
        </w:rPr>
      </w:pPr>
      <w:r w:rsidRPr="00C66D24">
        <w:rPr>
          <w:rStyle w:val="Style13ptBold"/>
        </w:rPr>
        <w:t xml:space="preserve">Lamble 14 </w:t>
      </w:r>
      <w:r w:rsidRPr="00D24EEF">
        <w:rPr>
          <w:sz w:val="16"/>
        </w:rPr>
        <w:t>(Sarah, taught politics, law and gender studies at the University of Trent and at Kent Law School, has previously worked as an advocate for prisoners and has been involved in antiviolence and antipoverty community work in Canada and the UK, Queer investments in punitiveness: sexual citizenship, social movements and the expanding carceral state, Queer Necropolitics, 151-165, Jin Haritaworn, Adi Kuntsman and Silvia Posocco, Routledge, 2014) //jd</w:t>
      </w:r>
    </w:p>
    <w:p xmlns:wp14="http://schemas.microsoft.com/office/word/2010/wordml" w:rsidRPr="005C7DA9" w:rsidR="008263E8" w:rsidP="0673B170" w:rsidRDefault="008263E8" w14:paraId="52EB1BD3" wp14:textId="77777777" wp14:noSpellErr="1">
      <w:pPr>
        <w:rPr>
          <w:rFonts w:ascii="Calibri" w:hAnsi="Calibri" w:eastAsia="Calibri" w:cs="Calibri"/>
          <w:sz w:val="12"/>
          <w:szCs w:val="12"/>
        </w:rPr>
      </w:pPr>
      <w:r w:rsidRPr="0673B170" w:rsidR="0673B170">
        <w:rPr>
          <w:rStyle w:val="StyleUnderline"/>
        </w:rPr>
        <w:t xml:space="preserve">Sexual and gender-non-conforming people have long been punished for trans- gressing social norms. Yet in recent years, lesbian, gay, bisexual and transgender (LGBT) people have begun to invest in the punishment of others. Whether supporting hate crime legislation, calling for more police in gentrified ‘gay neighbourhoods’ or participating in police, prison and military recruitment campaigns, LGBT organizations that formerly fought against criminalization are becoming increasingly complicit with state projects of policing, imprison- ment and punishment </w:t>
      </w:r>
      <w:r w:rsidRPr="0673B170" w:rsidR="0673B170">
        <w:rPr>
          <w:sz w:val="12"/>
          <w:szCs w:val="12"/>
        </w:rPr>
        <w:t>(Agathangelou, Bassichis and Spira 2008; Spade 2011; Valverde and Cirak 2003).</w:t>
      </w:r>
      <w:r w:rsidRPr="0673B170" w:rsidR="0673B170">
        <w:rPr>
          <w:rStyle w:val="StyleUnderline"/>
        </w:rPr>
        <w:t xml:space="preserve"> Given the popular support for hate crime legislation in North America and Europe, many LGBT communities now partly measure their citizenship status on whether the state is willing to imprison other people on their behalf (Spade and Willse 2000). As the more race- and class-privileged members of LGBT communities are ushered into new forms of neoliberal citizen- ship – where buying power, respectability and nationalism are the price of welcome – ‘lesbian and gay rights’ discourse has marked a striking shift away from previous critiques of the carceral state and towards a growing desire for punitive politics.1 </w:t>
      </w:r>
      <w:r w:rsidRPr="0673B170" w:rsidR="0673B170">
        <w:rPr>
          <w:sz w:val="12"/>
          <w:szCs w:val="12"/>
        </w:rPr>
        <w:t xml:space="preserve">Describing these shifts as queer investments in punishment, this chapter explores the changing relationship between queer politics, sexual citizenship and the carceral state within ‘western liberal democracies’. Focusing on examples from the US and British contexts, this chapter considers how the neoliberal carceral state has shifted from being a key target of queer protest, to instead becoming a celebrated guardian of a narrowly defined sexual citizenship.2 Arguing that this process constitutes more than just another story of queer assimilation and co-optation, I suggest this shift reflects a deeper reconfiguration of sexual politics, where citizenship norms and practices are increasingly infused with a chillingly punitive and deathly logic. Queer investments in punishment In their incisive article ‘Intimate Investments: Homonormativity, Global Lockdown and the Seductions of Empire’, Agathangelou, Bassichis and Spira call attention to the ways in which queer subjects have been seduced into ‘affective economies’ of punishment and empire. Describing ‘affective economies’ as ‘the circulation and mobilization of feelings of desire, pleasure, fear, and repulsion, utilized to seduce all of us into the fold of the state’, </w:t>
      </w:r>
      <w:r w:rsidRPr="0673B170" w:rsidR="0673B170">
        <w:rPr>
          <w:rStyle w:val="StyleUnderline"/>
        </w:rPr>
        <w:t xml:space="preserve">Agathangelou et al. document the ways that social anxieties about crime, migration and economic insecurity are used to support practices of state violence such as war, occupation, imprisonment and border controls (2008: 122; see also Moran 2004). State violence is offered as a solution to such anxieties on the false promise that such practices will offer security and safety to those who embrace them. In other words, imprisonment, militar- ization and border controls are offered as antidotes to the precarities and insecurities of the contemporary neoliberal political order, by protecting against the dangerous others who threaten those who benefit from that order. </w:t>
      </w:r>
      <w:r w:rsidRPr="0673B170" w:rsidR="0673B170">
        <w:rPr>
          <w:rStyle w:val="StyleUnderline"/>
        </w:rPr>
        <w:t xml:space="preserve">These affective economies thus play on and exacerbate distinctions between proper citizens who are deemed worthy of security and protection, and dangerous non- citizens who must be civilized, disciplined or otherwise controlled. </w:t>
      </w:r>
      <w:r w:rsidRPr="0673B170" w:rsidR="0673B170">
        <w:rPr>
          <w:sz w:val="12"/>
          <w:szCs w:val="12"/>
        </w:rPr>
        <w:t xml:space="preserve">Building from this analysis, I use the term ‘queer investments in punishment’ to describe the material processes that accompany such affective economies, by literally channelling social, political and economic resources towards state prac- tices of punishment, incarceration and violence. Such investments work to both normalize punitive practices and naturalize the neoliberal carceral state3 as a legitimate response to social harm and injustice. Punishment here includes retribution in the conventional sense (e.g. practices that equate justice with ‘getting even’ through the infliction of pain and suffering on designated ‘perpetrators’), but also forms of socially sanctioned deprivation that are framed under less formally brutal rhetorics but nonetheless entail similarly punitive effects. Recent changes in welfare policy in the UK, Canada and US, for example, which apply sanctions to welfare recipients who ‘fail’ to comply with increasingly onerous rules, regulations and obligations, constitute clear forms of social, economic and criminal punishment (Barker and Lamble 2009; Chunn and Gavigan 2004). Such sanctions rely on categories of deserving and undeserving to determine which social benefits – previously understood as basic entitlements and now transformed </w:t>
      </w:r>
      <w:r w:rsidRPr="0673B170" w:rsidR="0673B170">
        <w:rPr>
          <w:sz w:val="12"/>
          <w:szCs w:val="12"/>
        </w:rPr>
        <w:t xml:space="preserve">into earned privileges – will be afforded or denied to whom. </w:t>
      </w:r>
      <w:r w:rsidRPr="0673B170" w:rsidR="0673B170">
        <w:rPr>
          <w:rStyle w:val="StyleUnderline"/>
        </w:rPr>
        <w:t>Punitive practices include those that take place on an international level – such as the growth in multinational prison industries and the use of retributive military strikes in the ‘global war on terror’ – but also those taking place on more local and personal scales. The latter encompasses daily social habits and interpersonal behaviours that normalize punitive relationships towards children, friends, neighbours and co-workers. Using emotional punishment as leverage in an argument with a lover, for example, arguably stems from, and feeds into, broader social norms that retribution is a legitimate means of dealing with conflict. Although enacted on a micro scale, these practices arguably resonate with the broader ‘affective economies of punishment and empire’ charted by Agathangelou and colleagues</w:t>
      </w:r>
      <w:r w:rsidRPr="0673B170" w:rsidR="0673B170">
        <w:rPr>
          <w:sz w:val="12"/>
          <w:szCs w:val="12"/>
        </w:rPr>
        <w:t xml:space="preserve">. Queer investments in punishment are practices that not only symbolically feed punitive logics, but also provide material resources to sustain social and institutional structures of punishment. To ‘invest’ in something is to give it resources or power in order that it might be sustained, strengthened or expanded – usually with the aim of generating a direct benefit to the investor. Investment signals both the process of resource mobilization, and the embedding of subjects within that process. Consider, for example, the ways in which ordinary people put small amounts of money in a savings account to generate interest. Most people are not fully aware of (and may be prevented from finding out) precisely what their invested money supports. But the more money one puts in over time, the more one becomes invested in what comes out. As such, it is not that LGBT politics are simply becoming co-opted by larger punitive forces, but that certain political stakes and subjectivities – namely sexual citizenship claims – increasingly ride on these punitive rationalities and practices. The language of investment also highlights parallels between social investments in punishment and financial investments in carceral capitalism (Gilmore 1998). The formal punishment sector, namely the industries and institutions that produce prisons, policing, military and surveillance, is a multi-billion dollar global industry, which has expanded dramatically in recent decades and shows little sign of abating. For example, US state spending on ‘corrections’ including prisons, probation and parole, has nearly quadrupled in the past 20 years (Henrichson and Delany 2012: 2). In England and Wales, prison expenditure between 2003–4 and 2008–9 increased almost 40 per cent in real terms, from £2.52 billion to £3.98 billion a year, and incarceration rates continue to grow despite attempts to cut Ministry of Justice spending (Prison Reform Trust 2012: 6).4 The concept of investment recognizes both the institutional structures of punishment (i.e. frameworks that facilitate, enable and normalize punitive practices), and the role of individuals and groups in upholding, maintaining and strengthening such institutions. To call attention to both dimensions is to identify the systemic underpinnings of the carceral state (and its roots in colonialism and empire),5 without falling prey to the kind of structural determinism that denies individual and collective agency. Organizational strategies that invest in punitive state institutions are increasingly commonplace within LGBT politics. To give a particularly chilling example: </w:t>
      </w:r>
      <w:r w:rsidRPr="0673B170" w:rsidR="0673B170">
        <w:rPr>
          <w:rStyle w:val="StyleUnderline"/>
        </w:rPr>
        <w:t xml:space="preserve">in 2009 US President Barack Obama signed into law the Matthew Shepard and James Byrd, Jr. Hate Crimes Prevention Act.6 The Act – which expanded older hate crime legislation based on race and ethnicity to include crimes motivated by a victim’s actual or perceived gender, sexual orientation, gender identity or disability – was the result of a massive lobbying effort by LGBT organizations and activists. Despite its title, the Act is not prevention oriented, but prosecution driven; the Act dramatically extends federal powers to prosecute hate-motivated incidents by providing additional resources for investigating and prosecuting hate-motivated crimes and enabling harsher sanctions for individuals convicted of such crimes.7 Indeed, at one point in the process of fighting for the bill, activists found themselves in the unsavoury position of supporting legislation, which, thanks to a Republican amendment, included the death penalty among its available sanctions.8 </w:t>
      </w:r>
      <w:r w:rsidRPr="0673B170" w:rsidR="0673B170">
        <w:rPr>
          <w:sz w:val="12"/>
          <w:szCs w:val="12"/>
        </w:rPr>
        <w:t xml:space="preserve">This move towards punitive politics is arguably not an isolated strand of strategizing, but is evident in the policy priorities and campaigns of many contemporary LGBT groups. Most of the well-resourced and well-publicized LGBT groups in Britain, for example, including Stonewall, the Scottish Trans- gender Alliance, ILGA Europe, GALOP and Press for Change, have taken up campaigns explicitly endorsing hate crime legislation and law enforcement strategies. Although these projects are motivated by legitimate concerns about safety, harassment and violence, they nonetheless invest considerable resources into state regimes of punishment – despite a lack of evidence that criminalization actually reduces violence (Aharonson 2010). Rainbow Hamlets, for example, a forum for LGBT people in the London Borough of Tower Hamlets has been particularly vocal in its pro-criminalization agenda, regularly advocating for strong punishments against those charged with homophobic speech. In the spring of 2011, for example, a moral panic emerged in response to a series of anti-gay posters that appeared in East London. The posters, which proclaimed the area to be a ‘gay free zone’ and included decon- textualized quotes from the Qur’an, was widely taken up in the media as evidence to support racist stereotypes that associate homophobia with Islam and Muslims (Green 2011).14 Although local Muslim groups, including the British Association of Muslims and the East London Mosque and the gay Muslim group Imaan, publicly condemned the posters (Dangerfield 2011), the gay media downplayed the work of local Muslim organizers in addressing homophobia and instead spun a narrative of homophobic Muslims (Green 2011). When an 18-year-old Asian Muslim was subsequently charged and given a fine of £100, Rainbow Hamlets issued a press statement calling for greater penalties. The co-chair was quoted as saying: This news also confirms the result of our own review of current hate crime legislation, that it offers varying levels of protection to individuals depending on the nature of the offence committed against them. If the stickers had instead discriminated on the basis of race or religion, the defendant could have been charged with aggravated public order act offences under the Crime and Disorder Act 1998. Such offences are imprisonable. We reject strongly the resultant presumption that hate crime targeted at LGBT people should be perceived as less significant than religious or racial alternates or indeed that when LGBT people experience hate crime they are less deserving of a framework which offers a robust response. This is a matter on which we will be pressing Parliament for change in the near future. (See also Rainbow Hamlets 2011b) </w:t>
      </w:r>
      <w:r w:rsidRPr="0673B170" w:rsidR="0673B170">
        <w:rPr>
          <w:rStyle w:val="StyleUnderline"/>
        </w:rPr>
        <w:t xml:space="preserve">The implication of this statement is that justice would be better served had the young man been given a jail sentence.15 Underpinning this claim is an assumption that the full citizenship status of LGBT people – a proper recognition of one’s right to be free from identity-based harassment and abuse – is best measured by the state’s willingness to imprison those who threaten that status. Here questions of social justice are collapsed into the false promise of imprisonment, which mistakenly conflates state-inflicted retribution with community accountability and collective justice. </w:t>
      </w:r>
      <w:r w:rsidRPr="0673B170" w:rsidR="0673B170">
        <w:rPr>
          <w:sz w:val="12"/>
          <w:szCs w:val="12"/>
        </w:rPr>
        <w:t xml:space="preserve">The Rainbow Hamlets statement also trades on another problematic tactic, commonly used among white LGBT activists, where sexuality is compared to race as a means of claiming victim status. In this case, the statement implicitly denies both the existence and experience of queer people of colour (who might experience racism and homophobia in inseparable ways) and also pits queer politics (rendered white) against anti-racist politics (rendered straight). This form of comparison contributes to what Razack and Fellows </w:t>
      </w:r>
      <w:r w:rsidRPr="0673B170" w:rsidR="0673B170">
        <w:rPr>
          <w:sz w:val="12"/>
          <w:szCs w:val="12"/>
        </w:rPr>
        <w:t>call ‘competing marginalities’ – claims that rest on proof that one group is not only most oppressed but also most innocent (Razack and Fellows 1998). The press release thus plays into sentiments that are well rehearsed within white-dominated LGBT spaces, that racism is taken more seriously by the state than homophobia.16 Less than a year later, when another young Asian Muslim was charged with criminal damage for writing graffiti containing racist and homophobic references on an East End housing estate, Rainbow Hamlets responded again. In this case, the 23-year-old was sentenced to eight weeks in prison. Issuing another press release, the co-chair of Rainbow Hamlets was quoted as saying: We welcome this conviction. In particular we are pleased that the Court recognized that these were offences motivated by hatred of LGBT people and reflected that in its sentence. This sends a clear message: Homophobic crime in Tower Hamlets will not be tolerated. (Rainbow Hamlets 2012) The co-chair’s comments were echoed by the Deputy Mayor of Tower Hamlets and by the Chief Executive of the housing estate who said: The successful prosecution in this case is an excellent example of how Eastend Homes works in partnership with other agencies such as the police and the council to rid the estate of this unacceptable type of behaviour. (Rainbow Hamlets 2012) While the public condemnation of the graffiti acts is understandable, these statements measure justice in terms of a prison sentence, and inaccurately conflate retribution with deterrence and prevention. The idea that a prison sentence will ‘rid the estate of this unacceptable type of behaviour’ is naïve at best. Such perspectives work to frame homophobia as a problem that primarily resides in individuals (rather than in broader social institutions, norms and practices), and one that can be adequately addressed by simply removing that individual from the community through what Garland (2001) describes as ‘punitive segregation’. Little consideration is given to the future effects of a prison sentence on this young person or whether a prison sentence will have any bearing on future expressions of homophobia. The fact that prisons are institutions in which heterosexual norms are institutionally and socially reinforced (often through sexual and gender-based harassment and violence) and where dominant masculinities are often championed as means of survival, a prison sentence is unlikely to reduce, and may in fact exacerbate, homophobic sentiments (Sim 1994). Moreover, the statements just examined function to disaggregate the individual ‘perpetrator’ from larger patterns of racialized punishment. In a context in which Muslims are increasingly singled out, targeted and profiled by police and courts, Rainbow Hamlets’ celebration of a young Muslim man’s prison sentence is revealing. Muslims are among the fastest growing prison populations in the UK, having been subject to increasing criminalization and surveillance in the wake of post-9/11 ‘anti-terrorism’ legislation and rising Islamophobia. According to a report by the Prison Inspectorate, the number of Muslims in prison in England and Wales has increased from 2,513 (5 per cent of the prison population) in 1994 to 10,300 in 2010 (12 per cent of the prison population). Contrary to popular belief that associates Islam and terrorism, fewer than 1 per cent of Muslim prisoners are being held for terror-related offences (HM Chief Inspector of Prisons (UK) 2010: 4, 9). Yet when isolated from these larger sentencing patterns, the broader racial implications of the individual cases are obscured. Disproportionate attention is paid to some acts of homophobia (namely those carried out by subjects who are religiously or racially marked as other, as well as those who fit within the framework of ‘stranger danger’) whereas others acts are invizibilized (Moran 2004). Rainbow Hamlet’s 2011 annual report indicates that the vast majority of their organizational efforts were devoted to addressing ‘religious-based’ homophobic hatred – strategies that focused almost exclusively on the East London Mosque and Muslim population of Tower Hamlets (Rainbow Hamlets 2011a). L</w:t>
      </w:r>
      <w:r w:rsidRPr="0673B170" w:rsidR="0673B170">
        <w:rPr>
          <w:rStyle w:val="StyleUnderline"/>
        </w:rPr>
        <w:t>GBT involvement in community policing projects provides another example of queer investments in punishment. Despite a long and ongoing history of police violence against sexually and gender-non-conforming people, many LGBT organizations no longer treat the police as agents of repression and instead approach them as community protectorates. Indeed, LGBT groups are increasingly eager to sit on police liaison boards, collaborate with police projects, accept sponsorships from police and participate in gay police recruitment projects. While these partnerships are often fraught with tensions and complexities (see for example, Moran 2007), on the whole, they are viewed as a signs of progress. The celebratory approach to such partnerships is particularly visible in the annual gay pride marches and events that take place in major cities across the US, UK and elsewhere, where police, prison and military recruitment drives now feature prominently within mainstream festivities. Y</w:t>
      </w:r>
      <w:r w:rsidRPr="0673B170" w:rsidR="0673B170">
        <w:rPr>
          <w:sz w:val="12"/>
          <w:szCs w:val="12"/>
        </w:rPr>
        <w:t>et these new partnerships with policing and military branches of the state come not only from ‘mainstream’ organizations, but also from those who have been critical of police in the past. For example, a British organization established in the 1980s to address police brutality against gays and lesbians, has now dramatically changed its mandate. GALOP, which originally stood for Gay London Police Monitoring Group was originally founded to ‘expose the systematic harassment of the gay and lesbian communities by the police but also to educate the communities about their rights’ (GALOP 2012). It now describes itself as ‘London’s leading hate crime charity’ and focuses primarily on monitoring and recording hate crime and providing support to LGBT people who experience hate crime, harassment, domestic abuse and sexual violence (GALOP 2012). Largely excluding state violence from its definition of hate crime, the organization’s focus has shifted from one where the state is understood as a perpetrator of violence, to one where the state is deemed the protector against violence. So while GALOP still maintains formal independence from the police, its monitoring work seeks largely to improve police responses to hate crime, rather than question the broader effects of policing itself. Similarly, in 2009 the transgender rights organization, Press for Change, was awarded funding from the UK Home Office to deliver training to the Crown Prosecution Service on transphobic hate crime. According to the job posting: ‘This training comprises an introduction to trans people, issues trans people face regarding the criminal justice agencies and guidance on successfully prosecuting transphobic hate crime’ (Press for Change 2009). At the time of the project, Press for Change was financially sponsored by the South Yorkshire Police and the Lancashire Constabulary, with the respective police logos appearing prominently on its website. T</w:t>
      </w:r>
      <w:r w:rsidRPr="0673B170" w:rsidR="0673B170">
        <w:rPr>
          <w:rStyle w:val="StyleUnderline"/>
        </w:rPr>
        <w:t>he motivation to engage in these ‘partnerships’ is understandable; LGBT groups seek to reduce discrimination through education, dialogue and policy development with police. No doubt this strategy has been successful on some levels as there has been a reduction in the targeting of some LGBT people by police, namely those deemed respectable sexual citizens (Moran 2012). Yet such community–police partnerships have tended to focus on formal targeting of LGBT people (such as arrests for sexual acts in public places and inadequate police responses to anti-gay violence) and often neglect systemic forms of homophobic violence that are linked to socioeconomic, racial and mental health status (such as violence and criminalization associated with homelessness, unemployment, street- level sex work, drug trade and addiction). So although white, middle-class and professional LGBT people may now be less likely to endure police harassment than 20 years ago, this reduction in policing of some communities has occurred alongside a massive increase in the targeted policing of others, particularly those from poor, racialized and migrant communities.</w:t>
      </w:r>
      <w:r w:rsidRPr="0673B170" w:rsidR="0673B170">
        <w:rPr>
          <w:rStyle w:val="StyleUnderline"/>
        </w:rPr>
        <w:t xml:space="preserve"> Underlying LGBT involvement in such policing partnerships is also an assumption that LGBT groups can train homophobia and transphobia out of police or eliminate homophobic d</w:t>
      </w:r>
      <w:r w:rsidRPr="0673B170" w:rsidR="0673B170">
        <w:rPr>
          <w:rStyle w:val="StyleUnderline"/>
        </w:rPr>
        <w:t xml:space="preserve">iscrimination by hiring more LGBT prison guards, and immigration officials. Such perspectives assume that discrimination is simply a ‘flaw’ in the system, rather than intrinsic to the system itself. Prisons are designed to insulate society from those who fall outside the ‘proper’ functioning of the formal political economic order, as well as those who threaten the status quo or are marked as socially deviant. </w:t>
      </w:r>
      <w:r w:rsidRPr="0673B170" w:rsidR="0673B170">
        <w:rPr>
          <w:rStyle w:val="StyleUnderline"/>
        </w:rPr>
        <w:t>As such, prisons have long functioned as repositories for the most marginalized, abandoned and stigmatized populations of society. So even if the police stop targeting (some) LGBT people, they will – by virtue of the nature of the system itself – continue to target others. In this sense, the capacity to view police as protectors of sexual citizenship rather than as enforcers of the economic, political and racial hierarchies is contingent on a privileged social position. For young black youth in poorer boroughs who are regularly stopped and searched by police – whose peers have been shot, killed and brutalized by state authorities – the idea that the police are benevolent protectors is a white middle- class fantasy (Bridges 2012: 3–4; Burnett 2012: 96–97; Miller 2010: 968). T</w:t>
      </w:r>
      <w:r w:rsidRPr="0673B170" w:rsidR="0673B170">
        <w:rPr>
          <w:sz w:val="12"/>
          <w:szCs w:val="12"/>
        </w:rPr>
        <w:t>hese selective fantasies of a regulatory state that protects LGBT people play out in other ways. For example, in January 2011, the UK lesbian, gay and bisexual charity Stonewall published its annual top 100 ‘LGBT-friendly’ places to work in, and named the UK Home Office – the government branch responsible for immigration, policing and security services – as its top employer. In its press release accompanied by a promotional video, Stonewall quoted Home Secretary Theresa May as saying: ‘I’m delighted the Home Office is being celebrated as an employer which supports the diversity of its staff. This Government will continue to do all it can to tackle discrimination and help make this country a more tolerant and fair place for everybody’ (Stonewall 2011</w:t>
      </w:r>
      <w:r w:rsidRPr="0673B170" w:rsidR="0673B170">
        <w:rPr>
          <w:sz w:val="12"/>
          <w:szCs w:val="12"/>
        </w:rPr>
        <w:t>). T</w:t>
      </w:r>
      <w:r w:rsidRPr="0673B170" w:rsidR="0673B170">
        <w:rPr>
          <w:rStyle w:val="StyleUnderline"/>
        </w:rPr>
        <w:t xml:space="preserve">he irony of May’s comments was not lost on immigration activists from London No Borders, who issued a statement condemning the award. As spokesperson Rosie Young commented: While the signatories believe that workplaces in the UK should see greater equality and that discrimination of LGBT people should be tackled, the Home Office receiving this award for best employer for LGB people has left us with a bitter taste. Whilst those safe in offices were able to freely express their sexuality, those asylum seekers that had sought the same freedom in the UK were at the mercy of callous bureaucrats working for the very same employer. </w:t>
      </w:r>
      <w:r w:rsidRPr="0673B170" w:rsidR="0673B170">
        <w:rPr>
          <w:rStyle w:val="StyleUnderline"/>
        </w:rPr>
        <w:t>(</w:t>
      </w:r>
      <w:r w:rsidRPr="0673B170" w:rsidR="0673B170">
        <w:rPr>
          <w:sz w:val="12"/>
          <w:szCs w:val="12"/>
        </w:rPr>
        <w:t>London No Borders 2011) Indeed, the award served to rebrand the Home Office, not as the government branch responsible for overseeing brutal immigration prisons, violent deportations, racist stop-and-search practices and anti-terrorism policing, but as a progressive government agency embracing tolerance and diversity. In the 2012 awards, the National Offender Management Service – the government branch encompassing the prison and probation services – also made the top 100 list, as did the Scottish Prison Service, the Royal Air Force, Royal Navy, the Crown Prosecution Service, the Department of Work and Pensions and 11 police forces across the country. By disaggregating (narrowly defined)17 workplace equality measures from the nature of the work being carried about by these agencies, Stonewall’s top employers project effectively exacerbates division between those LGBT persons who have obtained full sexual citizenship (i.e. via respectable employment, a British passport or leave to remain), and those who bear the brunt of the state’s violent prison, policing and immigration policies. Necropolitics of imprisonment Each of these examples involves the direct or indirect mobilization of discursive, financial or labour-related resources towards state practices of imprisonment and punishment. Given the ongoing colonial legacies of the carceral state, the disproportionate number of people of colour in prison and racial character of expanding prison populations, these queer investments in punishment are, by their very nature, investments in state racism and violence. I</w:t>
      </w:r>
      <w:r w:rsidRPr="0673B170" w:rsidR="0673B170">
        <w:rPr>
          <w:rStyle w:val="StyleUnderline"/>
        </w:rPr>
        <w:t xml:space="preserve">n this way, such investments are symptomatic of what Jasbir Puar, drawing from Achilles Mbembe’s work, describes as queer necropolitics. Necropolitics can be understood as technologies of power that (re)produce social relations of living and dying, such that some populations are ushered into the worlds of life and vitality, while others are funnelled into what Mbembe calls death worlds – worlds of slow living death and dead living (Mbembe 2003). Death here includes literal physical death, but also social, political and civil death – the social relations of death, decay and dying that emerge from prolonged exposure to violence, neglect, deprivation and suffering. Offering a corrective to Michel Foucault’s work on biopolitics,18 Mbembe puts forward ‘the notion of necropolitics and necropower to account for the various ways in which, in our contemporary world, weapons are deployed in the interest of the maximum destruction of person and the creation of death-worlds, new and unique forms of social existence in which vast populations are subjected to conditions of life conferring upon them the status of living dead’ (2003: 40). </w:t>
      </w:r>
      <w:r w:rsidRPr="0673B170" w:rsidR="0673B170">
        <w:rPr>
          <w:sz w:val="12"/>
          <w:szCs w:val="12"/>
        </w:rPr>
        <w:t>In other words, while biopolitical powers work to manage, order and foster life for citizens worthy of protection, such powers work in tandem with necropolitical powers that produce death for those destined to abandonment, violence and neglect. Taking up this concept within contemporary queer politics, Puar thus draws attention to the ways in which the folding into life of some queers is predicated on the folding out of life of others (Puar 2007: 36). W</w:t>
      </w:r>
      <w:r w:rsidRPr="0673B170" w:rsidR="0673B170">
        <w:rPr>
          <w:rStyle w:val="StyleUnderline"/>
        </w:rPr>
        <w:t>hile Mbembe’s analysis focuses primarily on situations of military occupa- tion, colonialism and war, the modern prison arguably constitutes another key instantiation of necropower. For the prison is also a s</w:t>
      </w:r>
      <w:r w:rsidRPr="0673B170" w:rsidR="0673B170">
        <w:rPr>
          <w:rStyle w:val="StyleUnderline"/>
        </w:rPr>
        <w:t xml:space="preserve">ite that produces the conditions of living death; it is a place where bodies are subject to regimes of slow death and dying. Not only are deprivation, abuse and neglect regular features of incarceration itself, but the monotonous regime of caged life – the experience of ‘doing time’ – involves the slow wearing away of human vitality and the reduction of human experience to a bleak existence (Scraton and McQulloch 2009; Taylor 2000). The prison </w:t>
      </w:r>
      <w:r w:rsidRPr="0673B170" w:rsidR="0673B170">
        <w:rPr>
          <w:rFonts w:ascii="Calibri" w:hAnsi="Calibri" w:eastAsia="Calibri" w:cs="Calibri"/>
          <w:sz w:val="12"/>
          <w:szCs w:val="12"/>
        </w:rPr>
        <w:t>s</w:t>
      </w:r>
      <w:r w:rsidRPr="0673B170" w:rsidR="0673B170">
        <w:rPr>
          <w:rStyle w:val="StyleUnderline"/>
        </w:rPr>
        <w:t>erves as a site of mass warehousing of bodies in conditions that often resemble the death worlds that Mbembe describes. While the modern prison was designed as an institution that aimed in part to train prisoners as productive workers, obedient citizens and docile subjects – a strategy that used disciplinary power in the broader service of biopolitical power (Foucault 1978/ 1995) – contemporary prisons are little more than mass warehouses for poor, racialized and otherwise disenfranchized populations (Gilmore 2007)</w:t>
      </w:r>
      <w:r w:rsidRPr="0673B170" w:rsidR="0673B170">
        <w:rPr>
          <w:sz w:val="12"/>
          <w:szCs w:val="12"/>
        </w:rPr>
        <w:t>. Particularly as prison populations continue to grow to unprecedented levels, many states are abandoning even the pretence of rehabilitation, by dramatically reducing the hours that prisoners spend out of their cells, slashing funding for educational and other programmes and leaving prisoners to increasingly spend their days in monotonous isolation. These conditions, coupled with overcrowding, lack of adequate medical care and disconnection from family and friends, mean that prisoners have increased risks of self-harm, psychological abuse, trauma and suicide, both during imprison- ment and post-release (Collins 2008; Taylor 2000). The stigma of a prison record also means that employment and housing are difficult to secure post-release, such that the consequences of imprisonment extend well beyond the duration of one’s sentence. In this way, the prison thus plays a significant role in altering the ‘distribution of life chances’ or what Ruth Wilson Gilmore describes as ‘group differentiated vulnerability to premature death’ (2007: 247). To argue that the prison is an institution of necropolitical power and that prisoners are resigned to slow death, is not to deny the resilience and agency of those who survive prison on a daily basis. It is instead to underscore how the conditions of captivity govern life in ways that are akin to slow and prolonged death, thus severely restricting the possibilities for resistance and survival. Ironically, and perhaps most devastatingly, it is through the act of potentially reclaiming death that prisoners exercise a desperate form of agency. As Mbembe argues, in the realms of the living dead, death offers a brutal moment of power. ‘For death is precisely that from and over which I have power. But it is also that space where freedom and negation operate’ (Mbembe 2003: 39). Hence it should be no surprise that the hunger strike – the exercise of threat of the living to authorize their own death – persists as a last resort of collective power in prison. As the recent prisoner hunger strikes in California, Italy, England, Palestine and elsewhere have demonstrated – alongside other less visible forms of collective organizing inside – there is persistent resilience among prisoners to resist and survive the brutal conditions of their captivity. Arguably, what makes the prison an example of necropolitics and not just an instance of ruthless state brutality is that the imposition of death and suffering on some populations is explicitly legitimized and authorized in the name of fostering and protecting the life of others. In other words, the enhancement and protection of life for some is predicated on the violent sequestering of others. T</w:t>
      </w:r>
      <w:r w:rsidRPr="0673B170" w:rsidR="0673B170">
        <w:rPr>
          <w:rStyle w:val="StyleUnderline"/>
        </w:rPr>
        <w:t>here are parallels here to what Nikolas Rose (2000) describes as circuits of security and circuits of insecurity – contemporary forms of governance that work by moving some subjects into modes of security and others into abandonment – as well as to what Judith Butler (2004) describes as the politics of ‘precarious life’ or what Elizabeth Povinelli (2011) refers to as ‘economies of abandonment’. Necropolitics, however, draws more explicit attention to the deathly logic of these modes of governance, foregrounding the exercise of sovereign power to authorize and legitimate the politics of death and killing in the name of vitality and living. C</w:t>
      </w:r>
      <w:r w:rsidRPr="0673B170" w:rsidR="0673B170">
        <w:rPr>
          <w:sz w:val="12"/>
          <w:szCs w:val="12"/>
        </w:rPr>
        <w:t>onclusion: towards a queer politics of disinvestment and decarceration Examining these queer investments in punishment and necropolitics, we can identify several recurring patterns. First, these trends suggest the emergence and expansion of a specifically queer penality. Although punishment is widely endorsed and socially sustained, it appears that LGBT organizations increasingly engage in citizenship claims that are explicitly bound up with punitive norms and values. The popularity of LGBT campaigns for the passage and enforcement of hate crime legislation, with the specific aim of increasing carceral penalties for those convicted, sutures claims of queer safety and freedom to state practices of caging. Second, these trends reconfigure the neoliberal carceral state as the guardian of sexual citizenship rather than the perpetrator of violence. As Haritaworn argues: [T]he redefinition of crime, security, and integration as sexual problems lends an intimate touch to the hard arm of the state. The move of LGBT activism into the penal state enables the police to reinvent themselves as protector, patron, and sponsor of minorities at the very moment that their targeting of racialized populations and areas is reaching new levels. (Haritaworn 2010: 83) In an era of neoliberalism, where faith in the welfare state has been almost abandoned, it is striking how much faith is placed in the carceral state’s capacity to dole out justice, particularly when the state itself has begun to acknowledge the limits of this capacity (Garland 2001). In this context, queer investments in punishment become mechanisms through which the state enlists LGBT subjects as responsibilized partners in the ‘co-production of security’ (Garland 2001: 124) and acquires consent and support for one of its most systemically violent institutions. Whereas law and order politics once belonged more firmly in a right- wing conservative agenda, policing and punishment in these contexts have been transformed into ‘symbols of social inclusion and care for sexual diversity’ (Haritaworn 2010). Third, these processes go hand in hand with the perpetual (re)invention of a dangerous Other, who is easily recognized through older tropes of criminality: the ‘homophobic Muslim’, the ‘working-class yob’ or the ‘backwards immigrant’ (Haritaworn 2010). State recognition of the respectable, enlightened and worthy sexual citizen is thus produced through the reproduction of a dangerous Other who offers a scapegoat for the insecurities and vulnerabilities produced by the contemporary political economic order. The production of these dual figures works to entrench the dividing line between those who are marked for life and vitality and those who are marked for abandonment and death. I</w:t>
      </w:r>
      <w:r w:rsidRPr="0673B170" w:rsidR="0673B170">
        <w:rPr>
          <w:rStyle w:val="StyleUnderline"/>
        </w:rPr>
        <w:t>n this way, LGBT investments in punishment can be seen to occur at multiple levels, through (a) discursive investments in the myths of the neoliberal carceral state (by endorsing rhetoric which equates community safety and violence prevention with state punishment and securitization politics); (b) affective investments in the racialized and classed politics of fear and danger (by invoking discourses of ‘dangerous others’ who threaten LGBT claims to citizenship and security); (c) labour investments in the neoliberal carceral state (by literally taking on the work of the carceral state through partnerships that provide training, develop criminal justice policy and undertake state-based criminal justice work) and; (d) financial investments in the expanding carceral state (by channelling community resources into practices of state punishment and by supporting policies that increase s</w:t>
      </w:r>
      <w:r w:rsidRPr="0673B170" w:rsidR="0673B170">
        <w:rPr>
          <w:rStyle w:val="StyleUnderline"/>
        </w:rPr>
        <w:t>tate spending on prisons and policing). T</w:t>
      </w:r>
      <w:r w:rsidRPr="0673B170" w:rsidR="0673B170">
        <w:rPr>
          <w:sz w:val="12"/>
          <w:szCs w:val="12"/>
        </w:rPr>
        <w:t>hese punitive trends are not restricted to LGBT organizations, but are occurring more broadly within leftist and ‘progressive’ politics (Aharonson 2010). Feminists who advocate for the criminalization of sex work and trafficking, for example, have increasingly become engaged in what Elizabeth Bernstein (2010) describes as ‘carceral feminism’. Similarly, feminist anti-violence goals increasingly operate in tandem with ‘law-and-order’ politics and are used to justify increased imprisonment, policing and immigration controls (Bumiller 2008; Critical Resistance and INCITE! Women of Color Against Violence 2006). The issue is not simply that activist agendas have been co-opted by pro-criminalization agendas, but rather that social movements are redefining their politics in ways that actively infuse traditional recognition claims with punitive logics. These trends raise larger questions about why ‘progressive’ movements have turned to policing and incarceration as means for achieving movement goals, and why ‘law-and-order’ agendas that were previously associated with repressive politics have been reconfigured as signs of sexual justice. D</w:t>
      </w:r>
      <w:r w:rsidRPr="0673B170" w:rsidR="0673B170">
        <w:rPr>
          <w:rStyle w:val="StyleUnderline"/>
        </w:rPr>
        <w:t>o these trends stem from broader moves away from a politics of ‘liberation’ towards more rights- and recognition-focused strategies or have these movements always contained the seeds of punitive politics (Hanhardt 2008; Kunzel 2008; Spade 2009)? Are these trends symptomatic of broader changes in governance which reflect ‘cultures of control’ (Garland 2001) and ‘governing through crime’ (Simon 2007) or are they specific to particular elements of LGBT and feminist organizing? In what ways do these changes reflect movement desires to organize around achievable goals, combined with the state’s willingness to work more cooperatively with particular ‘minority’ constituencies (Moran 2007)?</w:t>
      </w:r>
      <w:r w:rsidRPr="0673B170" w:rsidR="0673B170">
        <w:rPr>
          <w:rStyle w:val="StyleUnderline"/>
        </w:rPr>
        <w:t xml:space="preserve"> Exploring the specific reasons for these changes is beyond the scope of this chapter and warrants further empirical investigation; however, it seems clear that simple explanations of co-optation, false consciousness or social conservatism are insufficient to fully account for the complex and contradictory terrain of punitive sexual politics. I</w:t>
      </w:r>
      <w:r w:rsidRPr="0673B170" w:rsidR="0673B170">
        <w:rPr>
          <w:sz w:val="12"/>
          <w:szCs w:val="12"/>
        </w:rPr>
        <w:t>n concluding, it is important to note that punitive social movement trends are neither universal nor inevitable. A growing number of grassroots feminist, queer, anti-racist and anti-prison community groups are developing alternative models of violence prevention, community accountability and collective healing that do not rely on police or prisons (see for example Chen, Dulani and Piepzna-Samarasinha 2008; Critical Resistance 2008; Generation Five 2007; Kim 2011; Law 2011; Smith 2009). Particularly in racialized, migrant, indigenous and impoverished communities that are over-policed, over-incarcerated and regularly subjected to state brutality, reliance on police and prisons is increasingly seen as non-viable, dangerous, and ineffective; alternatives are deemed a vital necessity. Such communities are developing strategies that move away from punitive state practices and instead build community-based safety protocols, which prioritize victim safety, emphasize perpetrator accountability and attend to broader social factors that contribute to violence. While none of these strategies on their own is sufficient to tackle institutional and systemic forms of violence, they do offer space for new possibilities that refuse to enact one form of violence in the name of combating another. As such, these strategies warrant further consideration as practices that move away from queer investments in the carceral state and move towards a queer politics of punitive disinvestment and decarceration.</w:t>
      </w:r>
    </w:p>
    <w:p xmlns:wp14="http://schemas.microsoft.com/office/word/2010/wordml" w:rsidR="008263E8" w:rsidP="008263E8" w:rsidRDefault="008263E8" w14:paraId="584F5F82" wp14:textId="77777777">
      <w:pPr>
        <w:pStyle w:val="Heading3"/>
      </w:pPr>
      <w:r>
        <w:lastRenderedPageBreak/>
        <w:t>I: Citizenship</w:t>
      </w:r>
    </w:p>
    <w:p xmlns:wp14="http://schemas.microsoft.com/office/word/2010/wordml" w:rsidRPr="006C71B6" w:rsidR="008263E8" w:rsidP="008263E8" w:rsidRDefault="008263E8" w14:paraId="4D094229" wp14:textId="77777777">
      <w:pPr>
        <w:pStyle w:val="Heading4"/>
        <w:rPr>
          <w:rFonts w:eastAsia="Calibri" w:cs="Calibri"/>
        </w:rPr>
      </w:pPr>
      <w:r w:rsidRPr="006C71B6">
        <w:rPr>
          <w:rFonts w:cs="Calibri"/>
        </w:rPr>
        <w:t>To gain entrance into the United States, the trans asylum seeker is inevitably forced to repeat performative acts of citizenship in order to fulfill the government’s expectation of a model citizen in an attempt to pin down and create a static, homogenous identity of refugees. These performances replicate binaristic norms of sexuality and force the refugee to disavow their home country, thus reproducing the narrative that “free” America has an obligation to “save” the “oppressive” Third World.</w:t>
      </w:r>
    </w:p>
    <w:p xmlns:wp14="http://schemas.microsoft.com/office/word/2010/wordml" w:rsidRPr="00D70B55" w:rsidR="008263E8" w:rsidP="008263E8" w:rsidRDefault="008263E8" w14:paraId="2FF3A4C5" wp14:textId="77777777">
      <w:r w:rsidRPr="00D70B55">
        <w:rPr>
          <w:rStyle w:val="Style13ptBold"/>
        </w:rPr>
        <w:t>Shakshari 14</w:t>
      </w:r>
      <w:r w:rsidRPr="00D70B55">
        <w:t xml:space="preserve"> (Sima, Assistant Professor at University of Minnesota, Department of Gender, Women, and Sexuality Studies, Queer Necropolitics Chapter 4: “Killing Me Softly With Your Rights: Queer Death and the Politics of Rightful Killing, pg 98-102, 2014)//ANH</w:t>
      </w:r>
    </w:p>
    <w:p xmlns:wp14="http://schemas.microsoft.com/office/word/2010/wordml" w:rsidR="008263E8" w:rsidP="008263E8" w:rsidRDefault="008263E8" w14:paraId="3573F202" wp14:textId="77777777">
      <w:pPr>
        <w:rPr>
          <w:rStyle w:val="StyleUnderline"/>
          <w:rFonts w:cs="Calibri"/>
        </w:rPr>
      </w:pPr>
      <w:r w:rsidRPr="006C71B6">
        <w:rPr>
          <w:rFonts w:cs="Calibri"/>
          <w:sz w:val="16"/>
          <w:szCs w:val="16"/>
        </w:rPr>
        <w:t xml:space="preserve">Unspeakable death: Iranian transgender refugees Midoonam keh hastam, mikhaam zendegi konam. [‘I know that I am. I want to live.’] (Mahtab, excerpt from the film I Know that I Am) The above statement, which inspired the title of a documentary film about transsexual Iranians, is telling of Mahtab’s desire for a better life. At the time that Mahtab made this statement, she was living under dire conditions as a refugee 98 Queer necropolitics applicant in a remote ‘satellite town’ in Turkey, waiting for her case to be handled by the United Nations High Commissioner for Refugees (UNHCR) in Ankara. </w:t>
      </w:r>
      <w:r w:rsidRPr="006C71B6">
        <w:rPr>
          <w:rStyle w:val="StyleUnderline"/>
          <w:rFonts w:cs="Calibri"/>
        </w:rPr>
        <w:t>While most of the Iranian queer asylum seekers in Turkey are gay or lesbian, a small number of transgender people leave Iran</w:t>
      </w:r>
      <w:r w:rsidRPr="006C71B6">
        <w:rPr>
          <w:rFonts w:cs="Calibri"/>
          <w:sz w:val="16"/>
          <w:szCs w:val="16"/>
        </w:rPr>
        <w:t xml:space="preserve"> in hopes of a better life abroad. Even though the numbers are not large, media representations of Iranian transsexual individuals have made them the centre of a particular discourse on homosexuality. Within this discourse, transsexual Iranians are represented as homosexual victims who are forced by the Iranian state to go through sex reassignment surgeries. Sex change, in this narrative, is seen as a state measure to prevent homosexuality – punishable under the Islamic Republic’s sodomy laws – while transsexual Iranians’ desires are deemed inauthentic and secondary to an inherent homosexual desire that is persecuted by the state.12 Arguably, the narrative of ‘forced surgeries’ is an inaccurate account of sex surgeries in Iran. Yet, the inaccuracy of this account does not contradict with the fact </w:t>
      </w:r>
      <w:r w:rsidRPr="006C71B6">
        <w:rPr>
          <w:rStyle w:val="StyleUnderline"/>
          <w:rFonts w:cs="Calibri"/>
        </w:rPr>
        <w:t>that the Iranian transsexual subject is produced as a normalized and ‘corrected’ non-homosexual citizen, governed by modern medical, psychological, legal and religious discourses and practices</w:t>
      </w:r>
      <w:r w:rsidRPr="006C71B6">
        <w:rPr>
          <w:rFonts w:cs="Calibri"/>
          <w:sz w:val="16"/>
          <w:szCs w:val="16"/>
        </w:rPr>
        <w:t xml:space="preserve"> (Najmabadi 2008). To be fair, the Iranian state’s religious and biopolitical practices that enable sex change surgeries have provided relatively amicable opportunities for transgender Iranians, compared to many other states, including those in the so-called free world. 13 Despite the official policies of the Iranian state, many transsexual and transgender Iranians face social harassment, job discrimination, and violence in Iran, where, as is the case with many locations such as North America and Europe, </w:t>
      </w:r>
      <w:r w:rsidRPr="006C71B6">
        <w:rPr>
          <w:rStyle w:val="StyleUnderline"/>
          <w:rFonts w:cs="Calibri"/>
        </w:rPr>
        <w:t xml:space="preserve">modern </w:t>
      </w:r>
      <w:r w:rsidRPr="00FE30C0">
        <w:rPr>
          <w:rStyle w:val="StyleUnderline"/>
        </w:rPr>
        <w:t xml:space="preserve">binaries </w:t>
      </w:r>
      <w:r w:rsidRPr="006C71B6">
        <w:rPr>
          <w:rStyle w:val="StyleUnderline"/>
          <w:rFonts w:cs="Calibri"/>
        </w:rPr>
        <w:t xml:space="preserve">of sex are naturalized and </w:t>
      </w:r>
      <w:r w:rsidRPr="00FE30C0">
        <w:rPr>
          <w:rStyle w:val="StyleUnderline"/>
        </w:rPr>
        <w:t>govern norms of cultural and political citizenship</w:t>
      </w:r>
      <w:r w:rsidRPr="006C71B6">
        <w:rPr>
          <w:rFonts w:cs="Calibri"/>
          <w:sz w:val="16"/>
          <w:szCs w:val="16"/>
        </w:rPr>
        <w:t xml:space="preserve">. The violence and the economic and social hardship that many transgender and transsexual Iranians endure, along with the much valorized vision of freedom and democracy in the West, have compelled some transsexual and transgender individuals to seek refugee status in Canada, Australia and the United States through the UNHCR offices in neighbouring Turkey. </w:t>
      </w:r>
      <w:r w:rsidRPr="006C71B6">
        <w:rPr>
          <w:rStyle w:val="StyleUnderline"/>
          <w:rFonts w:cs="Calibri"/>
        </w:rPr>
        <w:t>While the transsexual Iranian as a ‘corrected’ body is disciplined into norms of heterosexuality in Iran, she is simultaneously produced as a subject of universal rights in need of protection by the international human rights regimes</w:t>
      </w:r>
      <w:r w:rsidRPr="006C71B6">
        <w:rPr>
          <w:rFonts w:cs="Calibri"/>
          <w:sz w:val="16"/>
          <w:szCs w:val="16"/>
        </w:rPr>
        <w:t xml:space="preserve">. For transsexual Iranians who leave Iran to seek refugee status, </w:t>
      </w:r>
      <w:r w:rsidRPr="006C71B6">
        <w:rPr>
          <w:rStyle w:val="StyleUnderline"/>
          <w:rFonts w:cs="Calibri"/>
        </w:rPr>
        <w:t>the concomitant loss of citizenship rights and the geopolitically driven ‘protection’ of rights by the ‘liberating states’ entail new forms of regulation according to norms of the international refugee regimes and the transitory and destination ‘host’ states.</w:t>
      </w:r>
      <w:r w:rsidRPr="006C71B6">
        <w:rPr>
          <w:rFonts w:cs="Calibri"/>
          <w:sz w:val="16"/>
          <w:szCs w:val="16"/>
        </w:rPr>
        <w:t xml:space="preserve"> Ironically, </w:t>
      </w:r>
      <w:r w:rsidRPr="00FE30C0">
        <w:rPr>
          <w:rStyle w:val="StyleUnderline"/>
        </w:rPr>
        <w:t>it is under the rhetoric of protection that the refugee has</w:t>
      </w:r>
      <w:r w:rsidRPr="006C71B6">
        <w:rPr>
          <w:rStyle w:val="StyleUnderline"/>
          <w:rFonts w:cs="Calibri"/>
        </w:rPr>
        <w:t xml:space="preserve"> very little or </w:t>
      </w:r>
      <w:r w:rsidRPr="00FE30C0">
        <w:rPr>
          <w:rStyle w:val="StyleUnderline"/>
        </w:rPr>
        <w:t>no rights</w:t>
      </w:r>
      <w:r w:rsidRPr="006C71B6">
        <w:rPr>
          <w:rStyle w:val="StyleUnderline"/>
          <w:rFonts w:cs="Calibri"/>
        </w:rPr>
        <w:t xml:space="preserve"> in transition</w:t>
      </w:r>
      <w:r w:rsidRPr="006C71B6">
        <w:rPr>
          <w:rFonts w:cs="Calibri"/>
          <w:sz w:val="16"/>
          <w:szCs w:val="16"/>
        </w:rPr>
        <w:t xml:space="preserve">.14 Iranian refugee applicants are required to register with the Turkish Ministry of the Interior, and with the UNHCR, while waiting to be interviewed several times in a span of several years. If approved as ‘true refugees’, they are allowed to apply for resettlement to a third country of asylum. On registration with the UNHCR, the applicants are assigned to small ‘satellite towns’, where they are registered by the Turkish police and are required to stay during the time they are interviewed and evaluated through medical and sometimes psychological examination by the UNHCR and the embassy of the country of asylum.15 According to a June 2009 report by ORAM (Organization for Refuge, Asylum, and Migration), </w:t>
      </w:r>
      <w:r w:rsidRPr="006C71B6">
        <w:rPr>
          <w:rStyle w:val="StyleUnderline"/>
          <w:rFonts w:cs="Calibri"/>
        </w:rPr>
        <w:t>queer asylum seekers and refugees in Turkey often have limited or no access to financial support, face consistent harassment from local townspeople, and experience work and housing discrimination</w:t>
      </w:r>
      <w:r w:rsidRPr="006C71B6">
        <w:rPr>
          <w:rFonts w:cs="Calibri"/>
          <w:sz w:val="16"/>
          <w:szCs w:val="16"/>
        </w:rPr>
        <w:t xml:space="preserve"> (Unsafe Haven). When filing complaints with the Turkish police, </w:t>
      </w:r>
      <w:r w:rsidRPr="006C71B6">
        <w:rPr>
          <w:rStyle w:val="StyleUnderline"/>
          <w:rFonts w:cs="Calibri"/>
        </w:rPr>
        <w:t xml:space="preserve">they are encouraged to ‘dress like real men or women’ in order to </w:t>
      </w:r>
      <w:r w:rsidRPr="006C71B6">
        <w:rPr>
          <w:rStyle w:val="StyleUnderline"/>
          <w:rFonts w:cs="Calibri"/>
        </w:rPr>
        <w:lastRenderedPageBreak/>
        <w:t>avoid being harassed</w:t>
      </w:r>
      <w:r w:rsidRPr="006C71B6">
        <w:rPr>
          <w:rFonts w:cs="Calibri"/>
          <w:sz w:val="16"/>
          <w:szCs w:val="16"/>
        </w:rPr>
        <w:t xml:space="preserve">. While the UNHCR has improved its guidelines and produced literature to educate its staff, </w:t>
      </w:r>
      <w:r w:rsidRPr="006C71B6">
        <w:rPr>
          <w:rStyle w:val="StyleUnderline"/>
          <w:rFonts w:cs="Calibri"/>
        </w:rPr>
        <w:t>many asylum seekers have reported being asked invasive questions</w:t>
      </w:r>
      <w:r w:rsidRPr="006C71B6">
        <w:rPr>
          <w:rFonts w:cs="Calibri"/>
          <w:sz w:val="16"/>
          <w:szCs w:val="16"/>
        </w:rPr>
        <w:t xml:space="preserve"> by the Ministry of the Interior in Turkey and the UNHCR about their preferred sexual position or the number of sexual partners they have had. </w:t>
      </w:r>
      <w:r w:rsidRPr="006C71B6">
        <w:rPr>
          <w:rStyle w:val="StyleUnderline"/>
          <w:rFonts w:cs="Calibri"/>
        </w:rPr>
        <w:t xml:space="preserve">These questions are meant to verify that the applicants are ‘true refugees’, ‘true gay and lesbians’ or ‘true transgender’ individuals. The assumptions of refugees’ ‘immutability’ in the essentialist juridical dis - courses of asylum produce the refugee as one with a </w:t>
      </w:r>
      <w:r w:rsidRPr="00FE30C0">
        <w:rPr>
          <w:rStyle w:val="StyleUnderline"/>
        </w:rPr>
        <w:t>fixed, timeless and universally homogeneous identity</w:t>
      </w:r>
      <w:r w:rsidRPr="006C71B6">
        <w:rPr>
          <w:rFonts w:cs="Calibri"/>
          <w:sz w:val="16"/>
          <w:szCs w:val="16"/>
        </w:rPr>
        <w:t xml:space="preserve">.16 </w:t>
      </w:r>
      <w:r w:rsidRPr="006C71B6">
        <w:rPr>
          <w:rStyle w:val="StyleUnderline"/>
          <w:rFonts w:cs="Calibri"/>
        </w:rPr>
        <w:t xml:space="preserve">It is inevitable that </w:t>
      </w:r>
      <w:r w:rsidRPr="00FE30C0">
        <w:rPr>
          <w:rStyle w:val="StyleUnderline"/>
        </w:rPr>
        <w:t>queer refugee applicants repeat essentialist notions of identity in order to fit the ‘immutability of character’</w:t>
      </w:r>
      <w:r w:rsidRPr="006C71B6">
        <w:rPr>
          <w:rStyle w:val="StyleUnderline"/>
          <w:rFonts w:cs="Calibri"/>
        </w:rPr>
        <w:t>, the criterion that qualifies gays, lesbians and transgender individuals as refugees.</w:t>
      </w:r>
      <w:r w:rsidRPr="006C71B6">
        <w:rPr>
          <w:rFonts w:eastAsia="Calibri" w:cs="Calibri"/>
          <w:sz w:val="16"/>
          <w:szCs w:val="16"/>
        </w:rPr>
        <w:t xml:space="preserve"> </w:t>
      </w:r>
      <w:r w:rsidRPr="006C71B6">
        <w:rPr>
          <w:rStyle w:val="StyleUnderline"/>
          <w:rFonts w:cs="Calibri"/>
        </w:rPr>
        <w:t>Applicants’ narratives, their material conditions and their multiple and complex subjectivities are reduced to rational and linear definitions in order to match the acceptable ‘immutable’ identity, defined and sanctioned by the refugee law and reified by some diasporic queer organizations that coach queer refugees in ‘homonormativity’</w:t>
      </w:r>
      <w:r w:rsidRPr="006C71B6">
        <w:rPr>
          <w:rFonts w:cs="Calibri"/>
          <w:sz w:val="16"/>
          <w:szCs w:val="16"/>
        </w:rPr>
        <w:t xml:space="preserve"> (Duggan 2002).</w:t>
      </w:r>
      <w:r w:rsidRPr="006C71B6">
        <w:rPr>
          <w:rStyle w:val="StyleUnderline"/>
          <w:rFonts w:cs="Calibri"/>
        </w:rPr>
        <w:t xml:space="preserve">17 Through </w:t>
      </w:r>
      <w:r w:rsidRPr="00FE30C0">
        <w:rPr>
          <w:rStyle w:val="StyleUnderline"/>
        </w:rPr>
        <w:t>performative acts,</w:t>
      </w:r>
      <w:r w:rsidRPr="006C71B6">
        <w:rPr>
          <w:rStyle w:val="StyleUnderline"/>
          <w:rFonts w:cs="Calibri"/>
        </w:rPr>
        <w:t xml:space="preserve"> universalized and iconic gay, lesbian and transgender identities are reified and reproduced.</w:t>
      </w:r>
      <w:r w:rsidRPr="006C71B6">
        <w:rPr>
          <w:rFonts w:cs="Calibri"/>
          <w:sz w:val="16"/>
          <w:szCs w:val="16"/>
        </w:rPr>
        <w:t xml:space="preserve"> However, the regulatory practices of the nation-state and human rights discourses conceal the process of the construction of refugee subjects, by portraying them as prior to discourse.18 Normative notions of authentic gender and sexuality are not the only con - ventions that the queer refugee applicant has to repeat convincingly and without contradictions in multiple interviews. </w:t>
      </w:r>
      <w:r w:rsidRPr="006C71B6">
        <w:rPr>
          <w:rStyle w:val="StyleUnderline"/>
          <w:rFonts w:cs="Calibri"/>
        </w:rPr>
        <w:t>Given that the credibility of an asylum case is decided according to the</w:t>
      </w:r>
      <w:r w:rsidRPr="006C71B6">
        <w:rPr>
          <w:rFonts w:cs="Calibri"/>
          <w:sz w:val="16"/>
          <w:szCs w:val="16"/>
        </w:rPr>
        <w:t xml:space="preserve"> 1951 Geneva Convention’s </w:t>
      </w:r>
      <w:r w:rsidRPr="006C71B6">
        <w:rPr>
          <w:rStyle w:val="StyleUnderline"/>
          <w:rFonts w:cs="Calibri"/>
        </w:rPr>
        <w:t>notions of human rights violation, human rights groups are heavily involved in gathering and providing information on global human rights abuses.</w:t>
      </w:r>
      <w:r w:rsidRPr="006C71B6">
        <w:rPr>
          <w:rFonts w:eastAsia="Calibri" w:cs="Calibri"/>
          <w:sz w:val="16"/>
          <w:szCs w:val="16"/>
        </w:rPr>
        <w:t xml:space="preserve"> </w:t>
      </w:r>
      <w:r w:rsidRPr="006C71B6">
        <w:rPr>
          <w:rStyle w:val="StyleUnderline"/>
          <w:rFonts w:cs="Calibri"/>
        </w:rPr>
        <w:t>Reports by organizations</w:t>
      </w:r>
      <w:r w:rsidRPr="006C71B6">
        <w:rPr>
          <w:rFonts w:cs="Calibri"/>
          <w:sz w:val="16"/>
          <w:szCs w:val="16"/>
        </w:rPr>
        <w:t xml:space="preserve"> such as the International Gay and Lesbian Human Rights Commission (IGLHRC), International Gay and Lesbian Association (ILGA), Lesbian and Gay Immigration Rights Task Force and Amnesty International, </w:t>
      </w:r>
      <w:r w:rsidRPr="006C71B6">
        <w:rPr>
          <w:rStyle w:val="StyleUnderline"/>
          <w:rFonts w:cs="Calibri"/>
        </w:rPr>
        <w:t>together with media reports on the violations of human rights</w:t>
      </w:r>
      <w:r w:rsidRPr="006C71B6">
        <w:rPr>
          <w:rFonts w:cs="Calibri"/>
          <w:sz w:val="16"/>
          <w:szCs w:val="16"/>
        </w:rPr>
        <w:t xml:space="preserve">, US State Department country reports, samples of UNHCR assessment of asylum and refugee claims, the applicant’s personal testimony, </w:t>
      </w:r>
      <w:r w:rsidRPr="006C71B6">
        <w:rPr>
          <w:rStyle w:val="StyleUnderline"/>
          <w:rFonts w:cs="Calibri"/>
        </w:rPr>
        <w:t>and letters</w:t>
      </w:r>
      <w:r w:rsidRPr="006C71B6">
        <w:rPr>
          <w:rFonts w:cs="Calibri"/>
          <w:sz w:val="16"/>
          <w:szCs w:val="16"/>
        </w:rPr>
        <w:t xml:space="preserve"> of support </w:t>
      </w:r>
      <w:r w:rsidRPr="006C71B6">
        <w:rPr>
          <w:rStyle w:val="StyleUnderline"/>
          <w:rFonts w:cs="Calibri"/>
        </w:rPr>
        <w:t>from</w:t>
      </w:r>
      <w:r w:rsidRPr="006C71B6">
        <w:rPr>
          <w:rFonts w:cs="Calibri"/>
          <w:sz w:val="16"/>
          <w:szCs w:val="16"/>
        </w:rPr>
        <w:t xml:space="preserve"> friends and relatives and </w:t>
      </w:r>
      <w:r w:rsidRPr="006C71B6">
        <w:rPr>
          <w:rStyle w:val="StyleUnderline"/>
          <w:rFonts w:cs="Calibri"/>
        </w:rPr>
        <w:t>several other organ - izations constitute the materials that document ‘human rights abuses’ of queers worldwide</w:t>
      </w:r>
      <w:r w:rsidRPr="006C71B6">
        <w:rPr>
          <w:rFonts w:cs="Calibri"/>
          <w:sz w:val="16"/>
          <w:szCs w:val="16"/>
        </w:rPr>
        <w:t xml:space="preserve">. Advocates and UNHCR </w:t>
      </w:r>
      <w:r w:rsidRPr="006C71B6">
        <w:rPr>
          <w:rStyle w:val="StyleUnderline"/>
          <w:rFonts w:cs="Calibri"/>
        </w:rPr>
        <w:t>officers often measure the credibility of an applicant’s claim for a ‘well-founded fear of persecution’ against these documents</w:t>
      </w:r>
      <w:r w:rsidRPr="006C71B6">
        <w:rPr>
          <w:rFonts w:cs="Calibri"/>
          <w:sz w:val="16"/>
          <w:szCs w:val="16"/>
        </w:rPr>
        <w:t xml:space="preserve">. In order to present a successful and legitimate claim to asylum officers, </w:t>
      </w:r>
      <w:r w:rsidRPr="006C71B6">
        <w:rPr>
          <w:rStyle w:val="StyleUnderline"/>
          <w:rFonts w:cs="Calibri"/>
        </w:rPr>
        <w:t xml:space="preserve">the refugee/asylum seeker often has to repeat a story that inevitably demonizes the ‘home country’ </w:t>
      </w:r>
      <w:r w:rsidRPr="006C71B6">
        <w:rPr>
          <w:rFonts w:cs="Calibri"/>
          <w:sz w:val="16"/>
          <w:szCs w:val="16"/>
        </w:rPr>
        <w:t>(Anker 2005; Luibhéid 1998; Miller 2005</w:t>
      </w:r>
      <w:r w:rsidRPr="00FE30C0">
        <w:rPr>
          <w:rStyle w:val="StyleUnderline"/>
        </w:rPr>
        <w:t>), thus reproducing the Third World barbarism vs. First World freedom narratives</w:t>
      </w:r>
      <w:r w:rsidRPr="006C71B6">
        <w:rPr>
          <w:rFonts w:cs="Calibri"/>
          <w:sz w:val="16"/>
          <w:szCs w:val="16"/>
        </w:rPr>
        <w:t xml:space="preserve"> (Razack 1998).19 </w:t>
      </w:r>
      <w:r w:rsidRPr="006C71B6">
        <w:rPr>
          <w:rStyle w:val="StyleUnderline"/>
          <w:rFonts w:cs="Calibri"/>
        </w:rPr>
        <w:t>While refugee applicants often have no choice but to repeat the ‘story’ that is expected from them</w:t>
      </w:r>
      <w:r w:rsidRPr="006C71B6">
        <w:rPr>
          <w:rFonts w:cs="Calibri"/>
          <w:sz w:val="16"/>
          <w:szCs w:val="16"/>
        </w:rPr>
        <w:t xml:space="preserve">, diasporic Iranian entrepreneurs, including LGBT organiza - tions, may find these stories lucrative in a market where information about human rights abuses in Iran may translate into funding by think tanks, demo cratizing states and individual funders.20 The ‘war on terror’ has provided entrepreneurship oppor tunities for some opposition groups (queer or not) that compete over envisioning the most democratic future for Iran by providing expertise and ‘insider’ information to the liberating states and think tanks.21 The exaggerated, and in some cases, fabricated stories of gay persecutions in Iran provide fame and/or fundraising opportunities for some organizations that bank on these stories.22 Mahtab’s story exemplifies the opportunistic appropriations of queer life and death during the ‘war on terror’. Mahtab was the subject of several documentary films about transsexual Iranians. Screened at international film festivals, distributed through YouTube, or broadcast on television outside Iran, most of these films juxtapose a repressed life in Iran to a free life in the West. The suffering of working-class Iranian transsexual women, who are ostracized by their families and subjected to social discrimination, is showcased, rendering it visible to the often non-Iranian audience. Mahtab’s statement ‘I know that I am’ became the title of an award-winning Canadian documentary film that represents transsexual Iranians as victims of a fundamentalist state, in need of rescue by the ‘free world’. The film repeats a narrative that Anne-Marie Fortier has aptly called ‘queer homecoming’, the familiar story of queer flight from the home of oppression to seek refuge in the home of freedom in the West. Through testimonial documentary style and juxtaposition of words and images, the film creates a stark opposition between freedom in the West and oppression in Iran. This narrative style is very prominent in the promotional video of the film. While transsexual Iranians are constructed as powerless victims, the white Canadian immigration attorney is depicted as a saint-like figure in a slow-motion caption, where her image is juxtaposed to subtitled lyrics that interpolate her as ‘a saviour angel’. Not surprisingly, the image of a cleric is accompanied with lyrics that construct him as the unsympathetic enemy. Ironically, Hojattoleslam Karimnia, the cleric depicted in this promotional video, is a transsexual rights advocate and has played a key role in removing the stigma around sex change by arguing that sex change surgeries are religiously sanctioned.23 While Mahtab’s life in Iran was represented as an example of the horrific situation of transsexual people in Iran, her story in Canada was never publicized in queer or mainstream media, neither did her story in Canada make it to any documentary films.24 On 31 July 2008, almost two weeks after Mahtab’s death, the co-director of the film wrote in his weblog, ‘I would like to take this opportunity to </w:t>
      </w:r>
      <w:r w:rsidRPr="006C71B6">
        <w:rPr>
          <w:rFonts w:cs="Calibri"/>
          <w:sz w:val="16"/>
          <w:szCs w:val="16"/>
        </w:rPr>
        <w:lastRenderedPageBreak/>
        <w:t xml:space="preserve">share with all my good friends the good news of a first prize Audience Award for the documentary, I Know that I Am.’25 Ironically, the director did not acknowledge that the transgender woman whose life was the subject of the film and whose utterance of ‘I know that I am’ inspired the title of the film, no longer is.26 In Mahtab’s case, </w:t>
      </w:r>
      <w:r w:rsidRPr="006C71B6">
        <w:rPr>
          <w:rStyle w:val="StyleUnderline"/>
          <w:rFonts w:cs="Calibri"/>
        </w:rPr>
        <w:t>suicide and failure of promises of freedom in cosmopolitan gay destinations disrupt the usual narrative of refugee flight and rescue, thus rendering her death unspeakable. In a reversal of the liberal celebrations of outness that equate silence to death, Mahtab’s death becomes unspeakable: death equals silence.</w:t>
      </w:r>
    </w:p>
    <w:p xmlns:wp14="http://schemas.microsoft.com/office/word/2010/wordml" w:rsidRPr="006C71B6" w:rsidR="008263E8" w:rsidP="008263E8" w:rsidRDefault="008263E8" w14:paraId="0E33ADA5" wp14:textId="77777777">
      <w:pPr>
        <w:pStyle w:val="Heading4"/>
        <w:rPr>
          <w:rFonts w:cs="Calibri"/>
        </w:rPr>
      </w:pPr>
      <w:r w:rsidRPr="006C71B6">
        <w:rPr>
          <w:rFonts w:cs="Calibri"/>
        </w:rPr>
        <w:t>Thus queerness becomes synonymous with American, and the production of the “other” is at the heart of the homonational American project. We are forced to forget the past in place of a more “tolerant” future, a promise replaced by a (non)promise just as sweet. Desire is mobilized to fuel the war on terror and sexuality is privatized so as to limit the opportunity for the queer subject to intervine with the nations necropolitical death machine</w:t>
      </w:r>
    </w:p>
    <w:p xmlns:wp14="http://schemas.microsoft.com/office/word/2010/wordml" w:rsidRPr="006C71B6" w:rsidR="008263E8" w:rsidP="008263E8" w:rsidRDefault="008263E8" w14:paraId="72EA5A1D" wp14:textId="77777777">
      <w:pPr>
        <w:spacing w:after="0" w:line="240" w:lineRule="auto"/>
        <w:rPr>
          <w:rStyle w:val="Style13ptBold"/>
          <w:rFonts w:cs="Calibri"/>
        </w:rPr>
      </w:pPr>
      <w:r w:rsidRPr="006C71B6">
        <w:rPr>
          <w:rStyle w:val="Style13ptBold"/>
          <w:rFonts w:cs="Calibri"/>
        </w:rPr>
        <w:t>Agathaneglou 8 (</w:t>
      </w:r>
      <w:r w:rsidRPr="006C71B6">
        <w:rPr>
          <w:rFonts w:cs="Calibri"/>
          <w:sz w:val="15"/>
          <w:szCs w:val="15"/>
        </w:rPr>
        <w:t>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Pages 128-134 //Starboy)</w:t>
      </w:r>
    </w:p>
    <w:p xmlns:wp14="http://schemas.microsoft.com/office/word/2010/wordml" w:rsidR="008263E8" w:rsidP="008263E8" w:rsidRDefault="008263E8" w14:paraId="5DF218C5" wp14:textId="77777777">
      <w:pPr>
        <w:spacing w:after="0" w:line="240" w:lineRule="auto"/>
        <w:rPr>
          <w:rFonts w:eastAsia="Times New Roman" w:cs="Calibri"/>
          <w:sz w:val="16"/>
        </w:rPr>
      </w:pPr>
      <w:r w:rsidRPr="006C71B6">
        <w:rPr>
          <w:rFonts w:eastAsia="Times New Roman" w:cs="Calibri"/>
          <w:sz w:val="16"/>
        </w:rPr>
        <w:t xml:space="preserve">With this in mind, we might return to the HRC advertisement to consider the process of nation- and empire-building operating through the practice of enemy production and the mobilization of desire. Looking more closely at the visual economies on which the advertisement draws, it is clear that the image of a white gay man holding a picture of his dead lover harkens back to other moments of mourning and loss within collective queer memory, especially those of the HIV/AIDS epidemic.25 The photograph invokes an earlier moment of mass death (which, evidently, has shifted its target since the rise of the epidemic in predominately white gay communities in the late 1980s). </w:t>
      </w:r>
      <w:r w:rsidRPr="006C71B6">
        <w:rPr>
          <w:rStyle w:val="StyleUnderline"/>
          <w:rFonts w:cs="Calibri"/>
        </w:rPr>
        <w:t>The reader, constructed as queer or queer friendly, is meant to breathe a sigh of relief: this is not a death caused by egregious neglect and disavowal on the part of the state, the medical establishment, or our own families. Nor shall this particular death be blamed on poverty, discrimination, or the lack of any substantial welfare state or safety net to care for the working poor. Rather, in a swift and powerful reversal, the enemy is no longer the establishment but rather the “terrorist.” Killed or left to die not because he is queer but because he is American, Bradkowski’s lover’s death constitutes a neoliberal replay of queer mourning that solicits racist, xenophobic protection as the only way to redress the pain, insecurity, and even homo- and queerphobia that is left intact throughout this process.</w:t>
      </w:r>
      <w:r w:rsidRPr="006C71B6">
        <w:rPr>
          <w:rFonts w:eastAsia="Times New Roman" w:cs="Calibri"/>
          <w:sz w:val="16"/>
        </w:rPr>
        <w:t xml:space="preserve"> Consigned now to the “past” is the ever-ravaging pandemic that continues to steal the lives of millions of poor and working-class people and people of color worldwide. Thinly covered over as well is the threat of death, the ongoing pain, despair, and grief that Bradkowski and his generation, race, and class of queers faced two decades ago. As we discuss, these </w:t>
      </w:r>
      <w:r w:rsidRPr="006C71B6">
        <w:rPr>
          <w:rStyle w:val="StyleUnderline"/>
          <w:rFonts w:cs="Calibri"/>
        </w:rPr>
        <w:t>forceful forgettings and re-memberings of life lost and discarded are vital strategies for the consolidation of the new world order</w:t>
      </w:r>
      <w:r w:rsidRPr="006C71B6">
        <w:rPr>
          <w:rFonts w:eastAsia="Times New Roman" w:cs="Calibri"/>
          <w:sz w:val="16"/>
        </w:rPr>
        <w:t xml:space="preserve">. With this analysis in mind, we argue that </w:t>
      </w:r>
      <w:r w:rsidRPr="006C71B6">
        <w:rPr>
          <w:rStyle w:val="StyleUnderline"/>
          <w:rFonts w:cs="Calibri"/>
        </w:rPr>
        <w:t>the homonormative turn must be located within a larger imperial project of promises and nonpromises that, while contingent on incitements to fantasy and the mobilization of desire, cannot be confined to questions of “queer politics” as such.</w:t>
      </w:r>
      <w:r w:rsidRPr="006C71B6">
        <w:rPr>
          <w:rFonts w:eastAsia="Times New Roman" w:cs="Calibri"/>
          <w:sz w:val="16"/>
        </w:rPr>
        <w:t xml:space="preserve"> It is thus critical to connect various forms of homonormativization that fall outside of what is commonly identified as “the homonormative”—or even “the sexual”—to expose how this strategy of seduction as an affective calling is issued in varied and contradictory sites. For instance, </w:t>
      </w:r>
      <w:r w:rsidRPr="006C71B6">
        <w:rPr>
          <w:rStyle w:val="StyleUnderline"/>
          <w:rFonts w:cs="Calibri"/>
        </w:rPr>
        <w:t>as critical postcolonial and women of color feminists have pointed out, many social movements in the process of acquiring funds have “NGOinized”</w:t>
      </w:r>
      <w:r w:rsidRPr="006C71B6">
        <w:rPr>
          <w:rFonts w:eastAsia="Times New Roman" w:cs="Calibri"/>
          <w:sz w:val="16"/>
        </w:rPr>
        <w:t xml:space="preserve"> themselves, albeit contradictorily, </w:t>
      </w:r>
      <w:r w:rsidRPr="006C71B6">
        <w:rPr>
          <w:rStyle w:val="StyleUnderline"/>
          <w:rFonts w:cs="Calibri"/>
        </w:rPr>
        <w:t>as a “non-profit-industrial-complex” has been built up</w:t>
      </w:r>
      <w:r w:rsidRPr="006C71B6">
        <w:rPr>
          <w:rFonts w:eastAsia="Times New Roman" w:cs="Calibri"/>
          <w:sz w:val="16"/>
        </w:rPr>
        <w:t xml:space="preserve">. In exchange for funding, this critique argues, </w:t>
      </w:r>
      <w:r w:rsidRPr="006C71B6">
        <w:rPr>
          <w:rStyle w:val="StyleUnderline"/>
          <w:rFonts w:cs="Calibri"/>
        </w:rPr>
        <w:t>NGOization has served to reroute radical political goals to desires for legitimacy, professionalization, and (relative) power. Thus it is not only queers in the first world context whose intimate desires, feelings, needs, and hopes are sites of value for empire and neoliberal capitalism to draw into their fold, but all of us</w:t>
      </w:r>
      <w:r w:rsidRPr="006C71B6">
        <w:rPr>
          <w:rFonts w:eastAsia="Times New Roman" w:cs="Calibri"/>
          <w:sz w:val="16"/>
        </w:rPr>
        <w:t xml:space="preserve">. In these instances, </w:t>
      </w:r>
      <w:r w:rsidRPr="006C71B6">
        <w:rPr>
          <w:rStyle w:val="StyleUnderline"/>
          <w:rFonts w:cs="Calibri"/>
        </w:rPr>
        <w:t xml:space="preserve">seduction toward something better promises subjects an end to pain, marginalization, and violence in exchange for being recognized as legitimate subjects who can potentially participate in global capitalist relations and its futures—collusion becomes the cost of </w:t>
      </w:r>
      <w:r w:rsidRPr="006C71B6">
        <w:rPr>
          <w:rStyle w:val="StyleUnderline"/>
          <w:rFonts w:cs="Calibri"/>
        </w:rPr>
        <w:lastRenderedPageBreak/>
        <w:t>belonging. Lest we slip (back) into the realm of the hated, the despised, the killable, and the disposable (that is, if we ever had a chance to leave), we must actively support and often embody the threat of force that lies on the other side of this tenuous promise, or so the logic goes</w:t>
      </w:r>
      <w:r w:rsidRPr="006C71B6">
        <w:rPr>
          <w:rFonts w:eastAsia="Times New Roman" w:cs="Calibri"/>
          <w:sz w:val="16"/>
        </w:rPr>
        <w:t xml:space="preserve">. Stressing this politico-economic context, it becomes possible to read many of the contradictions of the homonormative moment alongside and within the recent intensification of the war on terror and of global lockdown. One could argue that it is not a coincidence that the Supreme Court reversed its decision on sodomy during the period in which the United States penetrated Afghanistan and Iraq. One may wonder what is at stake in these simultaneous modes of power relations: war and death, on the one hand, and the reinsertion of the constitutional rights of “sodomites,” on the other. </w:t>
      </w:r>
      <w:r w:rsidRPr="006C71B6">
        <w:rPr>
          <w:rStyle w:val="StyleUnderline"/>
          <w:rFonts w:cs="Calibri"/>
        </w:rPr>
        <w:t>If, for a second, we read the granting of constitutional rights to queer subjects as the moment at which a war becomes deployed on the bodies of Afghanis and Iraqis, then we may wonder what is at stake with regard to the imperial order and its necessary subjects</w:t>
      </w:r>
      <w:r w:rsidRPr="006C71B6">
        <w:rPr>
          <w:rFonts w:eastAsia="Times New Roman" w:cs="Calibri"/>
          <w:sz w:val="16"/>
        </w:rPr>
        <w:t xml:space="preserve">. Are the imperial order and its necessary subjects in crisis? Do these become strategies of reinserting a particular order and granting legitimacy to specific subjects, or do these become strategies of discipline and control within defined borders while anarchy and death are unleashed on others? First, we must contextualize the Lawrence and Garner v. State of Texas decision. It is important to note that while Chief Justice John Roberts called for the support of the U.S. queers rights, he simultaneously called for the Guantánamo Bay detainees’ loss of rights in the United States Court of Appeals, for the District of Columbia Circuit, on July 15, 2005. </w:t>
      </w:r>
      <w:r w:rsidRPr="006C71B6">
        <w:rPr>
          <w:rStyle w:val="StyleUnderline"/>
          <w:rFonts w:cs="Calibri"/>
        </w:rPr>
        <w:t>What, then, does it mean to endorse queer rights within the borders of the United States while simultaneously justifying the nonspectacular “(non)scenes” of torture on other others?29 We argue that these are not incidental or nonconnected moves, but form part of a continuous episteme: the privatization of the freedom of the queer subject enshrines a culture of loss of rights for non-U.S. citizens while naturalizing the backdrop of (specifically black) (non) subjects within the United States whose civically dead or dying status has rarely been assigned rights to lose</w:t>
      </w:r>
      <w:r w:rsidRPr="006C71B6">
        <w:rPr>
          <w:rFonts w:eastAsia="Times New Roman" w:cs="Calibri"/>
          <w:sz w:val="16"/>
        </w:rPr>
        <w:t xml:space="preserve">. </w:t>
      </w:r>
      <w:r w:rsidRPr="006C71B6">
        <w:rPr>
          <w:rStyle w:val="StyleUnderline"/>
          <w:rFonts w:cs="Calibri"/>
        </w:rPr>
        <w:t>The violence and torture of the detainee comprises the raw material on which the privatized, territorially contained (and also national) freedom of the U.S. queer is articulated.</w:t>
      </w:r>
      <w:r w:rsidRPr="006C71B6">
        <w:rPr>
          <w:rFonts w:eastAsia="Times New Roman" w:cs="Calibri"/>
          <w:sz w:val="16"/>
        </w:rPr>
        <w:t xml:space="preserve"> Here we see how the support of queer rights in Lawrence and Garner v. State of Texas becomes a stage for both the playing out as well as the masking of racial, class, and national contestations. In taking a close look at the Salim Ahmed Hamdan, Appellee v. Donald H. Rumsfeld, United States Secretary of Defense, et al. case that Chief Justice Roberts supported twice in his appellate courts, we read: Afghani militia forces captured Salim Ahmed Hamdan in Afghanistan in late November 2001. Hamdan’s captors turned him over to the American military, which transported him to the Guantanamo Bay Naval Base in Cuba. The military initially kept him in the general detention facility, known as Camp Delta. On July 3, 2003, the President determined “that there is reason to believe that [Hamdan] was a member of al Qaeda or was otherwise involved in terrorism directed against the United States.” This finding brought Hamdan within the compass of the President’s November 13, 2001, Order concerning the Detention, Treatment, and Trial of Certain Non-Citizens in the War Against Terrorism, 66 Fed. Reg. 57,833. Accordingly, Hamdan was designated for trial before a military commission This case essentially grants to the president all power to make decisions regarding the future of those deemed terrorists. In this case, Hamdan, considered a member of al-Qaeda, had no rights to make any claims in U.S. or international courts, but rather had to be tried before military commissions. While his appellate court was considering this case, Roberts met with officials in the White House and was interviewed by George W. Bush to become the next judge on the Supreme Court. He ended up supporting twice the Bush administration’s desire to legally acquire the presidential power to “try battlefield captives and foreign terror suspects before military commissions.”32 As Bob Egelko writes, “In the 3–0 decision, written by another judge and joined by Roberts, the court allowed Hamdan’s military trial to proceed and said that the U.S. courts cannot enforce the Geneva Conventions on behalf of individual detainees. On another issue, the court ruled 2 – 1—with Roberts in the majority—that the Geneva Conventions apply only to nations and not to alleged combatants for terrorist groups.” Of course, we may argue, along with many legal scholars, that he “was not required to remove himself from all government cases, but this was no ordinary case—Bush himself was a defendant, and the issues were crucial to his claims of presidential power.”33 Roberts’s support of Bush’s presidential power here ends up assuming and hierarchizing the episteme that claims and assumes the power of the legal sovereignty of states in world politics thereby voiding individuals of any legal claims especially through the Geneva Conventions. A reading territorialized and constrained to the United States might suggest that Roberts’s position indicates a “liberal” or pro-queer stance. Moving away from such U.S.-centric readings, however, much more is revealed. In juxtaposing these two decisions, we come to recognize some of the tensions that emerge in the consolidation of the “new world order.” Roberts’s position in the sodomy case is informed by liberal principles of power and social relations if the focus is only inside the United States. </w:t>
      </w:r>
      <w:r w:rsidRPr="006C71B6">
        <w:rPr>
          <w:rStyle w:val="StyleUnderline"/>
          <w:rFonts w:cs="Calibri"/>
        </w:rPr>
        <w:t>With Justice Antonin Scalia’s articulation of his position in the sodomy case we observe a shift from Roberts’s dichotomization of the world (a strategy nevertheless of power) into sovereign nation-states, internally ordered and organized and with anarchy outside them. Scalia’s position is based on moral grounds and seems to be informed by a neoconservative moment upholding as its basic normative subject a heteronormative one. In sum, both strategies enable the “re-privatization” of sexuality whether in the name of hetero- or homonormativity</w:t>
      </w:r>
      <w:r w:rsidRPr="006C71B6">
        <w:rPr>
          <w:rFonts w:eastAsia="Times New Roman" w:cs="Calibri"/>
          <w:sz w:val="16"/>
        </w:rPr>
        <w:t xml:space="preserve">.It is important to turn to Scalia’s narrative </w:t>
      </w:r>
      <w:r w:rsidRPr="006C71B6">
        <w:rPr>
          <w:rStyle w:val="StyleUnderline"/>
          <w:rFonts w:cs="Calibri"/>
        </w:rPr>
        <w:t>to understand the nuances of this homo-/heteronormative (re)production of imperial bodies as raw material in the making</w:t>
      </w:r>
      <w:r w:rsidRPr="006C71B6">
        <w:rPr>
          <w:rFonts w:eastAsia="Times New Roman" w:cs="Calibri"/>
          <w:sz w:val="16"/>
        </w:rPr>
        <w:t xml:space="preserve">. Scalia dissented, labeling the decision “a massive disruption of the current social order.” It is crucial to highlight that Scalia’s decision, while ostensibly on the </w:t>
      </w:r>
      <w:r w:rsidRPr="006C71B6">
        <w:rPr>
          <w:rFonts w:eastAsia="Times New Roman" w:cs="Calibri"/>
          <w:sz w:val="16"/>
        </w:rPr>
        <w:lastRenderedPageBreak/>
        <w:t xml:space="preserve">other side of the fence, is also made possible through a set of similar epistemic assumptions of privatization and the production of a privatized subject. This </w:t>
      </w:r>
      <w:r w:rsidRPr="006C71B6">
        <w:rPr>
          <w:rStyle w:val="StyleUnderline"/>
          <w:rFonts w:cs="Calibri"/>
        </w:rPr>
        <w:t>(re) privatization of sexuality, that is, the constriction of sexual and affective ties through individual citizens, is given greater latitude within the democratic liberal context</w:t>
      </w:r>
      <w:r w:rsidRPr="006C71B6">
        <w:rPr>
          <w:rFonts w:eastAsia="Times New Roman" w:cs="Calibri"/>
          <w:sz w:val="16"/>
        </w:rPr>
        <w:t xml:space="preserve">. Take, for example, the first part of </w:t>
      </w:r>
      <w:r w:rsidRPr="006C71B6">
        <w:rPr>
          <w:rStyle w:val="StyleUnderline"/>
          <w:rFonts w:cs="Calibri"/>
        </w:rPr>
        <w:t>Scalia’s statement: “I have nothing against homosexuals or any other group, promoting their agenda through normal democratic means</w:t>
      </w:r>
      <w:r w:rsidRPr="006C71B6">
        <w:rPr>
          <w:rFonts w:eastAsia="Times New Roman" w:cs="Calibri"/>
          <w:sz w:val="16"/>
        </w:rPr>
        <w:t xml:space="preserve">.”34 </w:t>
      </w:r>
      <w:r w:rsidRPr="006C71B6">
        <w:rPr>
          <w:rStyle w:val="StyleUnderline"/>
          <w:rFonts w:cs="Calibri"/>
        </w:rPr>
        <w:t>This articulation is informed by the assumption that the liberal (capitalist, of course) democracy is the most productive site of regulating and mediating social relations. This (liberal capitalist) democracy comprises citizens that operate within very narrow confines of behavior and subjectivity</w:t>
      </w:r>
      <w:r w:rsidRPr="006C71B6">
        <w:rPr>
          <w:rFonts w:eastAsia="Times New Roman" w:cs="Calibri"/>
          <w:sz w:val="16"/>
        </w:rPr>
        <w:t xml:space="preserve">. The borders of these permissible modalities of existence and interaction are signaled by Scalia’s definition of “normal democratic means.” Indeed this </w:t>
      </w:r>
      <w:r w:rsidRPr="006C71B6">
        <w:rPr>
          <w:rStyle w:val="StyleUnderline"/>
          <w:rFonts w:cs="Calibri"/>
        </w:rPr>
        <w:t>“normalcy” becomes the sole space in which this new decriminalized (homo)sexuality can operate. Clear, then, is the tension between this unmarked liminal boundary that demarcates even this newly found (neo)liberal promise of freedom and the fantastical national manly subject of empire.</w:t>
      </w:r>
      <w:r w:rsidRPr="006C71B6">
        <w:rPr>
          <w:rFonts w:eastAsia="Times New Roman" w:cs="Calibri"/>
          <w:sz w:val="16"/>
        </w:rPr>
        <w:t xml:space="preserve"> The outside is always marked by the tension between the national (i.e., always bound to the territoriality of the state) and the transnational (i.e., flexible subjectivity not bound by anything).35 To (re)invoke earlier terms, freedom depends on the (re)founding of unfreedoms. Scalia continues: “Social perceptions of sexual and other morality change over time, and every group has the right to persuade its fellow citizens that its view of such matters is the best. . . . But persuading one’s fellow citizens is one thing, and imposing one’s views in absence of democratic majority will is something else.” Here we see </w:t>
      </w:r>
      <w:r w:rsidRPr="006C71B6">
        <w:rPr>
          <w:rStyle w:val="StyleUnderline"/>
          <w:rFonts w:cs="Calibri"/>
        </w:rPr>
        <w:t>the delimiting of legitimate forms of protest that once again reinscribe boundaries of the normal. As with, for example, critiques of NGOization and the so-called non-profit-industrial-complex, we see how certain forms of liberal protest are enabled precisely through the disenabling of others.</w:t>
      </w:r>
      <w:r w:rsidRPr="006C71B6">
        <w:rPr>
          <w:rFonts w:eastAsia="Times New Roman" w:cs="Calibri"/>
          <w:sz w:val="16"/>
        </w:rPr>
        <w:t xml:space="preserve"> For Scalia, imposing one’s views (i.e., protest, revolution, movement building, to name but three examples) is tantamount to criminal activity. </w:t>
      </w:r>
      <w:r w:rsidRPr="006C71B6">
        <w:rPr>
          <w:rStyle w:val="StyleUnderline"/>
          <w:rFonts w:cs="Calibri"/>
        </w:rPr>
        <w:t>What, one may wonder, constitutes such democratic citizens, and for what project? First, what we see through the decision is that granting rights to the sodomy subject becomes crucial toward the constitution of the heteronormative/imperial fantasy subject</w:t>
      </w:r>
      <w:r w:rsidRPr="006C71B6">
        <w:rPr>
          <w:rFonts w:eastAsia="Times New Roman" w:cs="Calibri"/>
          <w:sz w:val="16"/>
        </w:rPr>
        <w:t xml:space="preserve">. Scalia’s position on this decision gestures to the tensions that exist among negotiable interests (what we term here neoconservative and neoliberal). Along this liberal mode of deliberation, we see another strand of interest—that of the neoconservative position expressed by Clarence Thomas, who states, “Punishing someone for expressing his sexual preference through noncommercial consensual conduct with another adult does not appear to be a worthy way to expend valuable law enforcement resources. Notwithstanding this, I recognize that as a member of this court I am not empowered to help petitioners and others similarly situated.”36 What, exactly, is “noncommercial consensual conduct”? Embedded within this phrase is a market (and indeed, the interests of its agents must be protected) in which the democracy and the social order on which Scalia commented can only be envisioned. </w:t>
      </w:r>
      <w:r w:rsidRPr="006C71B6">
        <w:rPr>
          <w:rStyle w:val="StyleUnderline"/>
          <w:rFonts w:cs="Calibri"/>
        </w:rPr>
        <w:t xml:space="preserve">This noncommercial consensual conduct remaps the subject/being within a consent-force binary that cordons social protest, and alternative racial, sexual, class, and colonized positioning, to the terrain of the chaotic, unlawful, and hence killable zone. Such a construction of “noncommercial sex” effectively dichotomizes sex and the market, and, effectively, capitalist relations. </w:t>
      </w:r>
      <w:r w:rsidRPr="006C71B6">
        <w:rPr>
          <w:rFonts w:eastAsia="Times New Roman" w:cs="Calibri"/>
          <w:sz w:val="16"/>
        </w:rPr>
        <w:t xml:space="preserve">However, as women of color, Marxist, socialist, and materialist feminists have argued for nearly three decades, </w:t>
      </w:r>
      <w:r w:rsidRPr="006C71B6">
        <w:rPr>
          <w:rStyle w:val="StyleUnderline"/>
          <w:rFonts w:cs="Calibri"/>
        </w:rPr>
        <w:t>sexual and economic relations are always already inscribed within one another. Forging such dichotomies between sex and the market hence silences the myriad interconnections aptly detailed by such thinkers regarding the imbrication of sexuality, the market, colonial, racial, and class relations</w:t>
      </w:r>
      <w:r w:rsidRPr="006C71B6">
        <w:rPr>
          <w:rFonts w:eastAsia="Times New Roman" w:cs="Calibri"/>
          <w:sz w:val="16"/>
        </w:rPr>
        <w:t xml:space="preserve">.37 In addition to eclipsing these connections, </w:t>
      </w:r>
      <w:r w:rsidRPr="006C71B6">
        <w:rPr>
          <w:rStyle w:val="StyleUnderline"/>
          <w:rFonts w:cs="Calibri"/>
        </w:rPr>
        <w:t>the marking of sex as outside of capitalism masks precisely how this homonormativization serves the interests of capital. Moreover, by silencing the sexualized dimension of the market, thwarted and covered over are multiple histories of struggle, such as feminist and anticolonial struggles that have long acknowledged how imperial and slave relations are gendered, sexualized, and racialized within the context of a capitalist patriarchy. More specifically, the move to privatize and contain intimacies and sexuality within the realm of the private is at the same time another facet of a neoliberal strategy that absolves collective accountability and public intervention</w:t>
      </w:r>
      <w:r w:rsidRPr="006C71B6">
        <w:rPr>
          <w:rFonts w:eastAsia="Times New Roman" w:cs="Calibri"/>
          <w:sz w:val="16"/>
        </w:rPr>
        <w:t xml:space="preserve">. Indeed, the state, as the defender of the primacy of the ontology of profits and resources needed to enable such accumulations and productions,39 refuses to perform particular services necessary for the reproduction of neoliberal capitalist relations. Thus, </w:t>
      </w:r>
      <w:r w:rsidRPr="006C71B6">
        <w:rPr>
          <w:rStyle w:val="StyleUnderline"/>
          <w:rFonts w:cs="Calibri"/>
        </w:rPr>
        <w:t>the disciplinary nature of this ruling, which effectively guarantees unfreedom to less flexible and upwardly mobile subjects, obfuscates power relations of violence and death</w:t>
      </w:r>
      <w:r w:rsidRPr="006C71B6">
        <w:rPr>
          <w:rFonts w:eastAsia="Times New Roman" w:cs="Calibri"/>
          <w:sz w:val="16"/>
        </w:rPr>
        <w:t xml:space="preserve">. Despite the reference to a noncommercial-conduct sodomite sex that is morally unacceptable, the true force of the market emerges in the next </w:t>
      </w:r>
      <w:r w:rsidRPr="006C71B6">
        <w:rPr>
          <w:rFonts w:eastAsia="Times New Roman" w:cs="Calibri"/>
          <w:sz w:val="16"/>
        </w:rPr>
        <w:lastRenderedPageBreak/>
        <w:t xml:space="preserve">sentence. </w:t>
      </w:r>
      <w:r w:rsidRPr="006C71B6">
        <w:rPr>
          <w:rStyle w:val="StyleUnderline"/>
          <w:rFonts w:cs="Calibri"/>
        </w:rPr>
        <w:t>Stripping away the affective, erotic, and dangerous dimensions of sex, and particularly of queer or deviant sex, it is reduced to “conduct.” What demarcates the boundaries of this acceptable sex/relationality/being, of course, are the confines of profitability, expendability, and the “retention of law enforcement resources.”</w:t>
      </w:r>
      <w:r w:rsidRPr="006C71B6">
        <w:rPr>
          <w:rFonts w:eastAsia="Times New Roman" w:cs="Calibri"/>
          <w:sz w:val="16"/>
        </w:rPr>
        <w:t xml:space="preserve"> Thomas’s claim that if he were a member of the Texas legislature he would vote for the ruling also points to some disjunctures. He suggests that at the state level, he would relegate the decision-making capacity and power to the state because ultimately a state decision would benefit the individual (i.e., a more libertarian position here). </w:t>
      </w:r>
      <w:r w:rsidRPr="006C71B6">
        <w:rPr>
          <w:rStyle w:val="StyleUnderline"/>
          <w:rFonts w:cs="Calibri"/>
        </w:rPr>
        <w:t>What guarantees profitability of a different kind other than the flexible and the flexibility accorded to sex and intimacy by the U.S. Supreme Court</w:t>
      </w:r>
      <w:r w:rsidRPr="006C71B6">
        <w:rPr>
          <w:rFonts w:eastAsia="Times New Roman" w:cs="Calibri"/>
          <w:sz w:val="16"/>
        </w:rPr>
        <w:t xml:space="preserve">—a Texan lifestyle choice? </w:t>
      </w:r>
      <w:r w:rsidRPr="006C71B6">
        <w:rPr>
          <w:rStyle w:val="StyleUnderline"/>
          <w:rFonts w:cs="Calibri"/>
        </w:rPr>
        <w:t>This profitability is guaranteed by drawing on global lockdown to ensure and embody social relations of violence, exploitation, (non)safety, and/or (non)freedoms</w:t>
      </w:r>
      <w:r w:rsidRPr="006C71B6">
        <w:rPr>
          <w:rFonts w:eastAsia="Times New Roman" w:cs="Calibri"/>
          <w:sz w:val="16"/>
        </w:rPr>
        <w:t xml:space="preserve">. </w:t>
      </w:r>
    </w:p>
    <w:p xmlns:wp14="http://schemas.microsoft.com/office/word/2010/wordml" w:rsidRPr="006C71B6" w:rsidR="008263E8" w:rsidP="008263E8" w:rsidRDefault="008263E8" w14:paraId="5C3C1AFA" wp14:textId="77777777">
      <w:pPr>
        <w:pStyle w:val="Heading3"/>
        <w:rPr>
          <w:rFonts w:cs="Calibri"/>
        </w:rPr>
      </w:pPr>
      <w:r>
        <w:rPr>
          <w:rFonts w:cs="Calibri"/>
        </w:rPr>
        <w:lastRenderedPageBreak/>
        <w:t>I: War on Terror</w:t>
      </w:r>
    </w:p>
    <w:p xmlns:wp14="http://schemas.microsoft.com/office/word/2010/wordml" w:rsidRPr="007A438E" w:rsidR="008263E8" w:rsidP="008263E8" w:rsidRDefault="008263E8" w14:paraId="5AF33F6F" wp14:textId="77777777">
      <w:pPr>
        <w:pStyle w:val="Heading4"/>
      </w:pPr>
      <w:r w:rsidRPr="007A438E">
        <w:t>Domestication of the American queer has led to the establishment of homonormative and white expressions of the Family, incorporating the tolerably deviant “good” queers into liberal space of the US nation-state. State-sponsored gay marriage has functioned as both a sedative of resistance and a leveler of difference, ensuring that those who do deviate – like non-white immigrants and the bad queer terrorist – are always already presumed to be criminal.</w:t>
      </w:r>
    </w:p>
    <w:p xmlns:wp14="http://schemas.microsoft.com/office/word/2010/wordml" w:rsidRPr="00230EAB" w:rsidR="008263E8" w:rsidP="008263E8" w:rsidRDefault="008263E8" w14:paraId="241B977C" wp14:textId="77777777">
      <w:pPr>
        <w:rPr>
          <w:sz w:val="16"/>
        </w:rPr>
      </w:pPr>
      <w:r w:rsidRPr="007A438E">
        <w:rPr>
          <w:rStyle w:val="Style13ptBold"/>
        </w:rPr>
        <w:t>Eng 10</w:t>
      </w:r>
      <w:r w:rsidRPr="00230EAB">
        <w:rPr>
          <w:sz w:val="16"/>
        </w:rPr>
        <w:t xml:space="preserve"> (David L., Professor in the Department of English, the Program in Comparative Literature and Literary Theory, and the Program in Asian American Studies at the University of Pennsylvania, the author of Racial Castration: Managing Masculinity in Asian America, also published by Duke University Press, and a co-editor of Loss: The Politics of Mourning and Q&amp;A: Queer in Asian America., The Feeling of Kinship, 34-49, Duke University Press, 2010) //jd</w:t>
      </w:r>
    </w:p>
    <w:p xmlns:wp14="http://schemas.microsoft.com/office/word/2010/wordml" w:rsidRPr="00FE30C0" w:rsidR="008263E8" w:rsidP="0673B170" w:rsidRDefault="008263E8" w14:paraId="1803D0EB" wp14:textId="77777777" wp14:noSpellErr="1">
      <w:pPr>
        <w:rPr>
          <w:rStyle w:val="StyleUnderline"/>
        </w:rPr>
      </w:pPr>
      <w:r w:rsidRPr="0673B170" w:rsidR="0673B170">
        <w:rPr>
          <w:sz w:val="16"/>
          <w:szCs w:val="16"/>
        </w:rPr>
        <w:t>The Imaginary Waiting Room of History To place Lawrence v. Texas in context, it is necessary to recall two other significant historical events of 2003: the U.S. invasion and occupation of Iraq three months prior to the Lawrence ruling, as well as the Supreme Court’s Grutter v. Bollinger and Gratz v. Bollinger affirmative action deci- sions handed down only a week after Lawrence. How are these three signi- ficant historical events—of queer liberalism, U.S. imperialism, and racial (in)equality—connected to one another? How it is that the Supreme Court that effectively elected George W. Bush president is the same Supreme Court that resoundingly overturned Bowers v. Hardwick only seventeen years after the case was decided, while also upholding ever tenuously affirmative action by instituting a temporal limit to its application? Justice Kennedy’s majority opinion in Lawrence begins with ‘‘liberty’’ and ends with ‘‘freedom’’: ‘‘</w:t>
      </w:r>
      <w:r w:rsidRPr="0673B170" w:rsidR="0673B170">
        <w:rPr>
          <w:rStyle w:val="StyleUnderline"/>
        </w:rPr>
        <w:t xml:space="preserve">Liberty protects the person from unwar- ranted government intrusions into a dwelling or other private places . . . As the Constitution endures, persons in every generation can invoke its principles in their own search for greater freedom.’’≥∏ This slippage, from the abstract individual, ‘‘the person,’’ deserving of liberty from unwarranted government intrusion into his/her private home, to the organization of these abstract individuals into an implied social group, ‘‘persons in every generation,’’ in search of ever ‘‘greater freedom’’ and social belonging, is noteworthy. In the context of Lawrence, ‘‘liberty’’ is neither a positive nor a substantive liberty. The right to be left alone from state interference, surveillance, and criminalization is a negative liberty that does not, unlike affirmative action, require the material redistribution of resources. </w:t>
      </w:r>
      <w:r w:rsidRPr="0673B170" w:rsidR="0673B170">
        <w:rPr>
          <w:sz w:val="16"/>
          <w:szCs w:val="16"/>
        </w:rPr>
        <w:t>In</w:t>
      </w:r>
      <w:r w:rsidRPr="0673B170" w:rsidR="0673B170">
        <w:rPr>
          <w:sz w:val="16"/>
          <w:szCs w:val="16"/>
        </w:rPr>
        <w:t xml:space="preserve"> this sense, liberty for the individual is not about substantive equality for all. Even more, liberty might be said to imply, indeed constitute, an intended social group to whom rights, rec- ognition, and privileges are granted. From this perspective, the liberty of some can certainly be in conflict with the freedom of others. Hence, we need to ask, liberty and freedom for whom, where, and under what conditions? Lawrence v. Texas is lauded by legal scholars and the mainstream press alike as an unmitigated victory for gay and lesbian politics, as an unquestionable advancement for queer freedom and progress. </w:t>
      </w:r>
      <w:r w:rsidRPr="0673B170" w:rsidR="0673B170">
        <w:rPr>
          <w:rStyle w:val="StyleUnderline"/>
        </w:rPr>
        <w:t xml:space="preserve">Indeed, numerous gay and lesbian advocates call Lawrence our ‘‘Brown’,’ in refer- ence to Brown v. Board of Education, aligning homosexual with racial progress, while at the same time necessarily ignoring through this anal- ogy the fact that the plaintiffs in the case, John Geddes Lawrence and Tyron Garner, were a mixed-race couple.≥π In fact, Lawrence and Garner were not a couple at all, but part of a vexed one-night love triangle, according to legal scholar Dale Carpenter.≥∫ This material fact, largely ignored by Lawrence commentators, renders queer liberalism’s idealiza- tion of conjugal domesticity especially ironic. Even more, it insists that we analyze this landmark legal decision not only for its queer but also for its subsumed racial politics. In other words, what if we were to approach this ruling not as an unmitigated victory for queer liberalism, but as a symptom of the U.S. nation-state’s enduring inability to deal with problems of racial segregation, and thus come to terms with its ghosts of miscegenation? </w:t>
      </w:r>
      <w:r w:rsidRPr="0673B170" w:rsidR="0673B170">
        <w:rPr>
          <w:sz w:val="16"/>
          <w:szCs w:val="16"/>
        </w:rPr>
        <w:t xml:space="preserve">To put it in terms of the focus of this book, how does the contemporary emergence of queer liberalism depend upon a constitutive forgetting of race—on the racialization of intimacy? One of Justice Kennedy’s central premises for overturning Bowers v. Harwick was the ‘‘outdated’’ nature of sodomy statutes. Noting that, of the twenty-five states prohibiting such conduct at the time of the Bowers, only thirteen remain. </w:t>
      </w:r>
      <w:r w:rsidRPr="0673B170" w:rsidR="0673B170">
        <w:rPr>
          <w:sz w:val="16"/>
          <w:szCs w:val="16"/>
        </w:rPr>
        <w:t>Kennedy observes that in ‘‘those States, including Texas, that still proscribe sodomy (whether for same-sex or heterosexual conduct), there is a pattern of nonenforcement with respect to consent- ing adults acting in private.’’≥Ω In his scathing dissent from the majority opinion, Justice Antonin Scalia argues that the lack of enforcement of sodomy laws does not prove that they are outdated. To the contrary, Scalia protests, lack of enforcement is understandable given the fact that ‘‘consensual sodomy, like heterosexual intercourse, is rarely performed on stage. If all the Court means by ‘acting in private’ is ‘on private premises, with the doors closed and the windows covered,’ it is entirely unsurprising that evidence of enforcement would be hard to come by.’’ Scalia then immediately goes on to offer these telling parenthetical re- marks: ‘‘(Imagine the circumstances that would enable a search warrant to be obtained for a residence on the ground that there was probable cause to believe that consensual sodomy was then and there occurring).’’</w:t>
      </w:r>
      <w:r w:rsidRPr="0673B170" w:rsidR="0673B170">
        <w:rPr>
          <w:sz w:val="12"/>
          <w:szCs w:val="12"/>
        </w:rPr>
        <w:t>∂</w:t>
      </w:r>
      <w:r w:rsidRPr="0673B170" w:rsidR="0673B170">
        <w:rPr>
          <w:sz w:val="16"/>
          <w:szCs w:val="16"/>
        </w:rPr>
        <w:t>≠ Scalia’s sarcastic aside is a reminder that it was not the report of ‘‘consensual sodomy’’ that provided the legal basis for the intrusion of the Harris County Sheriff’s Department into the privacy of Lawrence’s Houston apartment. It was, in fact, the report of a weapons disturbance. Carpenter reports that Robert Eubanks, the jilted third in the Lawrence- Garner love triangle, called the Harris County police dispatcher using the following words: ‘‘[There’s] a nigger going crazy with a gun.’’∂</w:t>
      </w:r>
      <w:r w:rsidRPr="0673B170" w:rsidR="0673B170">
        <w:rPr>
          <w:sz w:val="12"/>
          <w:szCs w:val="12"/>
        </w:rPr>
        <w:t>∞</w:t>
      </w:r>
      <w:r w:rsidRPr="0673B170" w:rsidR="0673B170">
        <w:rPr>
          <w:sz w:val="16"/>
          <w:szCs w:val="16"/>
        </w:rPr>
        <w:t xml:space="preserve"> Scalia is right. People do not call the police when their neighbors are in fla- grante delicto. They do, however, call them when they see an uniden- tified black man on their property, and under such circumstances, the police always respond. It is this enduring and unresolved history of whiteness, private property, and black racial trespass that provides the material and ideological background through which the queer liberalism of Lawrence emerges. How is it, then, that what begins as a story of racial trespass can end as a narrative of queer freedom? It is useful to address this question by focusing on the legal genealogy of the Lawrence ruling traced out by both the majority and dissenting opinions. Both Kennedy and Scalia place Lawrence in a genealogy of privacy cases related to a woman’s control over her reproductive rights and access to abortion: Griswold v. Connecticut (1965); Eisenstadt v. Baird (1972); Roe v. Wade (1973); Carey v. Population Services International (1977); and Planned Parenthood of Southeastern Pennsylvania v. Casey (1992).∂</w:t>
      </w:r>
      <w:r w:rsidRPr="0673B170" w:rsidR="0673B170">
        <w:rPr>
          <w:sz w:val="12"/>
          <w:szCs w:val="12"/>
        </w:rPr>
        <w:t>≤</w:t>
      </w:r>
      <w:r w:rsidRPr="0673B170" w:rsidR="0673B170">
        <w:rPr>
          <w:sz w:val="16"/>
          <w:szCs w:val="16"/>
        </w:rPr>
        <w:t xml:space="preserve"> The legal genealogy of Lawrence traced here concerns issues of privacy, not race.∂</w:t>
      </w:r>
      <w:r w:rsidRPr="0673B170" w:rsidR="0673B170">
        <w:rPr>
          <w:sz w:val="12"/>
          <w:szCs w:val="12"/>
        </w:rPr>
        <w:t>≥</w:t>
      </w:r>
      <w:r w:rsidRPr="0673B170" w:rsidR="0673B170">
        <w:rPr>
          <w:sz w:val="16"/>
          <w:szCs w:val="16"/>
        </w:rPr>
        <w:t xml:space="preserve"> But what if we were to pursue a reading of Lawrence through an alternate legal genealogy, through the specter of race, through the ghost of miscegenation? One central argument raised by the plaintiffs’ attorneys—accepted in Justice O’Connor’s concurrence though ultimately dismissed by the ma- jority opinion—was framed in terms of equal protection. Orienting their argument around the question of equality, Lawrence’s and Garner’s law- yers insisted that Texas law regarding same-sex sodomy was a form of sex discrimination. That is, a sexual act committed by a man with a woman was permitted while the same act committed by a man with a man was criminalized. This equal protection argument emerged from the Recon- struction Era amendments to the U.S. Constitution—specifically, the equal protection clause of the 14th Amendment—and thus connects queer liberalism to histories of race, slavery, and segregation. Justice Kennedy gestures to this history of race and slavery when he cites Justice Stevens’s dissenting opinion in Bowers, that ‘‘neither his- tory nor tradition could save a law prohibiting miscegenation from constitutional attack,’’ in arguing that the Texas statute too was ob- solete.∂</w:t>
      </w:r>
      <w:r w:rsidRPr="0673B170" w:rsidR="0673B170">
        <w:rPr>
          <w:sz w:val="12"/>
          <w:szCs w:val="12"/>
        </w:rPr>
        <w:t xml:space="preserve">∂ </w:t>
      </w:r>
      <w:r w:rsidRPr="0673B170" w:rsidR="0673B170">
        <w:rPr>
          <w:sz w:val="16"/>
          <w:szCs w:val="16"/>
        </w:rPr>
        <w:t>Here, Justice Kennedy links Lawrence with the 1967 Loving v. Virginia ruling, in which the Court struck down a Virginia statute ban- ning mix-raced marriages.∂</w:t>
      </w:r>
      <w:r w:rsidRPr="0673B170" w:rsidR="0673B170">
        <w:rPr>
          <w:sz w:val="12"/>
          <w:szCs w:val="12"/>
        </w:rPr>
        <w:t>∑</w:t>
      </w:r>
      <w:r w:rsidRPr="0673B170" w:rsidR="0673B170">
        <w:rPr>
          <w:sz w:val="16"/>
          <w:szCs w:val="16"/>
        </w:rPr>
        <w:t xml:space="preserve"> In Loving, the Court held it unconstitu- tional for Virginia to allow a white person to marry a white person but not for a black person to marry a white person. I am fascinated by Kennedy’s analogizing of homosexuality to race. Both Kennedy and same-sex marriage advocates continually invoke civil rights cases as the legal and political precedents for Lawrence; they insistently compare current public resistance to same-sex marriage to ‘‘outdated’’ anti- miscegenation laws. As the stigma against mixed-raced couples proved legally untenable in 1967, so too will social and legal resistance wane against same-sex marriage in our present moment. Ironically, by turning to Loving as a source of queer liberation and freedom, these advocates ignore the historical fact that the overturning of anti-miscegenation law in Loving was accompanied by a simultaneous hardening of legal defenses against homosexuality in Boutilier v. Immigration Services (1967).∂</w:t>
      </w:r>
      <w:r w:rsidRPr="0673B170" w:rsidR="0673B170">
        <w:rPr>
          <w:sz w:val="12"/>
          <w:szCs w:val="12"/>
        </w:rPr>
        <w:t>∏</w:t>
      </w:r>
      <w:r w:rsidRPr="0673B170" w:rsidR="0673B170">
        <w:rPr>
          <w:sz w:val="16"/>
          <w:szCs w:val="16"/>
        </w:rPr>
        <w:t xml:space="preserve"> T</w:t>
      </w:r>
      <w:r w:rsidRPr="0673B170" w:rsidR="0673B170">
        <w:rPr>
          <w:rStyle w:val="StyleUnderline"/>
        </w:rPr>
        <w:t>his Supreme Court ruling, handed down just prior to the Loving decision, affirmed the constitutionality of a federal law that excluded homosexuals from eligibility for immigration and naturaliza- tion as an issue of national security.∂</w:t>
      </w:r>
      <w:r w:rsidRPr="0673B170" w:rsidR="0673B170">
        <w:rPr>
          <w:sz w:val="12"/>
          <w:szCs w:val="12"/>
        </w:rPr>
        <w:t>π</w:t>
      </w:r>
      <w:r w:rsidRPr="0673B170" w:rsidR="0673B170">
        <w:rPr>
          <w:rStyle w:val="StyleUnderline"/>
        </w:rPr>
        <w:t xml:space="preserve"> In 1963, Clive Michael Boutilier, a native of Canada, applied to become a naturalized U.S. citizen. Boutilier had earlier immigrated to the U.S. with his family in 1955, when he was twenty. Asked about his sexual history during his naturalization proceed- ings, Boutilier answered that, since the age of fourteen, he had engaged in sexual activity with both men and women. The U.S. government immedi- ately began deportation proceedings against Boutilier, which he chal- lenged all the way to the Supreme Court. In a 6–3 vote, the Court upheld the constitutionality of the ins deportation order. S</w:t>
      </w:r>
      <w:r w:rsidRPr="0673B170" w:rsidR="0673B170">
        <w:rPr>
          <w:rStyle w:val="StyleUnderline"/>
        </w:rPr>
        <w:t>iobhan Somerville observes, ‘‘In the eye of the law, the interracial couple was imagined as having a legitimate claim on the state at the same time that the nation was defensively constituted as heterosexual, incapable of incorporating the sexually suspect body. That the Supreme Court had reaffirmed the exclusion of homosexuals from citizenship only three weeks earlier makes it particularly ironic that Loving is cur- rently read as the precursor to gay and lesbian rights.’’∂∫ To represent Loving only as an expansion of marriage rights is misleading, Somerville argues, for Loving also simultaneously consolidated heterosexuality as a prerequisite for state recognition and the rights of citizenship.∂Ω</w:t>
      </w:r>
      <w:r w:rsidRPr="0673B170" w:rsidR="0673B170">
        <w:rPr>
          <w:sz w:val="16"/>
          <w:szCs w:val="16"/>
        </w:rPr>
        <w:t xml:space="preserve"> By analogizing Lawrence to Loving, we not only ignore this constitutive history of racial and sexual regulation but also overlook at our own peril the ways in which the U.S. state continues to c</w:t>
      </w:r>
      <w:r w:rsidRPr="0673B170" w:rsidR="0673B170">
        <w:rPr>
          <w:sz w:val="16"/>
          <w:szCs w:val="16"/>
        </w:rPr>
        <w:t>onsolidate and enforce heteronormativity precisely through the language of colorblindness. F</w:t>
      </w:r>
      <w:r w:rsidRPr="0673B170" w:rsidR="0673B170">
        <w:rPr>
          <w:rStyle w:val="StyleUnderline"/>
        </w:rPr>
        <w:t>urthermore, by analogizing same-sex marriage to this ‘‘settled’’ his- tory of interracial union, queer liberalism is embedded in a narrative of temporal development. That is, homosexuals are now allowed to exit what Chakrabarty describes as the ‘‘imaginary waiting room of history.’’ Emerging as queer liberals, they tacitly underwrite the unending march of human freedom and progress. In such a historical narrative, racial liberation is configured as a politics of the past, while queer liberalism is configured as a politics of the present. Racial liberation is thus deemed a completed project and consigned to a prior historical moment. From this perspective, the emergence of queer liberalism underwrites the simultaneous demise of affirmative action. I</w:t>
      </w:r>
      <w:r w:rsidRPr="0673B170" w:rsidR="0673B170">
        <w:rPr>
          <w:sz w:val="16"/>
          <w:szCs w:val="16"/>
        </w:rPr>
        <w:t>n short, queer liberalism becomes thinkable precisely because racial equality has been settled and achieved. Hence, the possibility of reading homosexuality and race as constitutive, as intersectional, as politically and temporally coeval is foreclosed. Let me elaborate upon this foreclosure by turning, once again, to Scalia’s response to Kennedy’s invocation of Loving. Scalia dismisses the heightened scrutiny claims associated with race as inapplicable to Law- rence’s claim of sex discrimination, refusing to find any plausible connec- tions between Loving and Lawrence. He notes that the Texas statute applies equally to all persons: men and women, homosexuals and heterosexuals alike. Scalia concedes that, although the statute distinguishes between the sexes insofar as the partner with whom the sexual acts are performed is concerned, ‘‘this cannot itself be a denial of equal protection, since it is precisely the same distinction regarding partner that is drawn in state laws prohibiting marriage with someone of the same sex while permitting marriage with someone of the opposite sex.’’ He continues: The objection is made, however, that the antimiscegenation laws inval- idating Loving v. V irginia, similarly were applicable to whites and blacks alike, and only distinguished between the races insofar as the partner was concerned. In Loving, however, we correctly applied heightened scrutiny, rather than the usual rational-basis review, because the Vir- ginia statute was ‘‘designed to maintain White Supremacy.’’ A racially discriminatory purpose is always sufficient to subject a law to strict scrutiny, even a facially neutral law that makes no mention of race. No purpose to discriminate against men or women as a class can be gleaned from the Texas law, so rational-basis review applies.∑≠ Here, it is important to note that Scalia’s legal reasoning, like Kennedy’s, also functions within an analogical frame, only reversing its conclusions. The facially neutral Virginia statute was in practice ‘‘designed to main- tain White Supremacy,’’ so heightened scrutiny, Scalia contends, had to apply. But no such argument can be made in Lawrence: ‘‘No purpose to discriminate against men or women as a class can be gleaned from the Texas law.’’ Hence, rational-basis review, not heightened scrutiny, must obtain. Despite their very significant divergence of opinion, the perspectives of Scalia and Kennedy ultimately converge insofar as both Justices im- plicitly endorse a liberal narrative of temporal development in regard to racial progress. Kennedy seeks to extend this liberal narrative of racial inclusion and progress to gays and lesbians; Scalia will not. Neverthe- less, in juxtaposing queer and racial liberation through a logic of temporal analogy, both Kennedy and Scalia implicitly consign racial libera- tion to the past, to the dustbin of history, a political project in our colorblind age both settled and achieved. In the process, the fact of Garner’s blackness—the ‘‘nigger going crazy with a gun’’—must neces- sarily be forgotten, its troubling presence banished in the face of queer liberalism’s narrative of liberty, freedom, and progress.∑∞ Such analogical reasoning, which resides at the heart of legal anal- ysis, must be deconstructed. For in configuring homosexuality and race as historical analogies, parallel issues that never cross, Kennedy, Scalia, same-sex marriage advocates, and indeed the law itself deny the ways in which sexuality and race function intersectionally—as supplements to one another. Th</w:t>
      </w:r>
      <w:r w:rsidRPr="0673B170" w:rsidR="0673B170">
        <w:rPr>
          <w:rStyle w:val="StyleUnderline"/>
        </w:rPr>
        <w:t>rough the inability to recognize the points of intersec- tion between race and (homo)sexuality, as well as the convergence of both then (Loving) and now (Lawrence), racial history is rewritten. Al- though numerous scholars in critical race, feminist, and queer studies have argued that identity categories are not analogous but intersec- tional, legal knowledge nevertheless remains insistently organized by such reasoning, by the notion that ‘‘sexual identity is in most ways, or at least in the most salient ways, like race.’’∑≤ Le</w:t>
      </w:r>
      <w:r w:rsidRPr="0673B170" w:rsidR="0673B170">
        <w:rPr>
          <w:sz w:val="16"/>
          <w:szCs w:val="16"/>
        </w:rPr>
        <w:t>gal scholar Janet E. Halley points out that ‘‘like race’’ arguments ‘‘are so intrinsically woven into American discourses of equal justice that they can never be entirely forgone.’’∑≥ It is important to recognize the ‘‘like race’’ comparisons are appealing precisely because of the his- torical role of race in Constitutional jurisprudence and the distinct his- tory of the 14th Amendment’s due process and equal protection clauses. Nevertheless, Halley emphasizes, an effort to move beyond the per- sistence and intractability of ‘‘like race’’ arguments in the law of</w:t>
      </w:r>
      <w:r w:rsidRPr="0673B170" w:rsidR="0673B170">
        <w:rPr>
          <w:rStyle w:val="StyleUnderline"/>
        </w:rPr>
        <w:t>fers t</w:t>
      </w:r>
      <w:r w:rsidRPr="0673B170" w:rsidR="0673B170">
        <w:rPr>
          <w:sz w:val="16"/>
          <w:szCs w:val="16"/>
        </w:rPr>
        <w:t xml:space="preserve">he possibility of moving beyond liberal identity-based frameworks in order to emphasize not ‘‘who we are but how we are thought,’’ thus drawing attention to the politics and problems of racial knowledge.∑∂ </w:t>
      </w:r>
      <w:r w:rsidRPr="0673B170" w:rsidR="0673B170">
        <w:rPr>
          <w:sz w:val="12"/>
          <w:szCs w:val="12"/>
        </w:rPr>
        <w:t>F</w:t>
      </w:r>
      <w:r w:rsidRPr="0673B170" w:rsidR="0673B170">
        <w:rPr>
          <w:sz w:val="16"/>
          <w:szCs w:val="16"/>
        </w:rPr>
        <w:t>rom the perspective of shifting political economies, Miranda Joseph identifies analogy as the dominant trope of post-Fordist globalization processes.∑∑ Building upon Spivak’s insights on questions of value in Marx, Joseph observes that analogy in late capitalism functions to ren- der an inchoate, emergent alterity into a known, recognizable, and in- ternally continuous other by focusing on similarity at the expense of difference. In the process, analogy levels what is heterogeneous and discontinuous in its objects of comparison, between what is known and what is unknown, and what is burdened and unburdened. Such a deployment of analogy disables a politics of intersectionality. It determinedly ‘‘amputates the incommensurable,’’ in Horkheimer and Adorno’s mem- orable words, which would focus on the interdependence of difference and alterity across various legal categories and social movements.∑∏ Taken together, Halley’s and Joseph’s critiques of analogy draw at- tention to who and what must be forgotten in order to consolidate modernity’s narrative of freedom and progress, its ceaseless march from before to after. In our putatively colorblind age, this shift from identity (who we are) to</w:t>
      </w:r>
      <w:r w:rsidRPr="0673B170" w:rsidR="0673B170">
        <w:rPr>
          <w:sz w:val="16"/>
          <w:szCs w:val="16"/>
        </w:rPr>
        <w:t xml:space="preserve"> epistemology (how we are thought) helps to address the politics of racial knowledge and loss, allowing us to ‘‘imagine other- wise.’’∑π It focuses our attention less on the will to authenticity, the drive to recuperation, and the evidence of experience—tenets central to liber- alism and its politics of recognition. Rather, it draws our critical focus to the ways in which heterogeneity is reduced to homogeneity, asking how the mobilization of ‘‘like race’’ arguments in our so-called colorblind age—one insistently configuring race in terms other than itself—poses significant challenges to a judicial system of precedent, which is prem- ised on the heightened scrutiny of race only in its overt manifestations. As race disappears, how will the law ever come to see it? In</w:t>
      </w:r>
      <w:r w:rsidRPr="0673B170" w:rsidR="0673B170">
        <w:rPr>
          <w:rStyle w:val="StyleUnderline"/>
        </w:rPr>
        <w:t xml:space="preserve"> this regard, when queer liberals insist that Lawrence is ‘‘our Loving’’ or ‘‘our Brown’,’ they foreclose the possibility of reading the Lawrence decision as part of a long legal tradition maintaining interlocking, indeed constitutive, systems of white supremacy and heterosexism founda- tional to liberal modernity’s unending march of freedom and progress.∑∫ We cannot regard the Lawrence decision as an unmitigated victory for queer recognition and rights. For insofar as Lawrence and Garner are a mixed-raced—and not just a same-sex—‘‘couple,’’ the ruling insistently points to the unfulfilled promise of Loving, insofar as Loving is per- sistently read as ending the stigmatization of cross-racial intimacies dissociated from a politics of (hetero)sexual regulation and consolida- tion. </w:t>
      </w:r>
      <w:r w:rsidRPr="0673B170" w:rsidR="0673B170">
        <w:rPr>
          <w:sz w:val="16"/>
          <w:szCs w:val="16"/>
        </w:rPr>
        <w:t>From another perspective, this repressed history of race in Lawrence might be said to indict the unfulfilled dream of racial desegregation itself proffered by Brown. Why, in other words, must we think about the Lawrence case only in terms of queer liberalism’s victory, rather than in terms of race, miscegenation, and segregation, unresolved in the past and persisting in the present? This forgetting, this conflation of Lawrence and Loving as a temporal analogy, underwrites the narrative of queer freedom and progress in our colorblind age. It demands a renewed inter- sectional approach. The Racialization of Intimacy My intersectional reading of homosexuality and race in Lawrence v. Texas must also be examined with a consideration of the insistent slide of homosexuality into discourses of intimacy and family, as well as marriage and coupledom, as they are expressed throughout the majority opinion and dissent, and in the social and political commentary that the ruling has generated. Kennedy’s majority opinion underscores the right to privacy as the sine qua non of gay and lesbian self-determination. He writes, ‘‘The petitioners are entitled to respect for their private lives. The State cannot demean their existence or control their destiny by making their private sexual conduct a crime. The right to liberty under the Due Process Clause gives them the full right to engage in their conduct without intervention of the government . . . The Texas statute furthers no legitimate state interest which can justify its intrusion into the personal and private life of the individual.’’∑Ω The right to privacy in the privileged form of what the Court variously describes as ‘‘consensual sexual intimacy’’ or ‘‘inti- mate sexual conduct’’ is not just the foundation from which contempo- rary notions of queer liberty and freedom emerge for gays and lesbians. The rhetoric of Kennedy’s majority opinion, as Teemu Ruskola and Ka- therine Franke argue, ultimately speaks only to couples in the private domain of the monogamous bedroom. In the process, the ruling neces- sarily effaces the material facts of the Lawrence-Garner-Eubanks love triangle.∏≠ Thr</w:t>
      </w:r>
      <w:r w:rsidRPr="0673B170" w:rsidR="0673B170">
        <w:rPr>
          <w:rStyle w:val="StyleUnderline"/>
        </w:rPr>
        <w:t>oughout the majority opinion, Kennedy constructs a second anal- ogy, likening homosexual relationships to heterosexual marriage, thus inscribing queer liberalism into a normative discourse of family and family values. Kennedy writes: ‘‘To say that the issue in Bowers was simply the right to engage in certain sexual conduct demeans the claim the individual put forward, just as it would demean a married couple were it to be said that marriage is simply about the right to have sexual intercourse.’’∏∞ And again: ‘‘When sexuality finds overt expression in intimate conduct with another person, the conduct can be but one element in a personal bond that is more enduring. The liberty protected by the Constitution allows homosexual persons the right to make this choice.’’∏≤ The legal question emerging in Lawrence does not focus on a fundamental right to engage in sodomy, but in intimacy, the latter be- coming the requirement for having a Constitutionally protected sex life. In</w:t>
      </w:r>
      <w:r w:rsidR="0673B170">
        <w:rPr/>
        <w:t xml:space="preserve"> </w:t>
      </w:r>
      <w:r w:rsidRPr="0673B170" w:rsidR="0673B170">
        <w:rPr>
          <w:sz w:val="16"/>
          <w:szCs w:val="16"/>
        </w:rPr>
        <w:t xml:space="preserve">this shift, from sodomy to intimacy, Lawrence parallels the con- sumer logic of global capitalism by desexualizing homosexuality not in the economic but in the political-legal domain. The case, that is, deem- phasizes acts (one night of sodomy) while inscribing a normative vision of acceptable queer identity and lifestyle (twenty years of intimacy, domesticity, coupledom, and consumption). It should not be a crime just to engage in homosexual sodomy. However, the legal rhetoric of Law- rence, Ruskola observes, ‘‘leaves little or no justification for protecting less-than-transcendental sex that is not part of an ongoing relation- ship.’’ The implicit bargain the Court proposes is clear: ‘‘The Court, and the Constitution, will respect our sex lives, but on condition that our sex lives be respectable.’’ In the process, ‘‘our sex lives begin to turn into entitlements recoded as part of universal human intimacy,’’ a kind of ‘‘ ‘compulsory heterosexuality’ in its new, second-generation form.’’∏≥ In our colorblind age, this might be described as one central aspect of queer liberalism’s law of kinship. By </w:t>
      </w:r>
      <w:r w:rsidRPr="0673B170" w:rsidR="0673B170">
        <w:rPr>
          <w:rStyle w:val="StyleUnderline"/>
        </w:rPr>
        <w:t>domesticating our sex lives, Lawrence removes queer liberalism from the public domain as an issue of homosexual equality and differ- ence. Instead, it relocates it in the private sphere of int</w:t>
      </w:r>
      <w:r w:rsidRPr="0673B170" w:rsidR="0673B170">
        <w:rPr>
          <w:rStyle w:val="StyleUnderline"/>
        </w:rPr>
        <w:t>imacy, family, and bourgeois respectability as sameness. From another perspective we might say that Lawrence not only inducts gays and lesbians into the time of liberal progress but also places them into the space of the liberal nation-state. In other words, Lawrence reinscribes the traditional divide between the public and private, upholding conventional liberal distinc- tions between the state and the family, civil society and the home. Nevertheless, it is clear that, while intimacy confers the rights and privileges of queer citizenship on those willing to conform to its tem- poral and spatial mandates, privacy is not conferred on all involved. It emerges precisely as a function of the sublation of race, as the racializa- tion of intimacy. In</w:t>
      </w:r>
      <w:r w:rsidR="0673B170">
        <w:rPr/>
        <w:t>d</w:t>
      </w:r>
      <w:r w:rsidRPr="0673B170" w:rsidR="0673B170">
        <w:rPr>
          <w:sz w:val="16"/>
          <w:szCs w:val="16"/>
        </w:rPr>
        <w:t>eed, as I discussed in the introduction, intimacy has had a philo- sophically central role in the evolution of the liberal human subject, the universal European man. In this genealogy, intimacy is indexed to a notion of privacy, insistently figured as relations of family and kinship in the space of the bourgeois home, as opposed to the public realm of work, civil society, and the state. Importantly, the evolution of the public and private spheres that characterized the rise of metropolitan European and North American societies depended on strict manage- ment of race. One</w:t>
      </w:r>
      <w:r w:rsidRPr="0673B170" w:rsidR="0673B170">
        <w:rPr>
          <w:rStyle w:val="StyleUnderline"/>
        </w:rPr>
        <w:t xml:space="preserve"> only needs to think about the social organization of the slave plantation to appreciate the ways in which bourgeois privacy and intimacy was secured precisely through the subordination of Afri- can slaves, indentured Asians, and colonized natives. Under the political economy of colonialism, the exploitation of racialized labor underwrote the formative material wealth of the European and North American middle class, while contributing to the rise of the political values of the republican state.∏∂ A</w:t>
      </w:r>
      <w:r w:rsidRPr="0673B170" w:rsidR="0673B170">
        <w:rPr>
          <w:sz w:val="12"/>
          <w:szCs w:val="12"/>
        </w:rPr>
        <w:t>s</w:t>
      </w:r>
      <w:r w:rsidRPr="0673B170" w:rsidR="0673B170">
        <w:rPr>
          <w:rStyle w:val="StyleUnderline"/>
        </w:rPr>
        <w:t xml:space="preserve"> Ann Laura Stoler points out, this political econ- omy was a form of racialized governmentality through which colonial- ism administered the enslaved and colonized, while insistently denying its racialized genealogy.∏∑ G.</w:t>
      </w:r>
      <w:r w:rsidRPr="0673B170" w:rsidR="0673B170">
        <w:rPr>
          <w:sz w:val="16"/>
          <w:szCs w:val="16"/>
        </w:rPr>
        <w:t xml:space="preserve">W.F. Hegel defines the emergence of modern liberal personhood in The Philosophy of Right as the development of individual self-conscious- ness through ever-evolving forms of property.∏∏ Through property, the universal European man established his right to self-possession: of body, interiority, mind, and spirit. The evolution of property in its more com- plex political forms—in marriage, family, civil society, and the state— mark the dialectic sublation of social particularity and difference into an ever-expanding and more inclusive whole. The Philosophy of Right, Lisa Lowe observes, depends on the dialectical overcoming of slavery by mod- ern human freedom, a contradiction resolved through the unity of hu- man particularity within the universality of the state and the production of the abstract individual. But this ‘‘ ‘overcoming’ depends on a concept of slavery that located its practice in the ‘Old World’ of ancient Greece and Rome rather than in the ‘New World’ of the Americas.’’∏π Hegel’s definition of freedom emerges through a developmental pro- cess in which the individual first possesses himself, his own interiority, then embeds his will in an object through labor, and subsequently makes a contract to exchange that thing. ‘‘Marriage and the family,’’ Lowe observes, ‘‘were primary and necessary sites of this investment of will in civil institutions; the ‘intimacy’ within the family was the property of the individual becoming ‘free.’ ’’∏∫ For European subjects in the nineteenth century, this notion of intimacy in the private sphere became the defin- ing property of the modern individual. Ideals of privacy in bourgeois domesticity were thus configured as the individual’s possession, to be politically protected, as in ‘‘the right to privacy.’’ It is this longer colonial history of intimacy as property and possession of the liberal individual— a history built on the repressed legacies of slave, indentured, and colo- nized labor—that serves as the backdrop for my comments on the racial- ization of intimacy securing the queer liberalism of Lawrence. Intimacy’s unfolding on the terrain of political freedom and progress through the rights of property, marriage, family, and children is an entitlement now being extended to domesticated gay and lesbian U.S. citizen-subjects, an entitlement that continues to displace its racialized conditions of possibility. In </w:t>
      </w:r>
      <w:r w:rsidRPr="0673B170" w:rsidR="0673B170">
        <w:rPr>
          <w:rStyle w:val="StyleUnderline"/>
        </w:rPr>
        <w:t>other words, gay and lesbian political en- franchisement colludes with conventional liberal distinctions between family and the state. Legacies of racial domination and segregation become subsumed under the sign of (gay) intimacy, privacy, family, and kinship. Ultimately, it is this highly regulated and dichotomized public- private social formation that Lawrence invites queer liberals to join. It is no surprise, then, that what begins as queer liberation has ended up at the political doorstep of same-sex marriage.∏Ω Today, neoliberal govern- mentality as a world-historical phenomenon universalizes freedom in the language of choice. M</w:t>
      </w:r>
      <w:r w:rsidRPr="0673B170" w:rsidR="0673B170">
        <w:rPr>
          <w:sz w:val="16"/>
          <w:szCs w:val="16"/>
        </w:rPr>
        <w:t>ore specifically, in the intimate realm of family and kinship relations, we are free to choose whom to marry. Jakobsen observes, the ‘‘Reformation ties the idea of individual freedom to the institution of marriage . . . Marriage, then, like the market, is part of the freedom from the church that marks the beginning of modernity . . . It is through marriage—by being able to say who we freely choose to marry— that gay people fully become individuals.’’π≠ In tracing this longer genealogy of intimacy in liberal political thought to Lawrence and to the contemporary emergence of queer liberalism, I would like to suggest that intimacy might be regarded as a type of racialized property right that remains unequally and unevenly distrib- uted among gay and lesbian populations today. In other words, queer liberalism extends the right of privacy to gay and lesbian U.S. citizen- subjects willing to comply with its normative dictates of bourgeois inti- macy, and able to afford the comforts of bourgeois domesticity in their reconfigured globalized inca</w:t>
      </w:r>
      <w:r w:rsidRPr="0673B170" w:rsidR="0673B170">
        <w:rPr>
          <w:sz w:val="16"/>
          <w:szCs w:val="16"/>
        </w:rPr>
        <w:t>rnations. In this sense, queer liberalism is not necessarily about excluding bourgeois racial subjects from its aegis. To the contrary, it is about failing to recognize the racial genealogy of exploitation and domination that underwrites the very inclusion of queers and queers of color in this abstract liberal polity. Legal formalists will most certainly take issue with this formulation of intimacy as a (racialized) property right, insisting that privacy is inalien- able, and that it can neither be bought nor sold as property. The impor- tant work of legal feminists, however, illustrates how certain forms of property thought to be inalienable—including licenses, degrees, and welfare benefits—might be regarded as property in, for example, divorce proceedings. Equally crucial, critical race scholars have also rethought legal conceptions of property in the context of a long U.S. history of slavery, racial segregation, and racial subordination. Highlighting the more metaphysical aspects of property as the right to things that are intangible—not just tangible, physical entities that can be bought and sold—critical race scholars trace how the law established a property interest in whiteness itself. Historically, whiteness came to assume the critical characteristics and status of property across several legal regis- ters and social domains. These range from first possessor rules during colonial settlement, to the creation of value in the cultivation of barren land, to Lockean labor theory under industrialization, to utilitarian the- ory under modern forms of capitalism. In her groundbreaking 1993 article ‘‘Whiteness as Property,’’ Cheryl I. Harris offers us one genealogy of this enduring connection.π∞ She notes how whiteness, initially constructed as racial identity, evolved into other forms of property protected in both explicit and implicit ways by U.S. law and society. Whiteness and property share a common premise in the right to exclude. Prio</w:t>
      </w:r>
      <w:r w:rsidRPr="0673B170" w:rsidR="0673B170">
        <w:rPr>
          <w:rStyle w:val="StyleUnderline"/>
        </w:rPr>
        <w:t>r to emancipation, black slaves were literally considered to be objects of property, while whites were constituted as subjects of freedom. Whiteness, Harris observes, was the ‘‘characteris- tic, the attribute, the property of free human beings.’’ After Emancipa- tion, across the Jim Crow era, and even after the overturning of legal- ized segregation and the advent of affirmative action, whiteness as property continued to evolve into more complex and modern forms ‘‘through the law’s ratification of the settled expectations of relative white privilege as a legitimate and natural baseline.’’π≤ The law’s construction of whiteness ‘‘defined and affirmed critical aspects of identity (who is white); of privilege (what benefits accrue to that status); and, of property (what legal entitlements arise from that status). Whiteness at various times signifies and is deployed as identity, status, and property, sometimes singularly, sometimes in tandem.’’π≥ Whiteness was, and continues to be, a valuable and exclusive property essential to the self-possession of the liberal individual, to the value of his or her reputation, and to the normative definitions of the enfran- chised U.S. citizen-subject. Whiteness and property, liberty and free- dom, are and continue to be inextricably intertwined. I wo</w:t>
      </w:r>
      <w:r w:rsidRPr="0673B170" w:rsidR="0673B170">
        <w:rPr>
          <w:sz w:val="16"/>
          <w:szCs w:val="16"/>
        </w:rPr>
        <w:t>uld like to connect Harris’s conception of white privilege as a nat- ural baseline for freedom—the property of free human beings, guarded by U.S. law and society—to my longer discussion of bourgeois intimacy, in European liberal political thought, as a racialized property right now being brought together and reconfigured by queer liberalism. Linking these two arguments from Enlightment philosophy and critical race theory, I would suggest that intimacy as a racialized property right—one predicated on a long U.S. history of racial subordination and the legal protection of white privilege—now serves to constitute normative gay and lesbian U.S. citizen-subjects as possessive individuals. It inducts them into an enlightened realm of being proper U.S. citizen-subjects, into an abstract and universalizing liberal narrative of political enfranchise- ment and inclusion, and into the proper time and space of the modern U.S. nation-state. In the era of late capitalism and gay identity, whiteness as property has now evolved to create new queer subjects for representa- tion, demanding a more thorough investigation of the degree to which (homo)sexuality and race constitute and consolidate conventional dis- tinctions between the time and space of civilization and barbarism. When</w:t>
      </w:r>
      <w:r w:rsidRPr="0673B170" w:rsidR="0673B170">
        <w:rPr>
          <w:rStyle w:val="StyleUnderline"/>
        </w:rPr>
        <w:t xml:space="preserve"> queer liberalism is declaring victory in the name of freedom and liberty, we are at a moment of critical urgency for sustained inter- sectional analyses. To rethink Lawrence v. Texas from this perspective is to return the ghost of miscegenation to queer liberalism’s putative legal victory. To </w:t>
      </w:r>
      <w:r w:rsidRPr="0673B170" w:rsidR="0673B170">
        <w:rPr>
          <w:sz w:val="16"/>
          <w:szCs w:val="16"/>
        </w:rPr>
        <w:t>deny the analogy of Lawrence to Brown and Loving would be to rethink queer liberalism’s unending storm of progress, to reconsider a historical genealogy of freedom through its unremitting deployments and disavowals of race and the racialization of intimacy. To resist the analogy of homosexual to racial progress is to understand what is politi- cally at stake in a colorblind U.S. society in which, to borrow from Wahneema Lubiano, ‘‘race no longer talks about race,’’ but is sublated into normative discourses of privacy, intimacy, bourgeois domesticity, marriage, family, and kinship.π∂ ‘‘</w:t>
      </w:r>
      <w:r w:rsidRPr="0673B170" w:rsidR="0673B170">
        <w:rPr>
          <w:sz w:val="12"/>
          <w:szCs w:val="12"/>
        </w:rPr>
        <w:t>O</w:t>
      </w:r>
      <w:r w:rsidRPr="0673B170" w:rsidR="0673B170">
        <w:rPr>
          <w:sz w:val="16"/>
          <w:szCs w:val="16"/>
        </w:rPr>
        <w:t>ur Western Civilization’’ Befo</w:t>
      </w:r>
      <w:r w:rsidRPr="0673B170" w:rsidR="0673B170">
        <w:rPr>
          <w:rStyle w:val="StyleUnderline"/>
        </w:rPr>
        <w:t xml:space="preserve">re concluding this chapter with some speculations on Dr. Schreber, I would like briefly to situate queer liberalism and its racialization of intimacy in a more global frame. In a post-9/11 world order, as legal scholar Leti Volpp observes, the opposite of the U.S. citizen is no longer the illegal alien but the terrorist.π∑ From this perspective, the discourse of queer liberalism and family values during an unending U.S. ‘‘War on Terror’’ serves to decriminalize queer identity, placing it under the aegis of constitutional rights, recognitions, and privileges at the </w:t>
      </w:r>
      <w:r w:rsidRPr="0673B170" w:rsidR="0673B170">
        <w:rPr>
          <w:rStyle w:val="StyleUnderline"/>
        </w:rPr>
        <w:t xml:space="preserve">very moment that racialized immigrants are presumptively criminalized, subject to indefinite detention and illegal surveillance in the name of U.S. se- curity, security for U.S. civil society, and protection for U.S. citizen- subjects. Lawrence comes at a moment when the enfranchisement of the nor- mative gay and lesbian U.S. citizen-subjects ‘‘over here’’ as liberated and free is accompanied by the simultaneous annihilation of Muslim popula- tions deemed unfree and uncivilized ‘‘over there.’’ This dialectic of inclu- sion and exclusion represents two sides of the same liberal coin. That is, U.S. led neoliberalism legitimates its global mission by coding the politi- cal power and economic wealth of its beneficiaries as the just rewards of a multicultural, cosmopolitan world citizenry. At the same time, as Jodi Melamed notes, it justifies the plight of the dispossessed through the rhetoric of mono-culturalism and other pathological cultural deficien- cies demanding military force to save lives, rescue women, provide basic needs, and promote democracy. Let </w:t>
      </w:r>
      <w:r w:rsidRPr="0673B170" w:rsidR="0673B170">
        <w:rPr>
          <w:sz w:val="16"/>
          <w:szCs w:val="16"/>
        </w:rPr>
        <w:t>us remember that the majority opinion in the Lawrence decision is remarkable not just for its insistence that ‘‘Freedom extends beyond spatial bounds.’’ Such a universalizing gesture is ironic given the fact that the liberty interest at stake is rhetorically figured as a bourgeois intimacy insistently tethered to the domestic space of the private home. The decision is equally notable for its gestures toward the European Court of Human Rights and the Canadian legislature, international and national legal bodies that have upheld the right of homosexual adults to engage in intimate consensual conduct and same-sex marriage, rulings not only at odds with the stated premise of the Bowers decision but also with the stated mission of the former Bush Administration and its numerous fundamentalist religious supporters. From this perspective, the assertion of queer liberalism on the global stage may be less about gay and lesbian rights, recognitions, and privileges than about codifying across the planet a Euro-American liberal humanist tradition of free- dom and democracy. In Lawrence’s time of intense U.S. exceptionalism and unilateralism, what does this turning toward a global community suggest? How does such a turning underwrite the collective and superior liberal humanist achievements of, in the words of Kennedy’s majority decision, ‘‘our Western civilization’’?π∏ What kind of truth claims do statements about freedom and liberty have in the face of our former Administration’s abrogation of international laws and treaties and its secret policies on torture, spying, and indefinite detention, as well as current political disasters in Iraq, Pakistan, and Afghanistan, along with the continuing evisceration of welfare, healthcare reform, and other social services with the upward redistribution of wealth to the already richest few? What kinds of unstated logics of civilization and barbarism, of the human itself, are being animated by the decriminalization of same-sex intimacy at the precise moment when racialized immigrants and the ra- cialized poor—both ‘‘over there’’ and ‘‘over here’’—are presumptively criminalized or killed? What type of political response would be ade- quate to a morality tale that passes itself off as foreign diplomacy and human rights? What does it mean when right-wing pundits such as Charles Krauthammer employ the language of gay liberation and free- dom to describe in dulcet tones contemporary incarnations of U.S. im- perialism, militarism, and the politics of force? ‘‘People are now coming out of the closet on the word empire.’’ππ It m</w:t>
      </w:r>
      <w:r w:rsidRPr="0673B170" w:rsidR="0673B170">
        <w:rPr>
          <w:rStyle w:val="StyleUnderline"/>
        </w:rPr>
        <w:t>eans that those of us committed to a renewed politics of identity in our colorblind age must concern ourselves with the problems and predicaments of intersectionality and insist on new approaches to inter- sectionality in queer studies. It means that we must reconsider how the emergence of queer freedom is produced in relation to a long racialized history of whiteness as property. It means that we must examine how the promulgation of abstract equality displaces the language of race into the register of privacy and intimacy, family and kinship. In other words, we must recognize how queer liberalism secures its legal, social, and moral claims through the simultaneous dismantling of affirmative ac- tion and the configuration of normative gay and lesbian U.S. citizen- subjects as a new model minority on the global stage. Su</w:t>
      </w:r>
      <w:r w:rsidRPr="0673B170" w:rsidR="0673B170">
        <w:rPr>
          <w:sz w:val="16"/>
          <w:szCs w:val="16"/>
        </w:rPr>
        <w:t>ch an account tracks the folding in of those individuals once sexually stigmatized into the mandates of U.S. empire, whether in the form of territorial occupa- tion and abrogation of sovereignty, the exportation of democracy and the rule of law, or the rights of free trade and unfettered consumption in a neoliberal politics of globalization. The dissociation of queer liberal- ism from its racialized genealogy constitutes the new neoliberal multi- culturalism of our current times. Free</w:t>
      </w:r>
      <w:r w:rsidRPr="0673B170" w:rsidR="0673B170">
        <w:rPr>
          <w:rStyle w:val="StyleUnderline"/>
        </w:rPr>
        <w:t>dom and the racialization of inti- macy mark queer liberalism’s normative politics of family and kinship as only the most recent incarnation of the ‘‘rights of man.’’ It is this par- ticular configuration of U.S. self-fashioning—not the maligned triumvi- rate of race, sex, and class—that constitutes the most virulent form of identity politics on the global stage today.</w:t>
      </w:r>
    </w:p>
    <w:p xmlns:wp14="http://schemas.microsoft.com/office/word/2010/wordml" w:rsidRPr="00B3141F" w:rsidR="008263E8" w:rsidP="008263E8" w:rsidRDefault="008263E8" w14:paraId="7CCFA189" wp14:textId="77777777">
      <w:pPr>
        <w:pStyle w:val="Heading3"/>
      </w:pPr>
      <w:r>
        <w:lastRenderedPageBreak/>
        <w:t>I: Antiblackness</w:t>
      </w:r>
    </w:p>
    <w:p xmlns:wp14="http://schemas.microsoft.com/office/word/2010/wordml" w:rsidRPr="00007AB8" w:rsidR="008263E8" w:rsidP="008263E8" w:rsidRDefault="008263E8" w14:paraId="169E8333" wp14:textId="77777777">
      <w:pPr>
        <w:pStyle w:val="Heading4"/>
      </w:pPr>
      <w:r>
        <w:t>Queer liberalism is anti-black and footnotes black queers who are left behind in struggles for representational equality</w:t>
      </w:r>
    </w:p>
    <w:p xmlns:wp14="http://schemas.microsoft.com/office/word/2010/wordml" w:rsidRPr="00007AB8" w:rsidR="008263E8" w:rsidP="008263E8" w:rsidRDefault="008263E8" w14:paraId="63244ED9" wp14:textId="77777777">
      <w:pPr>
        <w:rPr>
          <w:sz w:val="16"/>
        </w:rPr>
      </w:pPr>
      <w:r w:rsidRPr="00007AB8">
        <w:rPr>
          <w:rStyle w:val="Style13ptBold"/>
        </w:rPr>
        <w:t>Kiesling 17</w:t>
      </w:r>
      <w:r w:rsidRPr="00007AB8">
        <w:rPr>
          <w:sz w:val="16"/>
        </w:rPr>
        <w:t xml:space="preserve"> (Elena, working as an independent researcher, lecturer, and coach, fields of interest are Queer/Black Studies, American cultural studies, Ethnic Studies, Sports Sciences, The Missing Colors of the Rainbow: Black Queer Resistance, European journal of American studies, Special Issue: Re-Queering The Nation: America’s Queer Crisis, Vol 11, no 3, European Association for American Studies, 2017, </w:t>
      </w:r>
      <w:hyperlink w:history="1" r:id="rId121">
        <w:r w:rsidRPr="00007AB8">
          <w:rPr>
            <w:rStyle w:val="Hyperlink"/>
            <w:sz w:val="16"/>
          </w:rPr>
          <w:t>https://journals.openedition.org/ejas/11830</w:t>
        </w:r>
      </w:hyperlink>
      <w:r w:rsidRPr="00007AB8">
        <w:rPr>
          <w:sz w:val="16"/>
        </w:rPr>
        <w:t>) //jd</w:t>
      </w:r>
    </w:p>
    <w:p xmlns:wp14="http://schemas.microsoft.com/office/word/2010/wordml" w:rsidRPr="00007AB8" w:rsidR="008263E8" w:rsidP="008263E8" w:rsidRDefault="008263E8" w14:paraId="0F6D87A4" wp14:textId="77777777">
      <w:pPr>
        <w:rPr>
          <w:rStyle w:val="StyleUnderline"/>
        </w:rPr>
      </w:pPr>
      <w:r w:rsidRPr="00007AB8">
        <w:rPr>
          <w:rStyle w:val="StyleUnderline"/>
        </w:rPr>
        <w:t>The shootings of black men, the beatings of black women, the murders of black trans women, and the retraction of voting rights for the African American community in some U.S. states stand in sharp contrast to the presumably progressive gains of an LGBT movement which more than once claimed that “gay is the new black.”1 This is not only a dangerous analogy which lacks any profound grounding, it also leads to a discourse that draws a clear boundary between two separate communities and movements—one black, one queer—placing the former clearly on the margins of a society that happily embraces the latter</w:t>
      </w:r>
      <w:r w:rsidRPr="00AD1862">
        <w:rPr>
          <w:sz w:val="16"/>
        </w:rPr>
        <w:t xml:space="preserve">. What happens to the black queer experience when black is increasingly used as an antipode to queer, when black bodies are erased from queer scholarly discourse, activism, and neighborhoods while queer bodies are welcomed as a sign of progress and safety? For whom does this whiteness signify safety? These questions build the background for a critically queer analysis of black queerness at a time when white queerness and black masculinity are at the center of the public debate. Nneka Onourah’s The Same Difference (2015) critically engages with the interlocking identifications of blackness, queerness, and gender. The film is contextualized in relation to the history of queerness from the social movements of the 1960s through the HIV/AIDS crisis of the 1980s to today’s #BlackLivesMatter activism against state-sanctioned violence. </w:t>
      </w:r>
      <w:r w:rsidRPr="00007AB8">
        <w:rPr>
          <w:rStyle w:val="StyleUnderline"/>
        </w:rPr>
        <w:t xml:space="preserve">The resulting dialogue between the cultural representations and the material conditions in which they were formed challenges the dominant mainstream queer movement in which “the contemporary white gay male clone” (Muñoz 60) is the poster boy of white middle-class gayness and questions the presumed heterosexuality of the black community. </w:t>
      </w:r>
      <w:r w:rsidRPr="00AD1862">
        <w:rPr>
          <w:sz w:val="16"/>
        </w:rPr>
        <w:t xml:space="preserve">It reconstructs a paradigm for radical queer politics in the force-field of traditional notions of identity and community as potential for collective action, and queerness as a destabilizer of both. By </w:t>
      </w:r>
      <w:r w:rsidRPr="00007AB8">
        <w:rPr>
          <w:rStyle w:val="StyleUnderline"/>
        </w:rPr>
        <w:t xml:space="preserve">doing so, it adds to existing scholarship around the complex relationship between identity and community as well as recent scholarship in Black Queer Studies. Ultimately, the discourse surrounding black queerness, re-queers the nation by, paradoxically, bringing queerness back into a marginal position from which it can be critical of the state. Only within this complex array of power that generates voices from the margins will queerness find validity as a political strategy, a tool for critical thinking, a way of active resistance, and a basis for community action. </w:t>
      </w:r>
      <w:r w:rsidRPr="00AD1862">
        <w:rPr>
          <w:sz w:val="16"/>
        </w:rPr>
        <w:t>Through an assemblage of reading and writing practices that, methodologically, wade knee-deep in the messy terrain of cross-disciplinary inquiry—</w:t>
      </w:r>
      <w:r w:rsidRPr="00007AB8">
        <w:rPr>
          <w:rStyle w:val="StyleUnderline"/>
        </w:rPr>
        <w:t xml:space="preserve">from critical race studies, through queer of color critique, woman of color feminism, and visual cultural studies— this article engages in a variety of critical perspectives rather than finding safety in single-issue approaches that ignore the multi-faceted nature of social struggle outside of the hetero- and homonormative2 hegemonic framework. </w:t>
      </w:r>
      <w:r w:rsidRPr="00AD1862">
        <w:rPr>
          <w:sz w:val="16"/>
        </w:rPr>
        <w:t xml:space="preserve">The paper begins with the contextualization of identity and community in general and queerness and blackness in particular in a supposedly colorblind, post-racial era with a special focus on the #BlackLivesMatter movement. It then continues to outline the distinction between the development of blackness and queerness in the social movements of the 1960s and 1970s to describe how the former has become prone to criminality while the latter has become embedded in whiteness. The central part of this paper is the analysis of Nneka Onourah’s 2016 documentary The Same Difference that addresses the intersections of queerness, blackness, and gender in a unique and inspiring way. The paper concludes with an outlook on how the nation can be re-queered through marginalized voices that connect queerness to other forms of marginalization and through a queer theory that is informed by, not opposite to, women of color feminism and critical race studies. 2. Contextualization </w:t>
      </w:r>
      <w:r w:rsidRPr="00007AB8">
        <w:rPr>
          <w:rStyle w:val="StyleUnderline"/>
        </w:rPr>
        <w:t xml:space="preserve">Struggle around notions of identity and community have a long-standing history in the socio-political and cultural landscape of the U.S. Community on the basis of a fixed, essential identity has been heavily debated in the wake of a critique of identity politics and challenged by a wide variety of women of color feminists, queer of color scholars and radical activists </w:t>
      </w:r>
      <w:r w:rsidRPr="00007AB8">
        <w:rPr>
          <w:rStyle w:val="StyleUnderline"/>
        </w:rPr>
        <w:lastRenderedPageBreak/>
        <w:t>across the board that saw the limits of homogenization.3 Especially women of color feminists have challenged identity politics and argued for collective activism based on shared similarities across difference. Kimberley Crenshaw explains: “[T]he problem with identity politics is not that it fails to transcend difference... but rather the opposite—that it frequently conflates or ignores intragroup differences</w:t>
      </w:r>
      <w:r w:rsidRPr="00AD1862">
        <w:rPr>
          <w:sz w:val="16"/>
        </w:rPr>
        <w:t xml:space="preserve">” (1242). However, identity-centered action and by extension community-focused rhetoric continue to surface in political activism whenever the imagined core of a community is at stake because both, identity and community, nevertheless hold powerful positions in the socio-cultural and political realm. Although people still organize around shared aspects of identity, collective identity carries the dangers of homogenization in favor of a positive life-script that erases possible differences within the community (Appiah). Identity is never singular, and never essential. The danger of erasing intra-group differences is clearly recognizable in the actions of a mainstream queer community that focuses on marriage, access to state institutions (e.g. the military), and the incorporation into a neoliberal, homonormative, and colorblind society in general. </w:t>
      </w:r>
      <w:r w:rsidRPr="00007AB8">
        <w:rPr>
          <w:rStyle w:val="StyleUnderline"/>
        </w:rPr>
        <w:t>Lisa Duggan coined the term homonormativity in 2003 to describe a form of queer “politics that does not contest heteronormative assumptions and institutions but upholds and sustains them” (50). Such politics lead to an understanding of queerness as (white) identity, rather than critical of the hegemony of whiteness, because queerness has to clearly position itself as worthy of integrating into normative society, rather than being eccentric to it. The arguments held up in favor of such politics frequently propose an analogy between queerness and race (other than whiteness), in which queers are among the last recipients of certain civil rights that have already been bestowed on people of color</w:t>
      </w:r>
      <w:r w:rsidRPr="00AD1862">
        <w:rPr>
          <w:sz w:val="16"/>
        </w:rPr>
        <w:t xml:space="preserve">. Besides the irritating assumption that the fight for racial justice is historically complete, the additional pitfall of such a lack of intersectional thinking is the erasure of intra-group difference that Crenshaw bemoans. In light of the growing legal achievements of a politically mainstream queer movement in contrast to the lack of liberation and equality for a growing number of black Americans—attack on voting rights, criminalization—it becomes clear that queerness and blackness have not only historically been rendered parallel movements but continue to do so. From the social movements of the 1960s and 70s, through the HIV/AIDS crisis of the 1980s and 1990s, until today’s fight for incorporation into the nation-state, queer dynamics have always been an integral part of American culture and history. </w:t>
      </w:r>
      <w:r w:rsidRPr="00007AB8">
        <w:rPr>
          <w:rStyle w:val="StyleUnderline"/>
        </w:rPr>
        <w:t>Whether they have been silenced or hidden, censored or celebrated, they have played an active role in shaping society although the meaning of queerness has certainly changed. A derogatory term for homosexuals in the beginning, queer has later been reclaimed by HIV/AIDS activist and is currently used as an umbrella term for LGBT, a term for non- heterosexual or gender non-conforming practices, or as a radically non-identitarian, contradicting, and politically challenging term with a keen sense on positionality. Although queer is used in all three contexts, at times interchangeably, I deploy queer in a rather radical sense and attempt to use its most pertinent characteristics from the most powerful works in a queer of color critique</w:t>
      </w:r>
      <w:r w:rsidRPr="00AD1862">
        <w:rPr>
          <w:sz w:val="16"/>
        </w:rPr>
        <w:t xml:space="preserve">. This implies an understanding of queerness as radically critical of hetero-/homonormative politics that aim at incorporation into state-structures instead of challenging the unequal distribution of life-chances based on these structures. Cathy Cohen goes even so far as to describe blackness as queerness. Through her analysis of the brutal murder of Derrion Albert, Cohen reminds us of the need for such a move from a traditional reading of queerness as based on sexual practices toward a more radical reading of queerness including non-normative racial and ethnic identities within a neoliberal political context (Democracy). I want to incorporate her understanding of queerness into the critical investigation of the intersection of blackness and queerness because as much as queer dynamics have shaped the social and cultural markup of U.S. society, so have racial dynamics, especially blackness.4 Saidiya V. </w:t>
      </w:r>
      <w:r w:rsidRPr="00007AB8">
        <w:rPr>
          <w:rStyle w:val="StyleUnderline"/>
        </w:rPr>
        <w:t xml:space="preserve">Hartman defines blackness in terms of social relationality rather than identity, thus blackness incorporates subjects normatively defined as black, the relations among blacks, whites, and others, and the practices that produce racial difference. Blackness marks a social relationship of dominance and abjection and potentially one of redress and emancipation. It is a contested figure at the very center of social struggle. (57) The concept of social relationality rather than identity enables to envision a framework in which “power circulates in complicated ways rather than unidirectionally” (Friedman 63). It also creates an understanding of blackness that is aware of the multi-directional forces of power that shape blackness. The complexity aligns well with an understanding of queerness that is equally aware of the functions of complex, sometimes oppositional, power structures. Yet, an understanding of queerness as critical of identity needs to be </w:t>
      </w:r>
      <w:r w:rsidRPr="00007AB8">
        <w:rPr>
          <w:rStyle w:val="StyleUnderline"/>
        </w:rPr>
        <w:lastRenderedPageBreak/>
        <w:t xml:space="preserve">aware of the fact that the regulatory function of the norm that creates the subject affects blackness differently than it affects queerness.5 Cohen quite clearly states in her critique of queer politics, that “some traditional social identities and communal ties can, in fact, be important for one’s survival” (“Punks” 34). The crucial intersection of both movements—one black, one queer—is often ignored for the benefits of political activism that recurs to Gayatri Spivak’s strategic essentialism or even outright identity politics which is blind to intra-group differences. </w:t>
      </w:r>
      <w:r w:rsidRPr="00AD1862">
        <w:rPr>
          <w:sz w:val="16"/>
        </w:rPr>
        <w:t xml:space="preserve">Strategic essentialism works well at necessary moments when political recognition is the ultimate goal. The pitfalls of such a strategy, however, is the homogenization of a group identity that is far from homogenous at all. Stuart Hall argues that “[t]he essentializing moment is weak because it naturalizes and dehistoricizes difference” (111). The essentializing moment of the queer community that describes queer political activism in the present comes at the expense of other aspects of identification, such as race, class, and gender. The result is an either or bind, in which blackness and queerness are treated as separate but analogous identities. This creates a void at the intersection of both that makes queer of color people invisible and does not do justice to their lived experiences, their creative, political, and critical work. It also does not enable a critical queerness. </w:t>
      </w:r>
      <w:r w:rsidRPr="00007AB8">
        <w:rPr>
          <w:rStyle w:val="StyleUnderline"/>
        </w:rPr>
        <w:t xml:space="preserve">As the movements for black liberation and queer equality have drifted apart, there is still room for debate at the intersection of race and sexuality, both historically and contemporary. Blackness has been enslaved, attacked, freed, celebrated, appropriated, and claimed in U.S. history. In a postmodern, neoliberal, purportedly colorblind U.S. society, headed by a black President, it is still all of the above. Interestingly, it is very seldom queered. What does this mean for black queerness? Black queerness for the most part remains a side note; a marginal character to the main cultural, social, and political players of queerness and blackness although black queerness has shaped important periods of U.S. history. </w:t>
      </w:r>
      <w:r w:rsidRPr="00AD1862">
        <w:rPr>
          <w:sz w:val="16"/>
        </w:rPr>
        <w:t xml:space="preserve">Arguably one of the most influential literary periods, the Harlem Renaissance, was significantly shaped by queer artists of color such as Countee Cullen, Claude McKay, Langston Hughes, and Richard Bruce Nugent. </w:t>
      </w:r>
      <w:r w:rsidRPr="00007AB8">
        <w:rPr>
          <w:rStyle w:val="StyleUnderline"/>
        </w:rPr>
        <w:t>These writers and other artists formed the cultural aesthetics of the 1920s despite or because of their overtly and covertly queer black lives at a time when neither queerness nor blackness were embraced by society. Decades later, in the 1960s, an openly black gay civil rights activist, Bayard Rustin, was at the forefront of the civil rights movement, while other queer civil rights activist, such as Pauli Murray, have worked rather unnoticed.</w:t>
      </w:r>
      <w:r w:rsidRPr="00AD1862">
        <w:rPr>
          <w:sz w:val="16"/>
        </w:rPr>
        <w:t xml:space="preserve"> Although black queer characters have made considerable contributions to U.S. culture and society, black queerness has not become part of the collective memory of the nation.6 In a dangerous turn away from intersectionality, the important crossings of blackness and queerness are overlooked, preventing a focus on the multifaceted and often overlapping oppressive power structures that are shaped by gender, class, race, and sexuality, simultaneously. </w:t>
      </w:r>
      <w:r w:rsidRPr="00007AB8">
        <w:rPr>
          <w:rStyle w:val="StyleUnderline"/>
        </w:rPr>
        <w:t xml:space="preserve">Christina Hanhardt reconstructs the complex dynamics of queer activism in her book Safe Space from the early homophile movements, through gay liberation, and today’s activism that led to a change in focus from multi-issue activism focusing on police brutality across genders, race, and sexuality, to the primacy of whiteness, safety, and visibility. She argues that the increasing focus on safety and visibility in queer activism led to the construction of a white queer identity and community that positioned itself against people of color who were seen as the most common perpetrators of violence against queers and not the victims of violence. The shift in focus from fighting police brutality to mainstream queer politics centering on whiteness is also reflected in the collective memory of a mainstream queer community. One of the best known examples of gay activism, the Stonewall Riot in 1969, has become a highly marketed moment that is used to perpetuate a fictive7 beginning, burnt into public memory as the event that marked the onset of the fight for liberation among gays and lesbians. It is not remembered as one moment in a series of events confronting violence against those most marginalized—queers and of color—staged by those most affected by state-sanctioned violence. At the forefront of the protest were not young white college boys, as Roland Emmerich’s 2015 movie Stonewall suggests but queer and trans people of color, poor queers, and non-queer people of color that were frustrated with the </w:t>
      </w:r>
      <w:r w:rsidRPr="00007AB8">
        <w:rPr>
          <w:rStyle w:val="StyleUnderline"/>
        </w:rPr>
        <w:lastRenderedPageBreak/>
        <w:t>criminalization of and the violent reactions toward them</w:t>
      </w:r>
      <w:r w:rsidRPr="00AD1862">
        <w:rPr>
          <w:sz w:val="16"/>
        </w:rPr>
        <w:t xml:space="preserve">. Hanhardt clarifies: the memory of ‘Stonewall’... often omits the facts that it was a collective challenge to the police and that it was just the latest clash in an ongoing struggle. Furthermore, gay liberation organizations that arose in the aftermath of the riots believed that protection from the police would depend on their forming coalitions with other social movements, including Black power, radical feminism, and Third World decolonization. (1) </w:t>
      </w:r>
      <w:r w:rsidRPr="00007AB8">
        <w:rPr>
          <w:rStyle w:val="StyleUnderline"/>
        </w:rPr>
        <w:t>Turning the Stonewall Riots into a whitewashed memory of gay liberation is a cruel indictment of the workings of queer people of color all across the U.S. Yet, it is not only the erasure of color from a mainstream movie that is so disturbing. People intricately involved in these movements are silenced, censored, or worse erased from queer history as much as they are erased from the actual sites of the riots. The eradication of queer people of color from the neighborhood in which the Stonewall Inn is located is even more alarming. The queer and trans people of color that flocked the area around the Christopher Street Piers in New York City in the 1960s and 1970s and into the 1990s have been forced out of the area through massive gentrification measures and its usual suspects: increased police presence, skyrocketing rents, and the closing down of queer places in favor of chain-stores.</w:t>
      </w:r>
      <w:r w:rsidRPr="00AD1862">
        <w:rPr>
          <w:sz w:val="16"/>
        </w:rPr>
        <w:t xml:space="preserve"> For the white neighbors and the predominantly white tourists, the erasure of queer people of color signifies safety. Hanhardt argues that the historical developments of queer activism and the economic policies of the neoliberal city have led to the development of an analogy between race and sexuality in which queerness can only function if it is dispelled from other markers of identity such as race, class, and gender. </w:t>
      </w:r>
      <w:r w:rsidRPr="00007AB8">
        <w:rPr>
          <w:rStyle w:val="StyleUnderline"/>
        </w:rPr>
        <w:t>The silencing of black voices within queer activism and the refusal to acknowledge multiple intersecting aspects of identification can be seen throughout U.S. history. David Eng calls this “queer liberalism,” describing the “contemporary confluence of the political and economic spheres that forms the basis for the liberal inclusion of particular gay and lesbian U.S. citizen-subjects petitioning for rights and recognition before the law” (3). These particular gay and lesbian U.S. citizen-subjects are clearly marked by whiteness which Eng explains against the background of three landmark U.S. Supreme Court rulings, Lawrence vs. Texas (2003), Brown vs. Board of Education (1954), and Loving vs. Virginia (1967):8 “By analogizing Lawrence to Brown and Loving, gay and lesbian activists configure queer liberalism as a political project in the present while consigning racism as a political project of the past.... In other words, queer liberalism functions not in opposition to but with the logic of colorblindness that deems the racial project historically ‘complete’” (17). The historically completion of the racial project thus enables a thinking along the lines of ‘gay is the new black.’9 Attempts to bring both blackness and queerness in conversation with each other in the socio-cultural and political realm have for the most part been difficult to establish, except for some scholars, activists, and organizations that continue to write in the field. Nevertheless, the socio-political movements of blacks and queers remain severed and the rift between both communities grows with every new articulation of gay equals black analogies, homophobic utterances of leading black community institutions, the silence on racial equality from leading LGBT organizations, or the calls for safety within gay neighborhoods that target people of color and economically deprived populations.</w:t>
      </w:r>
    </w:p>
    <w:p xmlns:wp14="http://schemas.microsoft.com/office/word/2010/wordml" w:rsidRPr="00563341" w:rsidR="008263E8" w:rsidP="008263E8" w:rsidRDefault="008263E8" w14:paraId="4E560213" wp14:textId="77777777">
      <w:pPr>
        <w:pStyle w:val="Heading3"/>
      </w:pPr>
      <w:r w:rsidRPr="00563341">
        <w:lastRenderedPageBreak/>
        <w:t>S: White</w:t>
      </w:r>
    </w:p>
    <w:p xmlns:wp14="http://schemas.microsoft.com/office/word/2010/wordml" w:rsidRPr="006C71B6" w:rsidR="008263E8" w:rsidP="008263E8" w:rsidRDefault="008263E8" w14:paraId="3CC4F13A" wp14:textId="77777777">
      <w:pPr>
        <w:pStyle w:val="Heading4"/>
        <w:rPr>
          <w:rFonts w:eastAsia="Calibri" w:cs="Calibri"/>
        </w:rPr>
      </w:pPr>
      <w:r w:rsidRPr="006C71B6">
        <w:rPr>
          <w:rFonts w:cs="Calibri"/>
        </w:rPr>
        <w:t>Traditional legal approaches to liberation only asserts the state’s ability to decided who is worthy of life and who isn’t. Rather, we need an act of queer disruption against the nation state. We are all complicit in preserving the heteronormative order that dictates and necessitates the destruction of the queer other. By rejecting the politics of identification and forming a new subjectivity against the state</w:t>
      </w:r>
      <w:r w:rsidRPr="006C71B6">
        <w:rPr>
          <w:rFonts w:eastAsia="Calibri" w:cs="Calibri"/>
        </w:rPr>
        <w:t>,</w:t>
      </w:r>
      <w:r w:rsidRPr="006C71B6">
        <w:rPr>
          <w:rFonts w:cs="Calibri"/>
        </w:rPr>
        <w:t xml:space="preserve"> we deconstruct notions of citizenship and sovereignty</w:t>
      </w:r>
      <w:r w:rsidRPr="006C71B6">
        <w:rPr>
          <w:rFonts w:eastAsia="Calibri" w:cs="Calibri"/>
        </w:rPr>
        <w:t xml:space="preserve">. </w:t>
      </w:r>
    </w:p>
    <w:p xmlns:wp14="http://schemas.microsoft.com/office/word/2010/wordml" w:rsidRPr="006C71B6" w:rsidR="008263E8" w:rsidP="008263E8" w:rsidRDefault="008263E8" w14:paraId="12B8255F" wp14:textId="77777777">
      <w:pPr>
        <w:widowControl w:val="0"/>
        <w:autoSpaceDE w:val="0"/>
        <w:autoSpaceDN w:val="0"/>
        <w:adjustRightInd w:val="0"/>
        <w:spacing w:after="240" w:line="300" w:lineRule="atLeast"/>
        <w:rPr>
          <w:rFonts w:eastAsia="Calibri" w:cs="Calibri"/>
          <w:sz w:val="24"/>
          <w:szCs w:val="24"/>
        </w:rPr>
      </w:pPr>
      <w:r w:rsidRPr="006C71B6">
        <w:rPr>
          <w:rStyle w:val="Style13ptBold"/>
          <w:rFonts w:cs="Calibri"/>
        </w:rPr>
        <w:t>White 14</w:t>
      </w:r>
      <w:r w:rsidRPr="006C71B6">
        <w:rPr>
          <w:rFonts w:cs="Calibri"/>
          <w:sz w:val="24"/>
          <w:szCs w:val="24"/>
        </w:rPr>
        <w:t xml:space="preserve"> (Melissa Autumn, Toward a Queer Politics of No Borders. Pages 16-19 //Starboy)</w:t>
      </w:r>
    </w:p>
    <w:p xmlns:wp14="http://schemas.microsoft.com/office/word/2010/wordml" w:rsidRPr="008B3810" w:rsidR="008263E8" w:rsidP="008263E8" w:rsidRDefault="008263E8" w14:paraId="63F54103" wp14:textId="77777777">
      <w:pPr>
        <w:widowControl w:val="0"/>
        <w:autoSpaceDE w:val="0"/>
        <w:autoSpaceDN w:val="0"/>
        <w:adjustRightInd w:val="0"/>
        <w:spacing w:after="240" w:line="300" w:lineRule="atLeast"/>
        <w:rPr>
          <w:rStyle w:val="StyleUnderline"/>
        </w:rPr>
      </w:pPr>
      <w:r w:rsidRPr="006C71B6">
        <w:rPr>
          <w:rStyle w:val="StyleUnderline"/>
          <w:rFonts w:cs="Calibri"/>
        </w:rPr>
        <w:t>In deploying methodological nationalisms and visibility politics as tactics for alleviating the suffering, marginalization and exploitation of queer undocumented migrants, queer migrant organizing</w:t>
      </w:r>
      <w:r w:rsidRPr="006C71B6">
        <w:rPr>
          <w:rFonts w:cs="Calibri"/>
          <w:sz w:val="16"/>
          <w:szCs w:val="16"/>
        </w:rPr>
        <w:t xml:space="preserve"> such as the ‘Let Alvaro Stay’ campaign in Canada and the undocuqueer movement in </w:t>
      </w:r>
      <w:r w:rsidRPr="006C71B6">
        <w:rPr>
          <w:rStyle w:val="StyleUnderline"/>
          <w:rFonts w:cs="Calibri"/>
        </w:rPr>
        <w:t>the USA risks slipping into</w:t>
      </w:r>
      <w:r w:rsidRPr="006C71B6">
        <w:rPr>
          <w:rFonts w:cs="Calibri"/>
          <w:sz w:val="16"/>
          <w:szCs w:val="16"/>
        </w:rPr>
        <w:t xml:space="preserve"> the vortex of what David Eng, Judith Halberstam and Jose ́ Esteban Mun ̃ oz (2005) have termed </w:t>
      </w:r>
      <w:r w:rsidRPr="006C71B6">
        <w:rPr>
          <w:rStyle w:val="StyleUnderline"/>
          <w:rFonts w:cs="Calibri"/>
        </w:rPr>
        <w:t>‘queer liberalism</w:t>
      </w:r>
      <w:r w:rsidRPr="006C71B6">
        <w:rPr>
          <w:rFonts w:eastAsia="Calibri" w:cs="Calibri"/>
          <w:sz w:val="16"/>
          <w:szCs w:val="16"/>
        </w:rPr>
        <w:t xml:space="preserve">.’ </w:t>
      </w:r>
      <w:r w:rsidRPr="006C71B6">
        <w:rPr>
          <w:rStyle w:val="StyleUnderline"/>
          <w:rFonts w:cs="Calibri"/>
        </w:rPr>
        <w:t>Queer liberalism describes the ways that radical political aspirations get rounded up and contained through the petitioning for rights and recognition</w:t>
      </w:r>
      <w:r w:rsidRPr="006C71B6">
        <w:rPr>
          <w:rFonts w:cs="Calibri"/>
          <w:sz w:val="16"/>
          <w:szCs w:val="16"/>
        </w:rPr>
        <w:t xml:space="preserve"> (Eng et al., 2005: 10). </w:t>
      </w:r>
      <w:r w:rsidRPr="006C71B6">
        <w:rPr>
          <w:rStyle w:val="StyleUnderline"/>
          <w:rFonts w:cs="Calibri"/>
        </w:rPr>
        <w:t>Such rights-based organizing ultimately reasserts the state’s authority to make determinations about who should be subject to rights (of citizenship, of permanent residency) and who can – and should – rightfully be excluded. While gaining rights and recognition for (some) queer undocumented migrants stands to alleviate the suffering, vulnerability and precarity of those who, like Alvaro, gain the ‘right to stay,’ such strategies are inherently limited. As forms of ‘homonationalism’ (Puar, 2007), they cannot, and do not, fundamentally challenge the nation-state form or the technologies of governance that citizenship upholds.</w:t>
      </w:r>
      <w:r w:rsidRPr="006C71B6">
        <w:rPr>
          <w:rFonts w:cs="Calibri"/>
          <w:sz w:val="16"/>
          <w:szCs w:val="16"/>
        </w:rPr>
        <w:t xml:space="preserve"> Both the ‘Let Alvaro Stay’ campaign and the ‘I Am Undocuqueer’ project are examples of demands for regularization, a means to legalize or ‘regularize’ the status of undocumented migrants. </w:t>
      </w:r>
      <w:r w:rsidRPr="006C71B6">
        <w:rPr>
          <w:rStyle w:val="StyleUnderline"/>
          <w:rFonts w:cs="Calibri"/>
        </w:rPr>
        <w:t>Regularization programs like the DREAM Act are themselves forms of governance, acting to categorize and separate ‘those worthy of permanent residency and eventual formal citizenship from those deemed unworthy or dangerous’</w:t>
      </w:r>
      <w:r w:rsidRPr="006C71B6">
        <w:rPr>
          <w:rFonts w:cs="Calibri"/>
          <w:sz w:val="16"/>
          <w:szCs w:val="16"/>
        </w:rPr>
        <w:t xml:space="preserve"> (McDonald, 2009: 68). In Jean McDonald’s (2009: 74) succinct formulation, ‘</w:t>
      </w:r>
      <w:r w:rsidRPr="006C71B6">
        <w:rPr>
          <w:rStyle w:val="StyleUnderline"/>
          <w:rFonts w:cs="Calibri"/>
        </w:rPr>
        <w:t>to advocate for a regularization program is to participate in a nation-building exercise: to ask the state to reassert itself and make decisions about who is desirable and who is undesirable</w:t>
      </w:r>
      <w:r w:rsidRPr="006C71B6">
        <w:rPr>
          <w:rFonts w:eastAsia="Calibri" w:cs="Calibri"/>
          <w:sz w:val="16"/>
          <w:szCs w:val="16"/>
        </w:rPr>
        <w:t xml:space="preserve">.’ </w:t>
      </w:r>
      <w:r w:rsidRPr="006C71B6">
        <w:rPr>
          <w:rStyle w:val="StyleUnderline"/>
          <w:rFonts w:cs="Calibri"/>
        </w:rPr>
        <w:t>And yet, the demand for regular- ization remains one of the central strategies of groups such as No One Is Illegal</w:t>
      </w:r>
      <w:r w:rsidRPr="006C71B6">
        <w:rPr>
          <w:rFonts w:cs="Calibri"/>
          <w:sz w:val="16"/>
          <w:szCs w:val="16"/>
        </w:rPr>
        <w:t xml:space="preserve">, the Toronto-chapter of which organized the ‘Let Alvaro Stay’ campaign, which evokes the state’s authority in the very plea to ‘let’ Alvaro stay. While neither the ‘Let Alvaro Stay’ campaign nor the still emerging undocuqu- eer movement directly challenge the logic of nation-states and border security regimes, activists involved in both of these examples of queer anti-deportation activism are demonstrably critical of discourses of rights and citizenship. Recall, for example, the text accompanying Ireri’s ‘I Am Undocuqueer’ portrait, in which she declares: ‘Just like being queer has allowed me to forget the norms, I want to be able to say forget the laws (immigration laws specifically) and start living.’ Ireri’s declaration suggests that </w:t>
      </w:r>
      <w:r w:rsidRPr="006C71B6">
        <w:rPr>
          <w:rStyle w:val="StyleUnderline"/>
          <w:rFonts w:cs="Calibri"/>
        </w:rPr>
        <w:t xml:space="preserve">immigration law – which upholds the nation-state’s right to determine who will be granted the rights of residence and citizenship – captures and contains life and its possibilities. She suggests that the state form, much like regimes of gender and sexual identity, actively controls and limits desire, whereas mobility across </w:t>
      </w:r>
      <w:r w:rsidRPr="006C71B6">
        <w:rPr>
          <w:rStyle w:val="StyleUnderline"/>
          <w:rFonts w:cs="Calibri"/>
        </w:rPr>
        <w:lastRenderedPageBreak/>
        <w:t>and through these normative grids opens up spaces for new desires, new forms of life</w:t>
      </w:r>
      <w:r w:rsidRPr="006C71B6">
        <w:rPr>
          <w:rFonts w:cs="Calibri"/>
          <w:sz w:val="16"/>
          <w:szCs w:val="16"/>
        </w:rPr>
        <w:t xml:space="preserve">. Likewise, Dmitri Papadopoulos and Vassilis Tsianos (2008: 224) argue that mobility is not about ‘movement’ per se, rather it is about ‘the appropriation and remaking of space’ (my emphasis). Building on these insights, I would argue that queer migrant justice activism is inherently a spatial politics. </w:t>
      </w:r>
      <w:r w:rsidRPr="006C71B6">
        <w:rPr>
          <w:rStyle w:val="StyleUnderline"/>
          <w:rFonts w:cs="Calibri"/>
        </w:rPr>
        <w:t xml:space="preserve">At its best, queer migrant activism could be respatializing, challenging the territorialities of the nation-state form – that power that produces the vulnerability that it is then asked to ameliorate – and also that of gender and sexual identity – which, through the inherent violence of representation, territorializes desire, holding it in place. </w:t>
      </w:r>
      <w:r w:rsidRPr="006C71B6">
        <w:rPr>
          <w:rFonts w:cs="Calibri"/>
          <w:sz w:val="16"/>
          <w:szCs w:val="16"/>
        </w:rPr>
        <w:t xml:space="preserve">This returns me to the problem or tension of ‘performative contradiction’ that Butler insists is necessary for the very possibility of radical politics. In working to expand the sphere of inclusion, queer anti-deportation activists do not only unwit- tingly reproduce methodological nationalisms, they do so strategically in order to make their claims hearable by the state. As Harsha Walia (2013: 184), movement organizer with No One Is Illegal has reflected, </w:t>
      </w:r>
      <w:r w:rsidRPr="006C71B6">
        <w:rPr>
          <w:rStyle w:val="StyleUnderline"/>
          <w:rFonts w:cs="Calibri"/>
        </w:rPr>
        <w:t>there are deep paradoxes in meeting the immediate needs of individuals within the system ‘while also mobilizing for the eventual abolition of oppressive systems.’ Clearly there are ‘contradictions inherent in fighting for immigration status while advancing opposition to the legitimacy of borders’</w:t>
      </w:r>
      <w:r w:rsidRPr="006C71B6">
        <w:rPr>
          <w:rFonts w:cs="Calibri"/>
          <w:sz w:val="16"/>
          <w:szCs w:val="16"/>
        </w:rPr>
        <w:t xml:space="preserve"> (Fortier, 2010: 3). Yet, as Walia suggests (2013: 184), what has sustained NOII is ‘the deliberate fusion and cohesion of these seemingly divergent strategies, with attentiveness to context, as well as to refuse to engage in reformist strategies that are essentially contrary to our transformative values.’ The granting of status to the millions of migrants living without legal rights in the USA, Canada and beyond would have an enormous impact on the quality of lives lived within the context of nation-states, the current dominant form of geopolitical social order. But to what extent might this energy be redirected into a more expansive critique of </w:t>
      </w:r>
      <w:r w:rsidRPr="006C71B6">
        <w:rPr>
          <w:rStyle w:val="StyleUnderline"/>
          <w:rFonts w:cs="Calibri"/>
        </w:rPr>
        <w:t>the nation- state form and its governance through citizenship as key mechanisms in the global organization of hierarchies of exploitation that are central to the intensification of capitalism? Fighting for ‘fairer’ immigration policies is not a solution to the violences that are produced and organized through the nation-state form as a motor for global capitalism.</w:t>
      </w:r>
      <w:r w:rsidRPr="006C71B6">
        <w:rPr>
          <w:rFonts w:cs="Calibri"/>
          <w:sz w:val="16"/>
          <w:szCs w:val="16"/>
        </w:rPr>
        <w:t xml:space="preserve"> As Bridget Anderson, Nandita Sharma and Cynthia Wright (2009: 5) have asserted, ‘the simultaneous process of granting more freedom to capital aless to migrants is far from a contradiction and is in fact a crucial underpinning of global capitalism and the equally global system of national states.’ Undocumented migrants – and their perpetual deportability – are necessary for the functioning of global capitalism and the nation-states we currently describe as ‘Canada’ and ‘the USA’ as peripheral and exploitable laborers. </w:t>
      </w:r>
      <w:r w:rsidRPr="006C71B6">
        <w:rPr>
          <w:rStyle w:val="StyleUnderline"/>
          <w:rFonts w:cs="Calibri"/>
        </w:rPr>
        <w:t>Borders do not function to stop migration, rather they function to produce differential belongings and ‘an active process of inclusion of migrant labor by means of its criminalization’</w:t>
      </w:r>
      <w:r w:rsidRPr="006C71B6">
        <w:rPr>
          <w:rFonts w:cs="Calibri"/>
          <w:sz w:val="16"/>
          <w:szCs w:val="16"/>
        </w:rPr>
        <w:t xml:space="preserve"> (Mezzadra, 2004). </w:t>
      </w:r>
      <w:r w:rsidRPr="006C71B6">
        <w:rPr>
          <w:rStyle w:val="StyleUnderline"/>
          <w:rFonts w:cs="Calibri"/>
        </w:rPr>
        <w:t>This is why it is so crucial to move beyond a politics of representation and visibility and toward a more thoroughgoing critique of how nation-states and nationalized identities – citizen, migrant, undocumented, all these are identities of un/belonging whose intelligibility is entirely yoked to a methodological nation- alism – must be transformed if we are ever to move beyond the disparities relied on and reproduced by global capitalism</w:t>
      </w:r>
      <w:r w:rsidRPr="006C71B6">
        <w:rPr>
          <w:rFonts w:cs="Calibri"/>
          <w:sz w:val="16"/>
          <w:szCs w:val="16"/>
        </w:rPr>
        <w:t xml:space="preserve">. I suggested earlier that the solution is not one of ‘citizenship-for-all’ as advo- cated by one of Alvaro’s allies. ‘Citizenship-for-all’ is an impossible formulation in that it ignores the fact that </w:t>
      </w:r>
      <w:r w:rsidRPr="006C71B6">
        <w:rPr>
          <w:rStyle w:val="StyleUnderline"/>
          <w:rFonts w:cs="Calibri"/>
        </w:rPr>
        <w:t>citizenship, by definition, is exclusionary</w:t>
      </w:r>
      <w:r w:rsidRPr="006C71B6">
        <w:rPr>
          <w:rFonts w:eastAsia="Calibri" w:cs="Calibri"/>
          <w:sz w:val="16"/>
          <w:szCs w:val="16"/>
        </w:rPr>
        <w:t xml:space="preserve">. </w:t>
      </w:r>
      <w:r w:rsidRPr="006C71B6">
        <w:rPr>
          <w:rStyle w:val="StyleUnderline"/>
          <w:rFonts w:cs="Calibri"/>
        </w:rPr>
        <w:t>But moreover, this formulation obscures the role that citizenship plays as a global difference- making device and as a technology of labor governance. Whether as a form of ‘inherited property’ or a ‘birthright lottery’</w:t>
      </w:r>
      <w:r w:rsidRPr="006C71B6">
        <w:rPr>
          <w:rFonts w:cs="Calibri"/>
          <w:sz w:val="16"/>
          <w:szCs w:val="16"/>
        </w:rPr>
        <w:t xml:space="preserve"> (Shachar, 2009; Shachar and Hirschl, 2007), one’s citizenship or non-citizenship has profound effects on one’s life chances. The solution to the unevenness in life chances that national borders not only reflect but actively produce and organize is therefore not ‘citizenship-for-all’ but rather the dissolution of borders and nation-states. Recollecting De Genova (2013: 255), </w:t>
      </w:r>
      <w:r w:rsidRPr="006C71B6">
        <w:rPr>
          <w:rStyle w:val="StyleUnderline"/>
          <w:rFonts w:cs="Calibri"/>
        </w:rPr>
        <w:t xml:space="preserve">without borders there can be no ‘migrants,’ only mobility. Calls for the dissolution of national borders require a </w:t>
      </w:r>
      <w:r w:rsidRPr="006C71B6">
        <w:rPr>
          <w:rStyle w:val="StyleUnderline"/>
          <w:rFonts w:cs="Calibri"/>
        </w:rPr>
        <w:lastRenderedPageBreak/>
        <w:t>rethinking and creation of new forms of ‘society,’ new subjectivities, and new political imaginaries ‘not identi- fied with nationalist projects (projects that are deeply racialized, gendered, sexua- lized, and productive of class relations)</w:t>
      </w:r>
      <w:r w:rsidRPr="006C71B6">
        <w:rPr>
          <w:rFonts w:cs="Calibri"/>
          <w:sz w:val="16"/>
          <w:szCs w:val="16"/>
        </w:rPr>
        <w:t xml:space="preserve">’ (Anderson et al., 2009: 6). </w:t>
      </w:r>
      <w:r w:rsidRPr="006C71B6">
        <w:rPr>
          <w:rStyle w:val="StyleUnderline"/>
          <w:rFonts w:cs="Calibri"/>
        </w:rPr>
        <w:t>A politics of no borders finds resonance with queer critique in that both queer theory and no borders imaginaries focus on potentialities and becoming rather than the apprehensions of ‘being.’9 Far from a ‘utopian’ project, then, queer no-borders imaginaries are ‘immi- nently practical’ as a challenge to the ongoing legacies of colonialism and empire building that the nation-state system holds in place</w:t>
      </w:r>
      <w:r w:rsidRPr="006C71B6">
        <w:rPr>
          <w:rFonts w:cs="Calibri"/>
          <w:sz w:val="16"/>
          <w:szCs w:val="16"/>
        </w:rPr>
        <w:t xml:space="preserve"> (Anderson et al., 2009). Just as the burden of challenging the violences of the gender/sex system is not one to be borne by gender non-conforming, trans and queer people alone, nor should the challenge of advancing a no-borders politic be up to undocumented migrants by themselves. Indeed, </w:t>
      </w:r>
      <w:r w:rsidRPr="006C71B6">
        <w:rPr>
          <w:rStyle w:val="StyleUnderline"/>
          <w:rFonts w:cs="Calibri"/>
        </w:rPr>
        <w:t>one of the most radical challenges to borders and immigration regimes that could emerge would be a mass scale refusal of citizens themselves to continue to identify as such. As a way of moving beyond the ‘advocate’s dilemma’</w:t>
      </w:r>
      <w:r w:rsidRPr="006C71B6">
        <w:rPr>
          <w:rFonts w:cs="Calibri"/>
          <w:sz w:val="16"/>
          <w:szCs w:val="16"/>
        </w:rPr>
        <w:t xml:space="preserve"> (Cook, 2010) </w:t>
      </w:r>
      <w:r w:rsidRPr="006C71B6">
        <w:rPr>
          <w:rStyle w:val="StyleUnderline"/>
          <w:rFonts w:cs="Calibri"/>
        </w:rPr>
        <w:t xml:space="preserve">of advancing migrant rights within national contexts, those of us with the documents of citizenship might best enact the possibilities for a queer solidarity by ourselves refusing a national identification and the documents themselves. Declaring not ‘we are all citizens’ but rather ‘we are all undocumented’ could be a means toward not the erasure of the specificity of migrant vulnerability, but to the enactment of a Deleuzian becoming imperceptible of everyone. The becoming imperceptible of everyone would immediately overwhelm the grip of methodological nationalisms, and would throw the societies of control into generative crisis. </w:t>
      </w:r>
    </w:p>
    <w:p xmlns:wp14="http://schemas.microsoft.com/office/word/2010/wordml" w:rsidRPr="00233077" w:rsidR="008263E8" w:rsidP="008263E8" w:rsidRDefault="008263E8" w14:paraId="1C07DF81" wp14:textId="77777777">
      <w:pPr>
        <w:pStyle w:val="Heading3"/>
      </w:pPr>
      <w:r>
        <w:lastRenderedPageBreak/>
        <w:t>A2: Reform Good</w:t>
      </w:r>
    </w:p>
    <w:p xmlns:wp14="http://schemas.microsoft.com/office/word/2010/wordml" w:rsidRPr="006C71B6" w:rsidR="008263E8" w:rsidP="008263E8" w:rsidRDefault="008263E8" w14:paraId="6F71197F" wp14:textId="77777777">
      <w:pPr>
        <w:pStyle w:val="Heading4"/>
        <w:rPr>
          <w:rFonts w:eastAsia="Calibri" w:cs="Calibri"/>
        </w:rPr>
      </w:pPr>
      <w:r w:rsidRPr="006C71B6">
        <w:rPr>
          <w:rFonts w:cs="Calibri"/>
        </w:rPr>
        <w:t xml:space="preserve">The social order has condemned and damned the queer body to a subculture of perverts and demonized products of failure - reform is nothing more than a more sophisticated system of exploitation—there can be no freedom in the shadow of prisons, no autonomy under a state, and no life where there are armies and police. Vote </w:t>
      </w:r>
      <w:r>
        <w:rPr>
          <w:rFonts w:cs="Calibri"/>
        </w:rPr>
        <w:t>AFF</w:t>
      </w:r>
      <w:r w:rsidRPr="006C71B6">
        <w:rPr>
          <w:rFonts w:cs="Calibri"/>
        </w:rPr>
        <w:t xml:space="preserve"> to dwell in negativity—positivism only results in new, more pernicious forms of domination. Only a non-identitarian, unintelligible queer revolt holds the possibility of rupturing the fabric of this world.</w:t>
      </w:r>
    </w:p>
    <w:p xmlns:wp14="http://schemas.microsoft.com/office/word/2010/wordml" w:rsidRPr="00CF6036" w:rsidR="008263E8" w:rsidP="008263E8" w:rsidRDefault="008263E8" w14:paraId="52E53FF6" wp14:textId="77777777">
      <w:r w:rsidRPr="00CF6036">
        <w:rPr>
          <w:rStyle w:val="Style13ptBold"/>
        </w:rPr>
        <w:t>baedan 12</w:t>
      </w:r>
      <w:r w:rsidRPr="00CF6036">
        <w:t xml:space="preserve"> (baedan – anonymous anarchist and queer theorist, “baedan” (2012) journal of queer nihilism — issue one </w:t>
      </w:r>
      <w:hyperlink r:id="rId122">
        <w:r w:rsidRPr="00CF6036">
          <w:rPr>
            <w:rStyle w:val="Hyperlink"/>
          </w:rPr>
          <w:t>https://theanarchistlibrary.org/library/baedan-baedan#toc1)//kbuck</w:t>
        </w:r>
      </w:hyperlink>
    </w:p>
    <w:p xmlns:wp14="http://schemas.microsoft.com/office/word/2010/wordml" w:rsidRPr="006C71B6" w:rsidR="008263E8" w:rsidP="008263E8" w:rsidRDefault="008263E8" w14:paraId="0F3CABC7" wp14:textId="77777777">
      <w:pPr>
        <w:spacing w:after="0" w:line="240" w:lineRule="auto"/>
        <w:rPr>
          <w:rFonts w:cs="Calibri"/>
          <w:sz w:val="18"/>
          <w:szCs w:val="18"/>
        </w:rPr>
      </w:pPr>
    </w:p>
    <w:p xmlns:wp14="http://schemas.microsoft.com/office/word/2010/wordml" w:rsidRPr="006C71B6" w:rsidR="008263E8" w:rsidP="008263E8" w:rsidRDefault="008263E8" w14:paraId="48237175" wp14:textId="77777777">
      <w:pPr>
        <w:spacing w:after="0" w:line="240" w:lineRule="auto"/>
        <w:rPr>
          <w:rFonts w:eastAsia="Calibri" w:cs="Calibri"/>
          <w:sz w:val="23"/>
          <w:szCs w:val="23"/>
        </w:rPr>
      </w:pPr>
      <w:r w:rsidRPr="003155FE">
        <w:rPr>
          <w:rFonts w:cs="Calibri"/>
          <w:sz w:val="23"/>
          <w:szCs w:val="23"/>
          <w:u w:val="single"/>
          <w:shd w:val="clear" w:color="auto" w:fill="07F900"/>
        </w:rPr>
        <w:t xml:space="preserve">The machinery of control has </w:t>
      </w:r>
      <w:r w:rsidRPr="003155FE">
        <w:rPr>
          <w:rFonts w:cs="Calibri"/>
          <w:b/>
          <w:bCs/>
          <w:sz w:val="23"/>
          <w:szCs w:val="23"/>
          <w:u w:val="single"/>
          <w:shd w:val="clear" w:color="auto" w:fill="07F900"/>
        </w:rPr>
        <w:t>rendered our</w:t>
      </w:r>
      <w:r w:rsidRPr="00233077">
        <w:rPr>
          <w:rStyle w:val="StyleUnderline"/>
        </w:rPr>
        <w:t xml:space="preserve"> very </w:t>
      </w:r>
      <w:r w:rsidRPr="003155FE">
        <w:rPr>
          <w:rFonts w:cs="Calibri"/>
          <w:b/>
          <w:bCs/>
          <w:sz w:val="23"/>
          <w:szCs w:val="23"/>
          <w:u w:val="single"/>
          <w:shd w:val="clear" w:color="auto" w:fill="07F900"/>
        </w:rPr>
        <w:t>existence</w:t>
      </w:r>
      <w:r w:rsidRPr="003155FE">
        <w:rPr>
          <w:rFonts w:eastAsia="Calibri" w:cs="Calibri"/>
          <w:b/>
          <w:bCs/>
          <w:sz w:val="23"/>
          <w:szCs w:val="23"/>
          <w:u w:val="single"/>
        </w:rPr>
        <w:t xml:space="preserve"> </w:t>
      </w:r>
      <w:r w:rsidRPr="003155FE">
        <w:rPr>
          <w:rFonts w:cs="Calibri"/>
          <w:b/>
          <w:bCs/>
          <w:sz w:val="23"/>
          <w:szCs w:val="23"/>
          <w:u w:val="single"/>
          <w:shd w:val="clear" w:color="auto" w:fill="07F900"/>
        </w:rPr>
        <w:t>illegal</w:t>
      </w:r>
      <w:r w:rsidRPr="00233077">
        <w:rPr>
          <w:rStyle w:val="StyleUnderline"/>
        </w:rPr>
        <w:t xml:space="preserve">. We’ve endured the </w:t>
      </w:r>
      <w:r w:rsidRPr="003155FE">
        <w:rPr>
          <w:rFonts w:cs="Calibri"/>
          <w:b/>
          <w:bCs/>
          <w:sz w:val="23"/>
          <w:szCs w:val="23"/>
          <w:u w:val="single"/>
        </w:rPr>
        <w:t>criminalization</w:t>
      </w:r>
      <w:r w:rsidRPr="00233077">
        <w:rPr>
          <w:rStyle w:val="StyleUnderline"/>
        </w:rPr>
        <w:t xml:space="preserve"> and crucifixion of </w:t>
      </w:r>
      <w:r w:rsidRPr="003155FE">
        <w:rPr>
          <w:rFonts w:cs="Calibri"/>
          <w:b/>
          <w:bCs/>
          <w:sz w:val="23"/>
          <w:szCs w:val="23"/>
          <w:u w:val="single"/>
        </w:rPr>
        <w:t>our bodies</w:t>
      </w:r>
      <w:r w:rsidRPr="00233077">
        <w:rPr>
          <w:rStyle w:val="StyleUnderline"/>
        </w:rPr>
        <w:t>, our sex, our unruly genders.</w:t>
      </w:r>
      <w:r w:rsidRPr="003155FE">
        <w:rPr>
          <w:rFonts w:cs="Calibri"/>
          <w:sz w:val="17"/>
          <w:szCs w:val="17"/>
        </w:rPr>
        <w:t xml:space="preserve"> Raids, witch-hunts, burnings at the stake. </w:t>
      </w:r>
      <w:r w:rsidRPr="003155FE">
        <w:rPr>
          <w:rFonts w:cs="Calibri"/>
          <w:sz w:val="23"/>
          <w:szCs w:val="23"/>
          <w:u w:val="single"/>
          <w:shd w:val="clear" w:color="auto" w:fill="07F900"/>
        </w:rPr>
        <w:t xml:space="preserve">We’ve occupied the space of </w:t>
      </w:r>
      <w:r w:rsidRPr="003155FE">
        <w:rPr>
          <w:rFonts w:cs="Calibri"/>
          <w:b/>
          <w:bCs/>
          <w:sz w:val="23"/>
          <w:szCs w:val="23"/>
          <w:u w:val="single"/>
          <w:shd w:val="clear" w:color="auto" w:fill="07F900"/>
        </w:rPr>
        <w:t>deviants</w:t>
      </w:r>
      <w:r w:rsidRPr="00233077">
        <w:rPr>
          <w:rStyle w:val="StyleUnderline"/>
        </w:rPr>
        <w:t xml:space="preserve">, of </w:t>
      </w:r>
      <w:r w:rsidRPr="003155FE">
        <w:rPr>
          <w:rFonts w:cs="Calibri"/>
          <w:b/>
          <w:bCs/>
          <w:sz w:val="23"/>
          <w:szCs w:val="23"/>
          <w:u w:val="single"/>
        </w:rPr>
        <w:t>whores</w:t>
      </w:r>
      <w:r w:rsidRPr="00233077">
        <w:rPr>
          <w:rStyle w:val="StyleUnderline"/>
        </w:rPr>
        <w:t xml:space="preserve">, of </w:t>
      </w:r>
      <w:r w:rsidRPr="003155FE">
        <w:rPr>
          <w:rFonts w:cs="Calibri"/>
          <w:b/>
          <w:bCs/>
          <w:sz w:val="23"/>
          <w:szCs w:val="23"/>
          <w:u w:val="single"/>
          <w:shd w:val="clear" w:color="auto" w:fill="07F900"/>
        </w:rPr>
        <w:t>perverts</w:t>
      </w:r>
      <w:r w:rsidRPr="00233077">
        <w:rPr>
          <w:rStyle w:val="StyleUnderline"/>
        </w:rPr>
        <w:t xml:space="preserve">, </w:t>
      </w:r>
      <w:r w:rsidRPr="003155FE">
        <w:rPr>
          <w:rFonts w:cs="Calibri"/>
          <w:sz w:val="23"/>
          <w:szCs w:val="23"/>
          <w:u w:val="single"/>
          <w:shd w:val="clear" w:color="auto" w:fill="07F900"/>
        </w:rPr>
        <w:t xml:space="preserve">and </w:t>
      </w:r>
      <w:r w:rsidRPr="003155FE">
        <w:rPr>
          <w:rFonts w:cs="Calibri"/>
          <w:b/>
          <w:bCs/>
          <w:sz w:val="23"/>
          <w:szCs w:val="23"/>
          <w:u w:val="single"/>
          <w:shd w:val="clear" w:color="auto" w:fill="07F900"/>
        </w:rPr>
        <w:t>abominations</w:t>
      </w:r>
      <w:r w:rsidRPr="00233077">
        <w:rPr>
          <w:rStyle w:val="StyleUnderline"/>
        </w:rPr>
        <w:t xml:space="preserve">. This </w:t>
      </w:r>
      <w:r w:rsidRPr="003155FE">
        <w:rPr>
          <w:rFonts w:cs="Calibri"/>
          <w:sz w:val="23"/>
          <w:szCs w:val="23"/>
          <w:u w:val="single"/>
          <w:shd w:val="clear" w:color="auto" w:fill="07F900"/>
        </w:rPr>
        <w:t>culture</w:t>
      </w:r>
      <w:r w:rsidRPr="00233077">
        <w:rPr>
          <w:rStyle w:val="StyleUnderline"/>
        </w:rPr>
        <w:t xml:space="preserve"> </w:t>
      </w:r>
      <w:r w:rsidRPr="003155FE">
        <w:rPr>
          <w:rFonts w:cs="Calibri"/>
          <w:sz w:val="23"/>
          <w:szCs w:val="23"/>
          <w:u w:val="single"/>
          <w:shd w:val="clear" w:color="auto" w:fill="07F900"/>
        </w:rPr>
        <w:t>has rendered us criminal</w:t>
      </w:r>
      <w:r w:rsidRPr="00233077">
        <w:rPr>
          <w:rStyle w:val="StyleUnderline"/>
        </w:rPr>
        <w:t xml:space="preserve">, </w:t>
      </w:r>
      <w:r w:rsidRPr="006C71B6">
        <w:rPr>
          <w:rFonts w:cs="Calibri"/>
          <w:sz w:val="23"/>
          <w:szCs w:val="23"/>
          <w:u w:val="single"/>
          <w:shd w:val="clear" w:color="auto" w:fill="07F900"/>
        </w:rPr>
        <w:t>and</w:t>
      </w:r>
      <w:r w:rsidRPr="00233077">
        <w:rPr>
          <w:rStyle w:val="StyleUnderline"/>
        </w:rPr>
        <w:t xml:space="preserve"> of course, in turn, </w:t>
      </w:r>
      <w:r w:rsidRPr="006C71B6">
        <w:rPr>
          <w:rFonts w:cs="Calibri"/>
          <w:sz w:val="23"/>
          <w:szCs w:val="23"/>
          <w:u w:val="single"/>
          <w:shd w:val="clear" w:color="auto" w:fill="07F900"/>
        </w:rPr>
        <w:t xml:space="preserve">we’ve </w:t>
      </w:r>
      <w:r w:rsidRPr="006C71B6">
        <w:rPr>
          <w:rFonts w:cs="Calibri"/>
          <w:b/>
          <w:bCs/>
          <w:sz w:val="23"/>
          <w:szCs w:val="23"/>
          <w:u w:val="single"/>
          <w:shd w:val="clear" w:color="auto" w:fill="07F900"/>
        </w:rPr>
        <w:t xml:space="preserve">committed </w:t>
      </w:r>
      <w:r w:rsidRPr="006C71B6">
        <w:rPr>
          <w:rFonts w:cs="Calibri"/>
          <w:b/>
          <w:bCs/>
          <w:sz w:val="23"/>
          <w:szCs w:val="23"/>
          <w:u w:val="single"/>
        </w:rPr>
        <w:t xml:space="preserve">our lives </w:t>
      </w:r>
      <w:r w:rsidRPr="006C71B6">
        <w:rPr>
          <w:rFonts w:cs="Calibri"/>
          <w:b/>
          <w:bCs/>
          <w:sz w:val="23"/>
          <w:szCs w:val="23"/>
          <w:u w:val="single"/>
          <w:shd w:val="clear" w:color="auto" w:fill="07F900"/>
        </w:rPr>
        <w:t>to crime</w:t>
      </w:r>
      <w:r w:rsidRPr="006C71B6">
        <w:rPr>
          <w:rFonts w:cs="Calibri"/>
          <w:sz w:val="17"/>
          <w:szCs w:val="17"/>
        </w:rPr>
        <w:t xml:space="preserve">. In the criminalization of our pleasures, we’ve found the pleasure to be had in crime! </w:t>
      </w:r>
      <w:r w:rsidRPr="006C71B6">
        <w:rPr>
          <w:rFonts w:cs="Calibri"/>
          <w:sz w:val="23"/>
          <w:szCs w:val="23"/>
          <w:u w:val="single"/>
          <w:shd w:val="clear" w:color="auto" w:fill="07F900"/>
        </w:rPr>
        <w:t>In being outlawed</w:t>
      </w:r>
      <w:r w:rsidRPr="00233077">
        <w:rPr>
          <w:rStyle w:val="StyleUnderline"/>
        </w:rPr>
        <w:t xml:space="preserve"> for who we are, </w:t>
      </w:r>
      <w:r w:rsidRPr="006C71B6">
        <w:rPr>
          <w:rFonts w:cs="Calibri"/>
          <w:sz w:val="23"/>
          <w:szCs w:val="23"/>
          <w:u w:val="single"/>
          <w:shd w:val="clear" w:color="auto" w:fill="07F900"/>
        </w:rPr>
        <w:t>we’ve</w:t>
      </w:r>
      <w:r w:rsidRPr="00233077">
        <w:rPr>
          <w:rStyle w:val="StyleUnderline"/>
        </w:rPr>
        <w:t xml:space="preserve"> </w:t>
      </w:r>
      <w:r w:rsidRPr="006C71B6">
        <w:rPr>
          <w:rFonts w:cs="Calibri"/>
          <w:sz w:val="23"/>
          <w:szCs w:val="23"/>
          <w:u w:val="single"/>
          <w:shd w:val="clear" w:color="auto" w:fill="07F900"/>
        </w:rPr>
        <w:t>discovered</w:t>
      </w:r>
      <w:r w:rsidRPr="00233077">
        <w:rPr>
          <w:rStyle w:val="StyleUnderline"/>
        </w:rPr>
        <w:t xml:space="preserve"> that </w:t>
      </w:r>
      <w:r w:rsidRPr="006C71B6">
        <w:rPr>
          <w:rFonts w:cs="Calibri"/>
          <w:b/>
          <w:bCs/>
          <w:sz w:val="23"/>
          <w:szCs w:val="23"/>
          <w:u w:val="single"/>
          <w:shd w:val="clear" w:color="auto" w:fill="07F900"/>
        </w:rPr>
        <w:t>we</w:t>
      </w:r>
      <w:r w:rsidRPr="006C71B6">
        <w:rPr>
          <w:rFonts w:eastAsia="Calibri" w:cs="Calibri"/>
          <w:b/>
          <w:bCs/>
          <w:sz w:val="23"/>
          <w:szCs w:val="23"/>
          <w:u w:val="single"/>
        </w:rPr>
        <w:t xml:space="preserve"> </w:t>
      </w:r>
      <w:r w:rsidRPr="006C71B6">
        <w:rPr>
          <w:rFonts w:cs="Calibri"/>
          <w:b/>
          <w:bCs/>
          <w:sz w:val="23"/>
          <w:szCs w:val="23"/>
          <w:u w:val="single"/>
          <w:shd w:val="clear" w:color="auto" w:fill="07F900"/>
        </w:rPr>
        <w:t>are</w:t>
      </w:r>
      <w:r w:rsidRPr="006C71B6">
        <w:rPr>
          <w:rFonts w:cs="Calibri"/>
          <w:b/>
          <w:bCs/>
          <w:sz w:val="23"/>
          <w:szCs w:val="23"/>
          <w:u w:val="single"/>
        </w:rPr>
        <w:t xml:space="preserve"> indeed fucking </w:t>
      </w:r>
      <w:r w:rsidRPr="006C71B6">
        <w:rPr>
          <w:rFonts w:cs="Calibri"/>
          <w:b/>
          <w:bCs/>
          <w:sz w:val="23"/>
          <w:szCs w:val="23"/>
          <w:u w:val="single"/>
          <w:shd w:val="clear" w:color="auto" w:fill="07F900"/>
        </w:rPr>
        <w:t>outlaws</w:t>
      </w:r>
      <w:r w:rsidRPr="006C71B6">
        <w:rPr>
          <w:rFonts w:eastAsia="Calibri" w:cs="Calibri"/>
          <w:b/>
          <w:bCs/>
          <w:sz w:val="23"/>
          <w:szCs w:val="23"/>
          <w:u w:val="single"/>
        </w:rPr>
        <w:t>!</w:t>
      </w:r>
      <w:r w:rsidRPr="006C71B6">
        <w:rPr>
          <w:rFonts w:eastAsia="Calibri" w:cs="Calibri"/>
          <w:sz w:val="17"/>
          <w:szCs w:val="17"/>
        </w:rPr>
        <w:t xml:space="preserve"> </w:t>
      </w:r>
      <w:r w:rsidRPr="006C71B6">
        <w:rPr>
          <w:rFonts w:cs="Calibri"/>
          <w:sz w:val="23"/>
          <w:szCs w:val="23"/>
          <w:u w:val="single"/>
          <w:shd w:val="clear" w:color="auto" w:fill="07F900"/>
        </w:rPr>
        <w:t>Many blame queers for the decline of this society</w:t>
      </w:r>
      <w:r w:rsidRPr="00233077">
        <w:rPr>
          <w:rStyle w:val="StyleUnderline"/>
        </w:rPr>
        <w:t xml:space="preserve">—we take pride in this. </w:t>
      </w:r>
      <w:r w:rsidRPr="006C71B6">
        <w:rPr>
          <w:rFonts w:cs="Calibri"/>
          <w:sz w:val="23"/>
          <w:szCs w:val="23"/>
          <w:u w:val="single"/>
          <w:shd w:val="clear" w:color="auto" w:fill="07F900"/>
        </w:rPr>
        <w:t>Some believe</w:t>
      </w:r>
      <w:r w:rsidRPr="00233077">
        <w:rPr>
          <w:rStyle w:val="StyleUnderline"/>
        </w:rPr>
        <w:t xml:space="preserve"> that </w:t>
      </w:r>
      <w:r w:rsidRPr="006C71B6">
        <w:rPr>
          <w:rFonts w:cs="Calibri"/>
          <w:sz w:val="23"/>
          <w:szCs w:val="23"/>
          <w:u w:val="single"/>
          <w:shd w:val="clear" w:color="auto" w:fill="07F900"/>
        </w:rPr>
        <w:t xml:space="preserve">we intend to </w:t>
      </w:r>
      <w:r w:rsidRPr="006C71B6">
        <w:rPr>
          <w:rFonts w:cs="Calibri"/>
          <w:b/>
          <w:bCs/>
          <w:sz w:val="23"/>
          <w:szCs w:val="23"/>
          <w:u w:val="single"/>
          <w:shd w:val="clear" w:color="auto" w:fill="07F900"/>
        </w:rPr>
        <w:t>shred-to-bits this civilization</w:t>
      </w:r>
      <w:r w:rsidRPr="00233077">
        <w:rPr>
          <w:rStyle w:val="StyleUnderline"/>
        </w:rPr>
        <w:t xml:space="preserve"> and it’s moral fabric—</w:t>
      </w:r>
      <w:r w:rsidRPr="006C71B6">
        <w:rPr>
          <w:rFonts w:cs="Calibri"/>
          <w:sz w:val="23"/>
          <w:szCs w:val="23"/>
          <w:u w:val="single"/>
          <w:shd w:val="clear" w:color="auto" w:fill="07F900"/>
        </w:rPr>
        <w:t xml:space="preserve">they couldn’t be </w:t>
      </w:r>
      <w:r w:rsidRPr="006C71B6">
        <w:rPr>
          <w:rFonts w:cs="Calibri"/>
          <w:b/>
          <w:bCs/>
          <w:sz w:val="23"/>
          <w:szCs w:val="23"/>
          <w:u w:val="single"/>
          <w:shd w:val="clear" w:color="auto" w:fill="07F900"/>
        </w:rPr>
        <w:t>more accurate</w:t>
      </w:r>
      <w:r w:rsidRPr="00233077">
        <w:rPr>
          <w:rStyle w:val="StyleUnderline"/>
        </w:rPr>
        <w:t>.</w:t>
      </w:r>
      <w:r w:rsidRPr="006C71B6">
        <w:rPr>
          <w:rFonts w:cs="Calibri"/>
          <w:sz w:val="17"/>
          <w:szCs w:val="17"/>
        </w:rPr>
        <w:t xml:space="preserve"> We’re often described as depraved, decadent and revolting—but oh, they ain’t seen nothing yet. This position of ownership of the negative means a liberatory conspiracy between the enemies of society. It allows us to escape the traps that lie in any attempt at affirming a positive counter-narrative. One cannot deny the destructive and anti-social potential of queerness without also affirming the social order. One cannot argue against the anti-queer paranoia which imagines us to be enemies of God and state and family without implicitly conceding the legitimacy of each. The hope for progressive notions of tolerance or combative activism to undo this fantasy is an expression of the desire for assimilation into society. Even ‘radical’ or ‘anti-assimilationist’ queer positions attempt to deny this negativity and to create space for queer representation in the State or queer belonging within capitalism. We’ll follow Edelman as he elaborates on this idea: </w:t>
      </w:r>
      <w:r w:rsidRPr="006C71B6">
        <w:rPr>
          <w:rFonts w:cs="Calibri"/>
          <w:sz w:val="23"/>
          <w:szCs w:val="23"/>
          <w:u w:val="single"/>
          <w:shd w:val="clear" w:color="auto" w:fill="07F900"/>
        </w:rPr>
        <w:t xml:space="preserve">Rather than </w:t>
      </w:r>
      <w:r w:rsidRPr="006C71B6">
        <w:rPr>
          <w:rFonts w:cs="Calibri"/>
          <w:b/>
          <w:bCs/>
          <w:sz w:val="23"/>
          <w:szCs w:val="23"/>
          <w:u w:val="single"/>
          <w:shd w:val="clear" w:color="auto" w:fill="07F900"/>
        </w:rPr>
        <w:t>rejecting</w:t>
      </w:r>
      <w:r w:rsidRPr="006C71B6">
        <w:rPr>
          <w:rFonts w:cs="Calibri"/>
          <w:sz w:val="17"/>
          <w:szCs w:val="17"/>
        </w:rPr>
        <w:t xml:space="preserve">, with liberal discourse, </w:t>
      </w:r>
      <w:r w:rsidRPr="00233077">
        <w:rPr>
          <w:rStyle w:val="StyleUnderline"/>
        </w:rPr>
        <w:t xml:space="preserve">the ascription of </w:t>
      </w:r>
      <w:r w:rsidRPr="006C71B6">
        <w:rPr>
          <w:rFonts w:cs="Calibri"/>
          <w:sz w:val="23"/>
          <w:szCs w:val="23"/>
          <w:u w:val="single"/>
          <w:shd w:val="clear" w:color="auto" w:fill="07F900"/>
        </w:rPr>
        <w:t>negativity</w:t>
      </w:r>
      <w:r w:rsidRPr="00233077">
        <w:rPr>
          <w:rStyle w:val="StyleUnderline"/>
        </w:rPr>
        <w:t xml:space="preserve"> to the queer, </w:t>
      </w:r>
      <w:r w:rsidRPr="006C71B6">
        <w:rPr>
          <w:rFonts w:cs="Calibri"/>
          <w:sz w:val="23"/>
          <w:szCs w:val="23"/>
          <w:u w:val="single"/>
          <w:shd w:val="clear" w:color="auto" w:fill="07F900"/>
        </w:rPr>
        <w:t>we might</w:t>
      </w:r>
      <w:r w:rsidRPr="00233077">
        <w:rPr>
          <w:rStyle w:val="StyleUnderline"/>
        </w:rPr>
        <w:t xml:space="preserve">… </w:t>
      </w:r>
      <w:r w:rsidRPr="006C71B6">
        <w:rPr>
          <w:rFonts w:cs="Calibri"/>
          <w:sz w:val="23"/>
          <w:szCs w:val="23"/>
          <w:u w:val="single"/>
          <w:shd w:val="clear" w:color="auto" w:fill="07F900"/>
        </w:rPr>
        <w:t>do better</w:t>
      </w:r>
      <w:r w:rsidRPr="00233077">
        <w:rPr>
          <w:rStyle w:val="StyleUnderline"/>
        </w:rPr>
        <w:t xml:space="preserve"> to</w:t>
      </w:r>
      <w:r w:rsidRPr="006C71B6">
        <w:rPr>
          <w:rFonts w:eastAsia="Calibri" w:cs="Calibri"/>
          <w:sz w:val="17"/>
          <w:szCs w:val="17"/>
        </w:rPr>
        <w:t xml:space="preserve"> </w:t>
      </w:r>
      <w:r w:rsidRPr="00233077">
        <w:rPr>
          <w:rStyle w:val="StyleUnderline"/>
        </w:rPr>
        <w:t>consider</w:t>
      </w:r>
      <w:r w:rsidRPr="006C71B6">
        <w:rPr>
          <w:rFonts w:cs="Calibri"/>
          <w:sz w:val="17"/>
          <w:szCs w:val="17"/>
        </w:rPr>
        <w:t xml:space="preserve"> accepting and even </w:t>
      </w:r>
      <w:r w:rsidRPr="006C71B6">
        <w:rPr>
          <w:rFonts w:cs="Calibri"/>
          <w:b/>
          <w:bCs/>
          <w:sz w:val="23"/>
          <w:szCs w:val="23"/>
          <w:u w:val="single"/>
          <w:shd w:val="clear" w:color="auto" w:fill="07F900"/>
        </w:rPr>
        <w:t>embracing it</w:t>
      </w:r>
      <w:r w:rsidRPr="006C71B6">
        <w:rPr>
          <w:rFonts w:eastAsia="Calibri" w:cs="Calibri"/>
          <w:sz w:val="17"/>
          <w:szCs w:val="17"/>
        </w:rPr>
        <w:t xml:space="preserve">. </w:t>
      </w:r>
      <w:r w:rsidRPr="006C71B6">
        <w:rPr>
          <w:rFonts w:cs="Calibri"/>
          <w:sz w:val="23"/>
          <w:szCs w:val="23"/>
          <w:u w:val="single"/>
          <w:shd w:val="clear" w:color="auto" w:fill="07F900"/>
        </w:rPr>
        <w:t>Not in</w:t>
      </w:r>
      <w:r w:rsidRPr="00233077">
        <w:rPr>
          <w:rStyle w:val="StyleUnderline"/>
        </w:rPr>
        <w:t xml:space="preserve"> the hope of </w:t>
      </w:r>
      <w:r w:rsidRPr="006C71B6">
        <w:rPr>
          <w:rFonts w:cs="Calibri"/>
          <w:sz w:val="23"/>
          <w:szCs w:val="23"/>
          <w:u w:val="single"/>
          <w:shd w:val="clear" w:color="auto" w:fill="07F900"/>
        </w:rPr>
        <w:t>forging</w:t>
      </w:r>
      <w:r w:rsidRPr="006C71B6">
        <w:rPr>
          <w:rFonts w:cs="Calibri"/>
          <w:sz w:val="17"/>
          <w:szCs w:val="17"/>
        </w:rPr>
        <w:t xml:space="preserve"> thereby </w:t>
      </w:r>
      <w:r w:rsidRPr="006C71B6">
        <w:rPr>
          <w:rFonts w:cs="Calibri"/>
          <w:sz w:val="23"/>
          <w:szCs w:val="23"/>
          <w:u w:val="single"/>
          <w:shd w:val="clear" w:color="auto" w:fill="07F900"/>
        </w:rPr>
        <w:t>some</w:t>
      </w:r>
      <w:r w:rsidRPr="006C71B6">
        <w:rPr>
          <w:rFonts w:cs="Calibri"/>
          <w:sz w:val="17"/>
          <w:szCs w:val="17"/>
        </w:rPr>
        <w:t xml:space="preserve"> more </w:t>
      </w:r>
      <w:r w:rsidRPr="006C71B6">
        <w:rPr>
          <w:rFonts w:cs="Calibri"/>
          <w:b/>
          <w:bCs/>
          <w:sz w:val="23"/>
          <w:szCs w:val="23"/>
          <w:u w:val="single"/>
          <w:shd w:val="clear" w:color="auto" w:fill="07F900"/>
        </w:rPr>
        <w:t>perfect social order</w:t>
      </w:r>
      <w:r w:rsidRPr="006C71B6">
        <w:rPr>
          <w:rFonts w:eastAsia="Calibri" w:cs="Calibri"/>
          <w:sz w:val="17"/>
          <w:szCs w:val="17"/>
        </w:rPr>
        <w:t>—</w:t>
      </w:r>
      <w:r w:rsidRPr="00233077">
        <w:rPr>
          <w:rStyle w:val="StyleUnderline"/>
        </w:rPr>
        <w:t>such a hope</w:t>
      </w:r>
      <w:r w:rsidRPr="006C71B6">
        <w:rPr>
          <w:rFonts w:cs="Calibri"/>
          <w:sz w:val="17"/>
          <w:szCs w:val="17"/>
        </w:rPr>
        <w:t xml:space="preserve">, after all, </w:t>
      </w:r>
      <w:r w:rsidRPr="00233077">
        <w:rPr>
          <w:rStyle w:val="StyleUnderline"/>
        </w:rPr>
        <w:t>would only reproduce the constraining mandate of futurism</w:t>
      </w:r>
      <w:r w:rsidRPr="006C71B6">
        <w:rPr>
          <w:rFonts w:cs="Calibri"/>
          <w:sz w:val="17"/>
          <w:szCs w:val="17"/>
        </w:rPr>
        <w:t>, just as any such order would equally occasion the negativity of the queer—</w:t>
      </w:r>
      <w:r w:rsidRPr="006C71B6">
        <w:rPr>
          <w:rFonts w:cs="Calibri"/>
          <w:sz w:val="23"/>
          <w:szCs w:val="23"/>
          <w:u w:val="single"/>
          <w:shd w:val="clear" w:color="auto" w:fill="07F900"/>
        </w:rPr>
        <w:t xml:space="preserve">but rather to </w:t>
      </w:r>
      <w:r w:rsidRPr="006C71B6">
        <w:rPr>
          <w:rFonts w:cs="Calibri"/>
          <w:b/>
          <w:bCs/>
          <w:sz w:val="23"/>
          <w:szCs w:val="23"/>
          <w:u w:val="single"/>
          <w:shd w:val="clear" w:color="auto" w:fill="07F900"/>
        </w:rPr>
        <w:t>refuse</w:t>
      </w:r>
      <w:r w:rsidRPr="00233077">
        <w:rPr>
          <w:rStyle w:val="StyleUnderline"/>
        </w:rPr>
        <w:t xml:space="preserve"> the insistence of </w:t>
      </w:r>
      <w:r w:rsidRPr="006C71B6">
        <w:rPr>
          <w:rFonts w:cs="Calibri"/>
          <w:b/>
          <w:bCs/>
          <w:sz w:val="23"/>
          <w:szCs w:val="23"/>
          <w:u w:val="single"/>
          <w:shd w:val="clear" w:color="auto" w:fill="07F900"/>
        </w:rPr>
        <w:t>hope</w:t>
      </w:r>
      <w:r w:rsidRPr="006C71B6">
        <w:rPr>
          <w:rFonts w:cs="Calibri"/>
          <w:sz w:val="17"/>
          <w:szCs w:val="17"/>
        </w:rPr>
        <w:t xml:space="preserve"> itself </w:t>
      </w:r>
      <w:r w:rsidRPr="00233077">
        <w:rPr>
          <w:rStyle w:val="StyleUnderline"/>
        </w:rPr>
        <w:t>as affirmation</w:t>
      </w:r>
      <w:r w:rsidRPr="006C71B6">
        <w:rPr>
          <w:rFonts w:eastAsia="Calibri" w:cs="Calibri"/>
          <w:sz w:val="17"/>
          <w:szCs w:val="17"/>
        </w:rPr>
        <w:t xml:space="preserve">, </w:t>
      </w:r>
      <w:r w:rsidRPr="006C71B6">
        <w:rPr>
          <w:rFonts w:cs="Calibri"/>
          <w:sz w:val="23"/>
          <w:szCs w:val="23"/>
          <w:u w:val="single"/>
          <w:shd w:val="clear" w:color="auto" w:fill="07F900"/>
        </w:rPr>
        <w:t>which</w:t>
      </w:r>
      <w:r w:rsidRPr="00233077">
        <w:rPr>
          <w:rStyle w:val="StyleUnderline"/>
        </w:rPr>
        <w:t xml:space="preserve"> is always affirmation of an order whose refusal </w:t>
      </w:r>
      <w:r w:rsidRPr="006C71B6">
        <w:rPr>
          <w:rFonts w:cs="Calibri"/>
          <w:sz w:val="23"/>
          <w:szCs w:val="23"/>
          <w:u w:val="single"/>
          <w:shd w:val="clear" w:color="auto" w:fill="07F900"/>
        </w:rPr>
        <w:t xml:space="preserve">will register as </w:t>
      </w:r>
      <w:r w:rsidRPr="006C71B6">
        <w:rPr>
          <w:rFonts w:cs="Calibri"/>
          <w:b/>
          <w:bCs/>
          <w:sz w:val="23"/>
          <w:szCs w:val="23"/>
          <w:u w:val="single"/>
          <w:shd w:val="clear" w:color="auto" w:fill="07F900"/>
        </w:rPr>
        <w:t>unthinkable</w:t>
      </w:r>
      <w:r w:rsidRPr="006C71B6">
        <w:rPr>
          <w:rFonts w:eastAsia="Calibri" w:cs="Calibri"/>
          <w:sz w:val="23"/>
          <w:szCs w:val="23"/>
          <w:u w:val="single"/>
          <w:shd w:val="clear" w:color="auto" w:fill="07F900"/>
        </w:rPr>
        <w:t>,</w:t>
      </w:r>
      <w:r w:rsidRPr="00233077">
        <w:rPr>
          <w:rStyle w:val="StyleUnderline"/>
        </w:rPr>
        <w:t xml:space="preserve"> irresponsible, inhumane. </w:t>
      </w:r>
      <w:r w:rsidRPr="006C71B6">
        <w:rPr>
          <w:rFonts w:cs="Calibri"/>
          <w:sz w:val="17"/>
          <w:szCs w:val="17"/>
        </w:rPr>
        <w:t xml:space="preserve">And the trump card of affirmation? Always the question: If not this, what? Always </w:t>
      </w:r>
      <w:r w:rsidRPr="006C71B6">
        <w:rPr>
          <w:rFonts w:cs="Calibri"/>
          <w:sz w:val="23"/>
          <w:szCs w:val="23"/>
          <w:u w:val="single"/>
          <w:shd w:val="clear" w:color="auto" w:fill="07F900"/>
        </w:rPr>
        <w:t xml:space="preserve">the demand to </w:t>
      </w:r>
      <w:r w:rsidRPr="006C71B6">
        <w:rPr>
          <w:rFonts w:cs="Calibri"/>
          <w:b/>
          <w:bCs/>
          <w:sz w:val="23"/>
          <w:szCs w:val="23"/>
          <w:u w:val="single"/>
          <w:shd w:val="clear" w:color="auto" w:fill="07F900"/>
        </w:rPr>
        <w:t>translate</w:t>
      </w:r>
      <w:r w:rsidRPr="00233077">
        <w:rPr>
          <w:rStyle w:val="StyleUnderline"/>
        </w:rPr>
        <w:t xml:space="preserve"> the insistence</w:t>
      </w:r>
      <w:r w:rsidRPr="006C71B6">
        <w:rPr>
          <w:rFonts w:cs="Calibri"/>
          <w:sz w:val="17"/>
          <w:szCs w:val="17"/>
        </w:rPr>
        <w:t xml:space="preserve">, the pulsive force, </w:t>
      </w:r>
      <w:r w:rsidRPr="00233077">
        <w:rPr>
          <w:rStyle w:val="StyleUnderline"/>
        </w:rPr>
        <w:t xml:space="preserve">or </w:t>
      </w:r>
      <w:r w:rsidRPr="006C71B6">
        <w:rPr>
          <w:rFonts w:cs="Calibri"/>
          <w:sz w:val="23"/>
          <w:szCs w:val="23"/>
          <w:u w:val="single"/>
          <w:shd w:val="clear" w:color="auto" w:fill="07F900"/>
        </w:rPr>
        <w:t xml:space="preserve">negativity into some </w:t>
      </w:r>
      <w:r w:rsidRPr="006C71B6">
        <w:rPr>
          <w:rFonts w:cs="Calibri"/>
          <w:b/>
          <w:bCs/>
          <w:sz w:val="23"/>
          <w:szCs w:val="23"/>
          <w:u w:val="single"/>
          <w:shd w:val="clear" w:color="auto" w:fill="07F900"/>
        </w:rPr>
        <w:t>determinate stance</w:t>
      </w:r>
      <w:r w:rsidRPr="006C71B6">
        <w:rPr>
          <w:rFonts w:cs="Calibri"/>
          <w:sz w:val="17"/>
          <w:szCs w:val="17"/>
        </w:rPr>
        <w:t xml:space="preserve"> or “position” whose determination </w:t>
      </w:r>
      <w:r w:rsidRPr="006C71B6">
        <w:rPr>
          <w:rFonts w:cs="Calibri"/>
          <w:sz w:val="23"/>
          <w:szCs w:val="23"/>
          <w:u w:val="single"/>
          <w:shd w:val="clear" w:color="auto" w:fill="07F900"/>
        </w:rPr>
        <w:t>would</w:t>
      </w:r>
      <w:r w:rsidRPr="006C71B6">
        <w:rPr>
          <w:rFonts w:cs="Calibri"/>
          <w:sz w:val="17"/>
          <w:szCs w:val="17"/>
        </w:rPr>
        <w:t xml:space="preserve"> thus negate it: always the imperative to </w:t>
      </w:r>
      <w:r w:rsidRPr="006C71B6">
        <w:rPr>
          <w:rFonts w:cs="Calibri"/>
          <w:sz w:val="23"/>
          <w:szCs w:val="23"/>
          <w:u w:val="single"/>
          <w:shd w:val="clear" w:color="auto" w:fill="07F900"/>
        </w:rPr>
        <w:t xml:space="preserve">immure it in some </w:t>
      </w:r>
      <w:r w:rsidRPr="006C71B6">
        <w:rPr>
          <w:rFonts w:cs="Calibri"/>
          <w:b/>
          <w:bCs/>
          <w:sz w:val="23"/>
          <w:szCs w:val="23"/>
          <w:u w:val="single"/>
          <w:shd w:val="clear" w:color="auto" w:fill="07F900"/>
        </w:rPr>
        <w:t>stable and positive form</w:t>
      </w:r>
      <w:r w:rsidRPr="006C71B6">
        <w:rPr>
          <w:rFonts w:cs="Calibri"/>
          <w:sz w:val="17"/>
          <w:szCs w:val="17"/>
        </w:rPr>
        <w:t xml:space="preserve">… I do not intend to propose some “good” </w:t>
      </w:r>
      <w:r w:rsidRPr="00233077">
        <w:rPr>
          <w:rStyle w:val="StyleUnderline"/>
        </w:rPr>
        <w:t xml:space="preserve">that will thereby be assured. </w:t>
      </w:r>
      <w:r w:rsidRPr="006C71B6">
        <w:rPr>
          <w:rFonts w:cs="Calibri"/>
          <w:sz w:val="23"/>
          <w:szCs w:val="23"/>
          <w:u w:val="single"/>
          <w:shd w:val="clear" w:color="auto" w:fill="07F900"/>
        </w:rPr>
        <w:t>To the contrary</w:t>
      </w:r>
      <w:r w:rsidRPr="006C71B6">
        <w:rPr>
          <w:rFonts w:cs="Calibri"/>
          <w:sz w:val="17"/>
          <w:szCs w:val="17"/>
        </w:rPr>
        <w:t xml:space="preserve">, I mean to insist that </w:t>
      </w:r>
      <w:r w:rsidRPr="00233077">
        <w:rPr>
          <w:rStyle w:val="StyleUnderline"/>
        </w:rPr>
        <w:t>nothing</w:t>
      </w:r>
      <w:r w:rsidRPr="006C71B6">
        <w:rPr>
          <w:rFonts w:cs="Calibri"/>
          <w:sz w:val="17"/>
          <w:szCs w:val="17"/>
        </w:rPr>
        <w:t xml:space="preserve">, and certainly not what we call “good,” </w:t>
      </w:r>
      <w:r w:rsidRPr="00233077">
        <w:rPr>
          <w:rStyle w:val="StyleUnderline"/>
        </w:rPr>
        <w:t xml:space="preserve">can ever have any assurance at all in the order of the Symbolic… </w:t>
      </w:r>
      <w:r w:rsidRPr="006C71B6">
        <w:rPr>
          <w:rFonts w:cs="Calibri"/>
          <w:sz w:val="23"/>
          <w:szCs w:val="23"/>
          <w:u w:val="single"/>
          <w:shd w:val="clear" w:color="auto" w:fill="07F900"/>
        </w:rPr>
        <w:t>[W]e might</w:t>
      </w:r>
      <w:r w:rsidRPr="00233077">
        <w:rPr>
          <w:rStyle w:val="StyleUnderline"/>
        </w:rPr>
        <w:t xml:space="preserve"> rather, figuratively </w:t>
      </w:r>
      <w:r w:rsidRPr="006C71B6">
        <w:rPr>
          <w:rFonts w:cs="Calibri"/>
          <w:b/>
          <w:bCs/>
          <w:sz w:val="23"/>
          <w:szCs w:val="23"/>
          <w:u w:val="single"/>
          <w:shd w:val="clear" w:color="auto" w:fill="07F900"/>
        </w:rPr>
        <w:t>cast our vote</w:t>
      </w:r>
      <w:r w:rsidRPr="00233077">
        <w:rPr>
          <w:rStyle w:val="StyleUnderline"/>
        </w:rPr>
        <w:t xml:space="preserve"> for “none of the above,” </w:t>
      </w:r>
      <w:r w:rsidRPr="006C71B6">
        <w:rPr>
          <w:rFonts w:cs="Calibri"/>
          <w:sz w:val="23"/>
          <w:szCs w:val="23"/>
          <w:u w:val="single"/>
          <w:shd w:val="clear" w:color="auto" w:fill="07F900"/>
        </w:rPr>
        <w:t>for</w:t>
      </w:r>
      <w:r w:rsidRPr="00233077">
        <w:rPr>
          <w:rStyle w:val="StyleUnderline"/>
        </w:rPr>
        <w:t xml:space="preserve"> the primacy of </w:t>
      </w:r>
      <w:r w:rsidRPr="006C71B6">
        <w:rPr>
          <w:rFonts w:cs="Calibri"/>
          <w:b/>
          <w:bCs/>
          <w:sz w:val="23"/>
          <w:szCs w:val="23"/>
          <w:u w:val="single"/>
          <w:shd w:val="clear" w:color="auto" w:fill="07F900"/>
        </w:rPr>
        <w:t>a constant “no”</w:t>
      </w:r>
      <w:r w:rsidRPr="00233077">
        <w:rPr>
          <w:rStyle w:val="StyleUnderline"/>
        </w:rPr>
        <w:t xml:space="preserve"> in response to the law of the symbolic, </w:t>
      </w:r>
      <w:r w:rsidRPr="006C71B6">
        <w:rPr>
          <w:rFonts w:cs="Calibri"/>
          <w:sz w:val="23"/>
          <w:szCs w:val="23"/>
          <w:u w:val="single"/>
          <w:shd w:val="clear" w:color="auto" w:fill="07F900"/>
        </w:rPr>
        <w:t>which would echo</w:t>
      </w:r>
      <w:r w:rsidRPr="00233077">
        <w:rPr>
          <w:rStyle w:val="StyleUnderline"/>
        </w:rPr>
        <w:t xml:space="preserve"> that law’s foundational act, its self-constituting </w:t>
      </w:r>
      <w:r w:rsidRPr="006C71B6">
        <w:rPr>
          <w:rFonts w:cs="Calibri"/>
          <w:sz w:val="23"/>
          <w:szCs w:val="23"/>
          <w:u w:val="single"/>
          <w:shd w:val="clear" w:color="auto" w:fill="07F900"/>
        </w:rPr>
        <w:t>negation</w:t>
      </w:r>
      <w:r w:rsidRPr="00233077">
        <w:rPr>
          <w:rStyle w:val="StyleUnderline"/>
        </w:rPr>
        <w:t>.</w:t>
      </w:r>
      <w:r w:rsidRPr="006C71B6">
        <w:rPr>
          <w:rFonts w:cs="Calibri"/>
          <w:sz w:val="17"/>
          <w:szCs w:val="17"/>
        </w:rPr>
        <w:t xml:space="preserve"> Again, a simple shift can apply this argument to the discursive and imaginary constructions of anarchists. Many anarchists find themselves compulsively responding to negative characterizations of our intentions and dispositions. In the face of an array of flattering accusations—we are criminal, nihilistic, violent, sowers of disorder—the proponents of a positive anarchism instinctively respond by insisting that we are motivated by the highest ideals (democracy, consensus, equality, justice), seek to create a better society, are non-violent, and believe anarchism to be the greatest order of all. Over and over again anarchists and other revolutionaries offer their allegiance to society by denying the reality or possibility of their enmity with the social order. </w:t>
      </w:r>
      <w:r w:rsidRPr="006C71B6">
        <w:rPr>
          <w:rFonts w:cs="Calibri"/>
          <w:sz w:val="23"/>
          <w:szCs w:val="23"/>
          <w:u w:val="single"/>
          <w:shd w:val="clear" w:color="auto" w:fill="07F900"/>
        </w:rPr>
        <w:t>Leftist</w:t>
      </w:r>
      <w:r w:rsidRPr="00233077">
        <w:rPr>
          <w:rStyle w:val="StyleUnderline"/>
        </w:rPr>
        <w:t xml:space="preserve"> notions of </w:t>
      </w:r>
      <w:r w:rsidRPr="006C71B6">
        <w:rPr>
          <w:rFonts w:cs="Calibri"/>
          <w:b/>
          <w:bCs/>
          <w:sz w:val="23"/>
          <w:szCs w:val="23"/>
          <w:u w:val="single"/>
          <w:shd w:val="clear" w:color="auto" w:fill="07F900"/>
        </w:rPr>
        <w:t>reform</w:t>
      </w:r>
      <w:r w:rsidRPr="00233077">
        <w:rPr>
          <w:rStyle w:val="StyleUnderline"/>
        </w:rPr>
        <w:t xml:space="preserve">, progress, tolerance, and social justice </w:t>
      </w:r>
      <w:r w:rsidRPr="006C71B6">
        <w:rPr>
          <w:rFonts w:cs="Calibri"/>
          <w:b/>
          <w:bCs/>
          <w:sz w:val="23"/>
          <w:szCs w:val="23"/>
          <w:u w:val="single"/>
          <w:shd w:val="clear" w:color="auto" w:fill="07F900"/>
        </w:rPr>
        <w:t>always</w:t>
      </w:r>
      <w:r w:rsidRPr="006C71B6">
        <w:rPr>
          <w:rFonts w:cs="Calibri"/>
          <w:sz w:val="23"/>
          <w:szCs w:val="23"/>
          <w:u w:val="single"/>
          <w:shd w:val="clear" w:color="auto" w:fill="07F900"/>
        </w:rPr>
        <w:t xml:space="preserve"> come up against the harsh reality that </w:t>
      </w:r>
      <w:r w:rsidRPr="00233077">
        <w:rPr>
          <w:rStyle w:val="StyleUnderline"/>
          <w:highlight w:val="green"/>
        </w:rPr>
        <w:t xml:space="preserve">any </w:t>
      </w:r>
      <w:r w:rsidRPr="00233077">
        <w:rPr>
          <w:rStyle w:val="StyleUnderline"/>
          <w:highlight w:val="green"/>
        </w:rPr>
        <w:lastRenderedPageBreak/>
        <w:t>progressive development can only mean a more sophisticated system of</w:t>
      </w:r>
      <w:r w:rsidRPr="006C71B6">
        <w:rPr>
          <w:rFonts w:cs="Calibri"/>
          <w:b/>
          <w:bCs/>
          <w:sz w:val="32"/>
          <w:szCs w:val="32"/>
          <w:u w:val="single"/>
        </w:rPr>
        <w:t xml:space="preserve"> </w:t>
      </w:r>
      <w:r w:rsidRPr="00233077">
        <w:rPr>
          <w:rStyle w:val="StyleUnderline"/>
          <w:highlight w:val="green"/>
        </w:rPr>
        <w:t>misery and</w:t>
      </w:r>
      <w:r w:rsidRPr="006C71B6">
        <w:rPr>
          <w:rFonts w:cs="Calibri"/>
          <w:b/>
          <w:bCs/>
          <w:sz w:val="32"/>
          <w:szCs w:val="32"/>
          <w:u w:val="single"/>
        </w:rPr>
        <w:t xml:space="preserve"> </w:t>
      </w:r>
      <w:r w:rsidRPr="00233077">
        <w:rPr>
          <w:rStyle w:val="StyleUnderline"/>
          <w:highlight w:val="green"/>
        </w:rPr>
        <w:t>exploitation</w:t>
      </w:r>
      <w:r w:rsidRPr="00233077">
        <w:rPr>
          <w:rStyle w:val="StyleUnderline"/>
        </w:rPr>
        <w:t>;</w:t>
      </w:r>
      <w:r w:rsidRPr="006C71B6">
        <w:rPr>
          <w:rFonts w:cs="Calibri"/>
          <w:sz w:val="17"/>
          <w:szCs w:val="17"/>
        </w:rPr>
        <w:t xml:space="preserve"> that </w:t>
      </w:r>
      <w:r w:rsidRPr="006C71B6">
        <w:rPr>
          <w:rFonts w:cs="Calibri"/>
          <w:sz w:val="23"/>
          <w:szCs w:val="23"/>
          <w:u w:val="single"/>
          <w:shd w:val="clear" w:color="auto" w:fill="07F900"/>
        </w:rPr>
        <w:t>tolerance means nothing</w:t>
      </w:r>
      <w:r w:rsidRPr="006C71B6">
        <w:rPr>
          <w:rFonts w:cs="Calibri"/>
          <w:sz w:val="17"/>
          <w:szCs w:val="17"/>
        </w:rPr>
        <w:t xml:space="preserve">; that </w:t>
      </w:r>
      <w:r w:rsidRPr="006C71B6">
        <w:rPr>
          <w:rFonts w:cs="Calibri"/>
          <w:sz w:val="23"/>
          <w:szCs w:val="23"/>
          <w:u w:val="single"/>
          <w:shd w:val="clear" w:color="auto" w:fill="07F900"/>
        </w:rPr>
        <w:t>justice is an impossibility</w:t>
      </w:r>
      <w:r w:rsidRPr="006C71B6">
        <w:rPr>
          <w:rFonts w:eastAsia="Calibri" w:cs="Calibri"/>
          <w:sz w:val="17"/>
          <w:szCs w:val="17"/>
        </w:rPr>
        <w:t xml:space="preserve">. </w:t>
      </w:r>
      <w:r w:rsidRPr="006C71B6">
        <w:rPr>
          <w:rFonts w:cs="Calibri"/>
          <w:sz w:val="23"/>
          <w:szCs w:val="23"/>
          <w:u w:val="single"/>
          <w:shd w:val="clear" w:color="auto" w:fill="07F900"/>
        </w:rPr>
        <w:t>Activists</w:t>
      </w:r>
      <w:r w:rsidRPr="00233077">
        <w:rPr>
          <w:rStyle w:val="StyleUnderline"/>
        </w:rPr>
        <w:t xml:space="preserve">, progressive and revolutionary alike, </w:t>
      </w:r>
      <w:r w:rsidRPr="006C71B6">
        <w:rPr>
          <w:rFonts w:cs="Calibri"/>
          <w:sz w:val="23"/>
          <w:szCs w:val="23"/>
          <w:u w:val="single"/>
          <w:shd w:val="clear" w:color="auto" w:fill="07F900"/>
        </w:rPr>
        <w:t>will</w:t>
      </w:r>
      <w:r w:rsidRPr="006C71B6">
        <w:rPr>
          <w:rFonts w:cs="Calibri"/>
          <w:sz w:val="17"/>
          <w:szCs w:val="17"/>
        </w:rPr>
        <w:t xml:space="preserve"> always </w:t>
      </w:r>
      <w:r w:rsidRPr="006C71B6">
        <w:rPr>
          <w:rFonts w:cs="Calibri"/>
          <w:sz w:val="23"/>
          <w:szCs w:val="23"/>
          <w:u w:val="single"/>
          <w:shd w:val="clear" w:color="auto" w:fill="07F900"/>
        </w:rPr>
        <w:t>respond</w:t>
      </w:r>
      <w:r w:rsidRPr="00233077">
        <w:rPr>
          <w:rStyle w:val="StyleUnderline"/>
        </w:rPr>
        <w:t xml:space="preserve"> to our critique of the social order </w:t>
      </w:r>
      <w:r w:rsidRPr="006C71B6">
        <w:rPr>
          <w:rFonts w:cs="Calibri"/>
          <w:sz w:val="23"/>
          <w:szCs w:val="23"/>
          <w:u w:val="single"/>
          <w:shd w:val="clear" w:color="auto" w:fill="07F900"/>
        </w:rPr>
        <w:t xml:space="preserve">with a demand that we articulate </w:t>
      </w:r>
      <w:r w:rsidRPr="006C71B6">
        <w:rPr>
          <w:rFonts w:cs="Calibri"/>
          <w:b/>
          <w:bCs/>
          <w:sz w:val="23"/>
          <w:szCs w:val="23"/>
          <w:u w:val="single"/>
          <w:shd w:val="clear" w:color="auto" w:fill="07F900"/>
        </w:rPr>
        <w:t>some</w:t>
      </w:r>
      <w:r w:rsidRPr="00233077">
        <w:rPr>
          <w:rStyle w:val="StyleUnderline"/>
        </w:rPr>
        <w:t xml:space="preserve"> sort of </w:t>
      </w:r>
      <w:r w:rsidRPr="006C71B6">
        <w:rPr>
          <w:rFonts w:cs="Calibri"/>
          <w:b/>
          <w:bCs/>
          <w:sz w:val="23"/>
          <w:szCs w:val="23"/>
          <w:u w:val="single"/>
          <w:shd w:val="clear" w:color="auto" w:fill="07F900"/>
        </w:rPr>
        <w:t>alternative</w:t>
      </w:r>
      <w:r w:rsidRPr="00233077">
        <w:rPr>
          <w:rStyle w:val="StyleUnderline"/>
        </w:rPr>
        <w:t xml:space="preserve">. </w:t>
      </w:r>
      <w:r w:rsidRPr="006C71B6">
        <w:rPr>
          <w:rFonts w:cs="Calibri"/>
          <w:sz w:val="23"/>
          <w:szCs w:val="23"/>
          <w:u w:val="single"/>
          <w:shd w:val="clear" w:color="auto" w:fill="07F900"/>
        </w:rPr>
        <w:t>Let us say</w:t>
      </w:r>
      <w:r w:rsidRPr="00233077">
        <w:rPr>
          <w:rStyle w:val="StyleUnderline"/>
        </w:rPr>
        <w:t xml:space="preserve"> once and for all </w:t>
      </w:r>
      <w:r w:rsidRPr="006C71B6">
        <w:rPr>
          <w:rFonts w:cs="Calibri"/>
          <w:sz w:val="23"/>
          <w:szCs w:val="23"/>
          <w:u w:val="single"/>
          <w:shd w:val="clear" w:color="auto" w:fill="07F900"/>
        </w:rPr>
        <w:t xml:space="preserve">that </w:t>
      </w:r>
      <w:r w:rsidRPr="006C71B6">
        <w:rPr>
          <w:rFonts w:cs="Calibri"/>
          <w:b/>
          <w:bCs/>
          <w:sz w:val="23"/>
          <w:szCs w:val="23"/>
          <w:u w:val="single"/>
          <w:shd w:val="clear" w:color="auto" w:fill="07F900"/>
        </w:rPr>
        <w:t>we have none</w:t>
      </w:r>
      <w:r w:rsidRPr="00233077">
        <w:rPr>
          <w:rStyle w:val="StyleUnderline"/>
        </w:rPr>
        <w:t xml:space="preserve"> to offer. </w:t>
      </w:r>
      <w:r w:rsidRPr="006C71B6">
        <w:rPr>
          <w:rFonts w:cs="Calibri"/>
          <w:sz w:val="23"/>
          <w:szCs w:val="23"/>
          <w:u w:val="single"/>
          <w:shd w:val="clear" w:color="auto" w:fill="07F900"/>
        </w:rPr>
        <w:t>Faced with the system’s</w:t>
      </w:r>
      <w:r w:rsidRPr="00233077">
        <w:rPr>
          <w:rStyle w:val="StyleUnderline"/>
        </w:rPr>
        <w:t xml:space="preserve"> seamless </w:t>
      </w:r>
      <w:r w:rsidRPr="006C71B6">
        <w:rPr>
          <w:rFonts w:cs="Calibri"/>
          <w:b/>
          <w:bCs/>
          <w:sz w:val="23"/>
          <w:szCs w:val="23"/>
          <w:u w:val="single"/>
          <w:shd w:val="clear" w:color="auto" w:fill="07F900"/>
        </w:rPr>
        <w:t>integration of all positive projects</w:t>
      </w:r>
      <w:r w:rsidRPr="00233077">
        <w:rPr>
          <w:rStyle w:val="StyleUnderline"/>
        </w:rPr>
        <w:t xml:space="preserve"> into itself, </w:t>
      </w:r>
      <w:r w:rsidRPr="006C71B6">
        <w:rPr>
          <w:rFonts w:cs="Calibri"/>
          <w:b/>
          <w:bCs/>
          <w:sz w:val="23"/>
          <w:szCs w:val="23"/>
          <w:u w:val="single"/>
          <w:shd w:val="clear" w:color="auto" w:fill="07F900"/>
        </w:rPr>
        <w:t>we can’t afford to affirm</w:t>
      </w:r>
      <w:r w:rsidRPr="00233077">
        <w:rPr>
          <w:rStyle w:val="StyleUnderline"/>
        </w:rPr>
        <w:t xml:space="preserve"> </w:t>
      </w:r>
      <w:r w:rsidRPr="006C71B6">
        <w:rPr>
          <w:rFonts w:cs="Calibri"/>
          <w:sz w:val="17"/>
          <w:szCs w:val="17"/>
        </w:rPr>
        <w:t xml:space="preserve">or posit </w:t>
      </w:r>
      <w:r w:rsidRPr="00233077">
        <w:rPr>
          <w:rStyle w:val="StyleUnderline"/>
        </w:rPr>
        <w:t xml:space="preserve">any more </w:t>
      </w:r>
      <w:r w:rsidRPr="006C71B6">
        <w:rPr>
          <w:rFonts w:cs="Calibri"/>
          <w:b/>
          <w:bCs/>
          <w:sz w:val="23"/>
          <w:szCs w:val="23"/>
          <w:u w:val="single"/>
          <w:shd w:val="clear" w:color="auto" w:fill="07F900"/>
        </w:rPr>
        <w:t>alternatives</w:t>
      </w:r>
      <w:r w:rsidRPr="00233077">
        <w:rPr>
          <w:rStyle w:val="StyleUnderline"/>
        </w:rPr>
        <w:t xml:space="preserve"> for it to consume. Rather we must realize that our task is infinite, not because we have</w:t>
      </w:r>
      <w:r w:rsidRPr="006C71B6">
        <w:rPr>
          <w:rFonts w:cs="Calibri"/>
          <w:sz w:val="17"/>
          <w:szCs w:val="17"/>
        </w:rPr>
        <w:t xml:space="preserve"> so </w:t>
      </w:r>
      <w:r w:rsidRPr="00233077">
        <w:rPr>
          <w:rStyle w:val="StyleUnderline"/>
        </w:rPr>
        <w:t xml:space="preserve">much to build but because we have an entire world to destroy. </w:t>
      </w:r>
      <w:r w:rsidRPr="006C71B6">
        <w:rPr>
          <w:rFonts w:cs="Calibri"/>
          <w:sz w:val="23"/>
          <w:szCs w:val="23"/>
          <w:u w:val="single"/>
          <w:shd w:val="clear" w:color="auto" w:fill="07F900"/>
        </w:rPr>
        <w:t>Our daily life is so saturated</w:t>
      </w:r>
      <w:r w:rsidRPr="00233077">
        <w:rPr>
          <w:rStyle w:val="StyleUnderline"/>
        </w:rPr>
        <w:t xml:space="preserve"> and structured </w:t>
      </w:r>
      <w:r w:rsidRPr="006C71B6">
        <w:rPr>
          <w:rFonts w:cs="Calibri"/>
          <w:sz w:val="23"/>
          <w:szCs w:val="23"/>
          <w:u w:val="single"/>
          <w:shd w:val="clear" w:color="auto" w:fill="07F900"/>
        </w:rPr>
        <w:t>by capital</w:t>
      </w:r>
      <w:r w:rsidRPr="00233077">
        <w:rPr>
          <w:rStyle w:val="StyleUnderline"/>
        </w:rPr>
        <w:t xml:space="preserve"> that </w:t>
      </w:r>
      <w:r w:rsidRPr="006C71B6">
        <w:rPr>
          <w:rFonts w:cs="Calibri"/>
          <w:sz w:val="23"/>
          <w:szCs w:val="23"/>
          <w:u w:val="single"/>
          <w:shd w:val="clear" w:color="auto" w:fill="07F900"/>
        </w:rPr>
        <w:t>it is impossible to imagine a life worth living</w:t>
      </w:r>
      <w:r w:rsidRPr="00233077">
        <w:rPr>
          <w:rStyle w:val="StyleUnderline"/>
        </w:rPr>
        <w:t>, except one of revolt. We understand destruction to be necessary, and we desire it in abundance</w:t>
      </w:r>
      <w:r w:rsidRPr="006C71B6">
        <w:rPr>
          <w:rFonts w:cs="Calibri"/>
          <w:sz w:val="17"/>
          <w:szCs w:val="17"/>
        </w:rPr>
        <w:t xml:space="preserve">. We have nothing to gain through shame or lack of confidence in these desires. </w:t>
      </w:r>
      <w:r w:rsidRPr="006C71B6">
        <w:rPr>
          <w:rFonts w:cs="Calibri"/>
          <w:sz w:val="23"/>
          <w:szCs w:val="23"/>
          <w:u w:val="single"/>
          <w:shd w:val="clear" w:color="auto" w:fill="07F900"/>
        </w:rPr>
        <w:t xml:space="preserve">There </w:t>
      </w:r>
      <w:r w:rsidRPr="006C71B6">
        <w:rPr>
          <w:rFonts w:cs="Calibri"/>
          <w:b/>
          <w:bCs/>
          <w:sz w:val="23"/>
          <w:szCs w:val="23"/>
          <w:u w:val="single"/>
          <w:shd w:val="clear" w:color="auto" w:fill="07F900"/>
        </w:rPr>
        <w:t>cannot be freedom</w:t>
      </w:r>
      <w:r w:rsidRPr="006C71B6">
        <w:rPr>
          <w:rFonts w:cs="Calibri"/>
          <w:sz w:val="23"/>
          <w:szCs w:val="23"/>
          <w:u w:val="single"/>
          <w:shd w:val="clear" w:color="auto" w:fill="07F900"/>
        </w:rPr>
        <w:t xml:space="preserve"> in the shadow of </w:t>
      </w:r>
      <w:r w:rsidRPr="006C71B6">
        <w:rPr>
          <w:rFonts w:cs="Calibri"/>
          <w:b/>
          <w:bCs/>
          <w:sz w:val="23"/>
          <w:szCs w:val="23"/>
          <w:u w:val="single"/>
          <w:shd w:val="clear" w:color="auto" w:fill="07F900"/>
        </w:rPr>
        <w:t>prisons</w:t>
      </w:r>
      <w:r w:rsidRPr="006C71B6">
        <w:rPr>
          <w:rFonts w:cs="Calibri"/>
          <w:sz w:val="23"/>
          <w:szCs w:val="23"/>
          <w:u w:val="single"/>
          <w:shd w:val="clear" w:color="auto" w:fill="07F900"/>
        </w:rPr>
        <w:t>, there cannot be</w:t>
      </w:r>
      <w:r w:rsidRPr="00233077">
        <w:rPr>
          <w:rStyle w:val="StyleUnderline"/>
        </w:rPr>
        <w:t xml:space="preserve"> human </w:t>
      </w:r>
      <w:r w:rsidRPr="006C71B6">
        <w:rPr>
          <w:rFonts w:cs="Calibri"/>
          <w:sz w:val="23"/>
          <w:szCs w:val="23"/>
          <w:u w:val="single"/>
          <w:shd w:val="clear" w:color="auto" w:fill="07F900"/>
        </w:rPr>
        <w:t>community in</w:t>
      </w:r>
      <w:r w:rsidRPr="00233077">
        <w:rPr>
          <w:rStyle w:val="StyleUnderline"/>
        </w:rPr>
        <w:t xml:space="preserve"> the context of </w:t>
      </w:r>
      <w:r w:rsidRPr="006C71B6">
        <w:rPr>
          <w:rFonts w:cs="Calibri"/>
          <w:b/>
          <w:bCs/>
          <w:sz w:val="23"/>
          <w:szCs w:val="23"/>
          <w:u w:val="single"/>
          <w:shd w:val="clear" w:color="auto" w:fill="07F900"/>
        </w:rPr>
        <w:t>commodities</w:t>
      </w:r>
      <w:r w:rsidRPr="006C71B6">
        <w:rPr>
          <w:rFonts w:cs="Calibri"/>
          <w:sz w:val="23"/>
          <w:szCs w:val="23"/>
          <w:u w:val="single"/>
          <w:shd w:val="clear" w:color="auto" w:fill="07F900"/>
        </w:rPr>
        <w:t xml:space="preserve">, there cannot be </w:t>
      </w:r>
      <w:r w:rsidRPr="006C71B6">
        <w:rPr>
          <w:rFonts w:cs="Calibri"/>
          <w:b/>
          <w:bCs/>
          <w:sz w:val="23"/>
          <w:szCs w:val="23"/>
          <w:u w:val="single"/>
          <w:shd w:val="clear" w:color="auto" w:fill="07F900"/>
        </w:rPr>
        <w:t>self-determination</w:t>
      </w:r>
      <w:r w:rsidRPr="006C71B6">
        <w:rPr>
          <w:rFonts w:cs="Calibri"/>
          <w:sz w:val="23"/>
          <w:szCs w:val="23"/>
          <w:u w:val="single"/>
          <w:shd w:val="clear" w:color="auto" w:fill="07F900"/>
        </w:rPr>
        <w:t xml:space="preserve"> under</w:t>
      </w:r>
      <w:r w:rsidRPr="00233077">
        <w:rPr>
          <w:rStyle w:val="StyleUnderline"/>
        </w:rPr>
        <w:t xml:space="preserve"> the reign of </w:t>
      </w:r>
      <w:r w:rsidRPr="006C71B6">
        <w:rPr>
          <w:rFonts w:cs="Calibri"/>
          <w:b/>
          <w:bCs/>
          <w:sz w:val="23"/>
          <w:szCs w:val="23"/>
          <w:u w:val="single"/>
          <w:shd w:val="clear" w:color="auto" w:fill="07F900"/>
        </w:rPr>
        <w:t>a state</w:t>
      </w:r>
      <w:r w:rsidRPr="00233077">
        <w:rPr>
          <w:rStyle w:val="StyleUnderline"/>
        </w:rPr>
        <w:t xml:space="preserve">. </w:t>
      </w:r>
      <w:r w:rsidRPr="006C71B6">
        <w:rPr>
          <w:rFonts w:cs="Calibri"/>
          <w:sz w:val="23"/>
          <w:szCs w:val="23"/>
          <w:u w:val="single"/>
          <w:shd w:val="clear" w:color="auto" w:fill="07F900"/>
        </w:rPr>
        <w:t>This world</w:t>
      </w:r>
      <w:r w:rsidRPr="006C71B6">
        <w:rPr>
          <w:rFonts w:eastAsia="Calibri" w:cs="Calibri"/>
          <w:sz w:val="17"/>
          <w:szCs w:val="17"/>
        </w:rPr>
        <w:t>—</w:t>
      </w:r>
      <w:r w:rsidRPr="006C71B6">
        <w:rPr>
          <w:rFonts w:cs="Calibri"/>
          <w:b/>
          <w:bCs/>
          <w:sz w:val="23"/>
          <w:szCs w:val="23"/>
          <w:u w:val="single"/>
          <w:shd w:val="clear" w:color="auto" w:fill="07F900"/>
        </w:rPr>
        <w:t>the police and armies</w:t>
      </w:r>
      <w:r w:rsidRPr="006C71B6">
        <w:rPr>
          <w:rFonts w:cs="Calibri"/>
          <w:sz w:val="23"/>
          <w:szCs w:val="23"/>
          <w:u w:val="single"/>
          <w:shd w:val="clear" w:color="auto" w:fill="07F900"/>
        </w:rPr>
        <w:t xml:space="preserve"> that defend it</w:t>
      </w:r>
      <w:r w:rsidRPr="00233077">
        <w:rPr>
          <w:rStyle w:val="StyleUnderline"/>
        </w:rPr>
        <w:t xml:space="preserve">, the institutions that constitute it, the architecture that gives it shape, the subjectivities that populate it, </w:t>
      </w:r>
      <w:r w:rsidRPr="006C71B6">
        <w:rPr>
          <w:rFonts w:cs="Calibri"/>
          <w:sz w:val="23"/>
          <w:szCs w:val="23"/>
          <w:u w:val="single"/>
          <w:shd w:val="clear" w:color="auto" w:fill="07F900"/>
        </w:rPr>
        <w:t xml:space="preserve">the </w:t>
      </w:r>
      <w:r w:rsidRPr="006C71B6">
        <w:rPr>
          <w:rFonts w:cs="Calibri"/>
          <w:b/>
          <w:bCs/>
          <w:sz w:val="23"/>
          <w:szCs w:val="23"/>
          <w:u w:val="single"/>
          <w:shd w:val="clear" w:color="auto" w:fill="07F900"/>
        </w:rPr>
        <w:t>apparatuses that administer its function</w:t>
      </w:r>
      <w:r w:rsidRPr="006C71B6">
        <w:rPr>
          <w:rFonts w:cs="Calibri"/>
          <w:sz w:val="23"/>
          <w:szCs w:val="23"/>
          <w:u w:val="single"/>
          <w:shd w:val="clear" w:color="auto" w:fill="07F900"/>
        </w:rPr>
        <w:t xml:space="preserve">, the </w:t>
      </w:r>
      <w:r w:rsidRPr="006C71B6">
        <w:rPr>
          <w:rFonts w:cs="Calibri"/>
          <w:b/>
          <w:bCs/>
          <w:sz w:val="23"/>
          <w:szCs w:val="23"/>
          <w:u w:val="single"/>
          <w:shd w:val="clear" w:color="auto" w:fill="07F900"/>
        </w:rPr>
        <w:t>schools that inscribe its ideology</w:t>
      </w:r>
      <w:r w:rsidRPr="00233077">
        <w:rPr>
          <w:rStyle w:val="StyleUnderline"/>
        </w:rPr>
        <w:t>, the activism that franticly responds to its crises, the arteries of its circulation and flows, the commodities that define life within it, the communication networks that proliferate it, the information technology that surveils and records it</w:t>
      </w:r>
      <w:r w:rsidRPr="006C71B6">
        <w:rPr>
          <w:rFonts w:eastAsia="Calibri" w:cs="Calibri"/>
          <w:sz w:val="17"/>
          <w:szCs w:val="17"/>
        </w:rPr>
        <w:t>—</w:t>
      </w:r>
      <w:r w:rsidRPr="006C71B6">
        <w:rPr>
          <w:rFonts w:cs="Calibri"/>
          <w:sz w:val="23"/>
          <w:szCs w:val="23"/>
          <w:u w:val="single"/>
          <w:shd w:val="clear" w:color="auto" w:fill="07F900"/>
        </w:rPr>
        <w:t xml:space="preserve">must be </w:t>
      </w:r>
      <w:r w:rsidRPr="006C71B6">
        <w:rPr>
          <w:rFonts w:cs="Calibri"/>
          <w:b/>
          <w:bCs/>
          <w:sz w:val="23"/>
          <w:szCs w:val="23"/>
          <w:u w:val="single"/>
          <w:shd w:val="clear" w:color="auto" w:fill="07F900"/>
        </w:rPr>
        <w:t>annihilated in every instance</w:t>
      </w:r>
      <w:r w:rsidRPr="00233077">
        <w:rPr>
          <w:rStyle w:val="StyleUnderline"/>
        </w:rPr>
        <w:t>, all at once.</w:t>
      </w:r>
      <w:r w:rsidRPr="006C71B6">
        <w:rPr>
          <w:rFonts w:cs="Calibri"/>
          <w:sz w:val="17"/>
          <w:szCs w:val="17"/>
        </w:rPr>
        <w:t xml:space="preserve"> To shy away from this task, to assure our enemies of our good intentions, is the most crass dishonesty. </w:t>
      </w:r>
      <w:r w:rsidRPr="00233077">
        <w:rPr>
          <w:rStyle w:val="StyleUnderline"/>
        </w:rPr>
        <w:t>Anarchy, as with queerness, is most powerful in its negative form. Positive conceptions of these</w:t>
      </w:r>
      <w:r w:rsidRPr="006C71B6">
        <w:rPr>
          <w:rFonts w:cs="Calibri"/>
          <w:sz w:val="17"/>
          <w:szCs w:val="17"/>
        </w:rPr>
        <w:t xml:space="preserve">, when they are not simply a quiet acquiescence in the face of a sophisticated and evolving totality of domination, </w:t>
      </w:r>
      <w:r w:rsidRPr="00233077">
        <w:rPr>
          <w:rStyle w:val="StyleUnderline"/>
        </w:rPr>
        <w:t>are hopelessly trapped</w:t>
      </w:r>
      <w:r w:rsidRPr="006C71B6">
        <w:rPr>
          <w:rFonts w:cs="Calibri"/>
          <w:sz w:val="17"/>
          <w:szCs w:val="17"/>
        </w:rPr>
        <w:t xml:space="preserve"> in combat with the details of this totality on its own terms. In No Future, Edelman appropriates and privileges a particular psychoanalytic concept: </w:t>
      </w:r>
      <w:r w:rsidRPr="00233077">
        <w:rPr>
          <w:rStyle w:val="StyleUnderline"/>
        </w:rPr>
        <w:t>the death drive. In</w:t>
      </w:r>
      <w:r w:rsidRPr="006C71B6">
        <w:rPr>
          <w:rFonts w:cs="Calibri"/>
          <w:sz w:val="17"/>
          <w:szCs w:val="17"/>
        </w:rPr>
        <w:t xml:space="preserve"> elaborating the relationship of “queer theory and the death drive” (the subtitle of No Future), he deploys the concept in order to name a force that </w:t>
      </w:r>
      <w:r w:rsidRPr="00233077">
        <w:rPr>
          <w:rStyle w:val="StyleUnderline"/>
        </w:rPr>
        <w:t xml:space="preserve">isn’t specifically tied to queer identity. </w:t>
      </w:r>
      <w:r w:rsidRPr="006C71B6">
        <w:rPr>
          <w:rFonts w:cs="Calibri"/>
          <w:sz w:val="17"/>
          <w:szCs w:val="17"/>
        </w:rPr>
        <w:t xml:space="preserve">He argues that </w:t>
      </w:r>
      <w:r w:rsidRPr="00233077">
        <w:rPr>
          <w:rStyle w:val="StyleUnderline"/>
        </w:rPr>
        <w:t xml:space="preserve">the death drive is </w:t>
      </w:r>
      <w:r w:rsidRPr="006C71B6">
        <w:rPr>
          <w:rFonts w:cs="Calibri"/>
          <w:b/>
          <w:bCs/>
          <w:sz w:val="23"/>
          <w:szCs w:val="23"/>
          <w:u w:val="single"/>
        </w:rPr>
        <w:t xml:space="preserve">a constant eruption of disorder </w:t>
      </w:r>
      <w:r w:rsidRPr="00233077">
        <w:rPr>
          <w:rStyle w:val="StyleUnderline"/>
        </w:rPr>
        <w:t xml:space="preserve">from within the symbolic order itself. It is an unnameable and </w:t>
      </w:r>
      <w:r w:rsidRPr="006C71B6">
        <w:rPr>
          <w:rFonts w:cs="Calibri"/>
          <w:b/>
          <w:bCs/>
          <w:sz w:val="23"/>
          <w:szCs w:val="23"/>
          <w:u w:val="single"/>
        </w:rPr>
        <w:t>inarticulable tendency</w:t>
      </w:r>
      <w:r w:rsidRPr="00233077">
        <w:rPr>
          <w:rStyle w:val="StyleUnderline"/>
        </w:rPr>
        <w:t xml:space="preserve"> for any society to produce the contradictions and forces which can </w:t>
      </w:r>
      <w:r w:rsidRPr="006C71B6">
        <w:rPr>
          <w:rFonts w:cs="Calibri"/>
          <w:b/>
          <w:bCs/>
          <w:sz w:val="23"/>
          <w:szCs w:val="23"/>
          <w:u w:val="single"/>
        </w:rPr>
        <w:t>tear that society apart</w:t>
      </w:r>
      <w:r w:rsidRPr="00233077">
        <w:rPr>
          <w:rStyle w:val="StyleUnderline"/>
        </w:rPr>
        <w:t xml:space="preserve">. </w:t>
      </w:r>
      <w:r w:rsidRPr="006C71B6">
        <w:rPr>
          <w:rFonts w:cs="Calibri"/>
          <w:sz w:val="17"/>
          <w:szCs w:val="17"/>
        </w:rPr>
        <w:t xml:space="preserve">To avoid getting trapped in Lacanian ideology, we should quickly depart from a purely psychoanalytic framework for understanding this drive. Marxism, to imagine it another way, assures us that a fundamental crisis within the capitalist mode of production guarantees that it will produce its own negation from within itself. Messianic traditions, likewise, hold fast to a faith that the messiah must emerge in the course of daily life to overthrow the horror of history. The most romantic elaborations of anarchism describe the inevitability that individuals will revolt against the banality and alienation of modern life. Cybernetic government operates on the understanding that the illusions of social peace contain a complex and unpredictable series of risks, catastrophes, contagions, events and upheavals to be managed. Each of these contains a kernel of truth, if perhaps in spite of their ideologies. The death drive names that permanent and irreducible element which has and will always produce revolt. Species being, queerness, chaos, willful revolt, the commune, rupture, the Idea, the wild, oppositional defiance disorder—we can give innumerable names to what escapes our ability to describe it. Each of these attempts to term the erratic negation intrinsic to society. Each comes close to theorizing the universal tendency that </w:t>
      </w:r>
      <w:r w:rsidRPr="00233077">
        <w:rPr>
          <w:rStyle w:val="StyleUnderline"/>
        </w:rPr>
        <w:t xml:space="preserve">any civilization will produce its own undoing. </w:t>
      </w:r>
      <w:r w:rsidRPr="006C71B6">
        <w:rPr>
          <w:rFonts w:cs="Calibri"/>
          <w:b/>
          <w:bCs/>
          <w:sz w:val="23"/>
          <w:szCs w:val="23"/>
          <w:u w:val="single"/>
          <w:shd w:val="clear" w:color="auto" w:fill="07F900"/>
        </w:rPr>
        <w:t>Explosions of urban rioting</w:t>
      </w:r>
      <w:r w:rsidRPr="006C71B6">
        <w:rPr>
          <w:rFonts w:cs="Calibri"/>
          <w:sz w:val="23"/>
          <w:szCs w:val="23"/>
          <w:u w:val="single"/>
          <w:shd w:val="clear" w:color="auto" w:fill="07F900"/>
        </w:rPr>
        <w:t>, the prevalence of</w:t>
      </w:r>
      <w:r w:rsidRPr="006C71B6">
        <w:rPr>
          <w:rFonts w:cs="Calibri"/>
          <w:sz w:val="17"/>
          <w:szCs w:val="17"/>
        </w:rPr>
        <w:t xml:space="preserve"> methods of </w:t>
      </w:r>
      <w:r w:rsidRPr="006C71B6">
        <w:rPr>
          <w:rFonts w:cs="Calibri"/>
          <w:b/>
          <w:bCs/>
          <w:sz w:val="23"/>
          <w:szCs w:val="23"/>
          <w:u w:val="single"/>
          <w:shd w:val="clear" w:color="auto" w:fill="07F900"/>
        </w:rPr>
        <w:t>piracy and expropriation</w:t>
      </w:r>
      <w:r w:rsidRPr="006C71B6">
        <w:rPr>
          <w:rFonts w:cs="Calibri"/>
          <w:sz w:val="23"/>
          <w:szCs w:val="23"/>
          <w:u w:val="single"/>
          <w:shd w:val="clear" w:color="auto" w:fill="07F900"/>
        </w:rPr>
        <w:t>, the hatred of</w:t>
      </w:r>
      <w:r w:rsidRPr="00233077">
        <w:rPr>
          <w:rStyle w:val="StyleUnderline"/>
        </w:rPr>
        <w:t xml:space="preserve"> work, </w:t>
      </w:r>
      <w:r w:rsidRPr="006C71B6">
        <w:rPr>
          <w:rFonts w:cs="Calibri"/>
          <w:sz w:val="23"/>
          <w:szCs w:val="23"/>
          <w:u w:val="single"/>
          <w:shd w:val="clear" w:color="auto" w:fill="07F900"/>
        </w:rPr>
        <w:t>gender dysphoria,</w:t>
      </w:r>
      <w:r w:rsidRPr="00233077">
        <w:rPr>
          <w:rStyle w:val="StyleUnderline"/>
        </w:rPr>
        <w:t xml:space="preserve"> </w:t>
      </w:r>
      <w:r w:rsidRPr="006C71B6">
        <w:rPr>
          <w:rFonts w:cs="Calibri"/>
          <w:sz w:val="23"/>
          <w:szCs w:val="23"/>
          <w:u w:val="single"/>
          <w:shd w:val="clear" w:color="auto" w:fill="07F900"/>
        </w:rPr>
        <w:t>the</w:t>
      </w:r>
      <w:r w:rsidRPr="00233077">
        <w:rPr>
          <w:rStyle w:val="StyleUnderline"/>
        </w:rPr>
        <w:t xml:space="preserve"> inexplicable </w:t>
      </w:r>
      <w:r w:rsidRPr="006C71B6">
        <w:rPr>
          <w:rFonts w:cs="Calibri"/>
          <w:b/>
          <w:bCs/>
          <w:sz w:val="23"/>
          <w:szCs w:val="23"/>
          <w:u w:val="single"/>
          <w:shd w:val="clear" w:color="auto" w:fill="07F900"/>
        </w:rPr>
        <w:t>rise</w:t>
      </w:r>
      <w:r w:rsidRPr="006C71B6">
        <w:rPr>
          <w:rFonts w:cs="Calibri"/>
          <w:sz w:val="23"/>
          <w:szCs w:val="23"/>
          <w:u w:val="single"/>
          <w:shd w:val="clear" w:color="auto" w:fill="07F900"/>
        </w:rPr>
        <w:t xml:space="preserve"> in</w:t>
      </w:r>
      <w:r w:rsidRPr="00233077">
        <w:rPr>
          <w:rStyle w:val="StyleUnderline"/>
        </w:rPr>
        <w:t xml:space="preserve"> violent </w:t>
      </w:r>
      <w:r w:rsidRPr="006C71B6">
        <w:rPr>
          <w:rFonts w:cs="Calibri"/>
          <w:b/>
          <w:bCs/>
          <w:sz w:val="23"/>
          <w:szCs w:val="23"/>
          <w:u w:val="single"/>
          <w:shd w:val="clear" w:color="auto" w:fill="07F900"/>
        </w:rPr>
        <w:t>attacks</w:t>
      </w:r>
      <w:r w:rsidRPr="006C71B6">
        <w:rPr>
          <w:rFonts w:cs="Calibri"/>
          <w:sz w:val="23"/>
          <w:szCs w:val="23"/>
          <w:u w:val="single"/>
          <w:shd w:val="clear" w:color="auto" w:fill="07F900"/>
        </w:rPr>
        <w:t xml:space="preserve"> against police officers</w:t>
      </w:r>
      <w:r w:rsidRPr="00233077">
        <w:rPr>
          <w:rStyle w:val="StyleUnderline"/>
        </w:rPr>
        <w:t xml:space="preserve">, self-immolation, non-reproductive sexual practices, </w:t>
      </w:r>
      <w:r w:rsidRPr="006C71B6">
        <w:rPr>
          <w:rFonts w:cs="Calibri"/>
          <w:b/>
          <w:bCs/>
          <w:sz w:val="23"/>
          <w:szCs w:val="23"/>
          <w:u w:val="single"/>
          <w:shd w:val="clear" w:color="auto" w:fill="07F900"/>
        </w:rPr>
        <w:t>irrational sabotage, nihilistic hacker culture, lawless encampments</w:t>
      </w:r>
      <w:r w:rsidRPr="00233077">
        <w:rPr>
          <w:rStyle w:val="StyleUnderline"/>
        </w:rPr>
        <w:t xml:space="preserve"> which exist simply for themselves—the death drive is evidenced in each moment that </w:t>
      </w:r>
      <w:r w:rsidRPr="006C71B6">
        <w:rPr>
          <w:rFonts w:cs="Calibri"/>
          <w:sz w:val="23"/>
          <w:szCs w:val="23"/>
          <w:u w:val="single"/>
          <w:shd w:val="clear" w:color="auto" w:fill="07F900"/>
        </w:rPr>
        <w:t xml:space="preserve">exceeds the social order and begins to </w:t>
      </w:r>
      <w:r w:rsidRPr="006C71B6">
        <w:rPr>
          <w:rFonts w:cs="Calibri"/>
          <w:b/>
          <w:bCs/>
          <w:sz w:val="23"/>
          <w:szCs w:val="23"/>
          <w:u w:val="single"/>
          <w:shd w:val="clear" w:color="auto" w:fill="07F900"/>
        </w:rPr>
        <w:t>rip at its fabric</w:t>
      </w:r>
      <w:r w:rsidRPr="006C71B6">
        <w:rPr>
          <w:rFonts w:eastAsia="Calibri" w:cs="Calibri"/>
          <w:sz w:val="23"/>
          <w:szCs w:val="23"/>
          <w:u w:val="single"/>
          <w:shd w:val="clear" w:color="auto" w:fill="07F900"/>
        </w:rPr>
        <w:t>.</w:t>
      </w:r>
      <w:r w:rsidRPr="00233077">
        <w:rPr>
          <w:rStyle w:val="StyleUnderline"/>
        </w:rPr>
        <w:t xml:space="preserve"> The symbolic deployment of queerness</w:t>
      </w:r>
      <w:r w:rsidRPr="006C71B6">
        <w:rPr>
          <w:rFonts w:cs="Calibri"/>
          <w:sz w:val="17"/>
          <w:szCs w:val="17"/>
        </w:rPr>
        <w:t xml:space="preserve"> by the social order </w:t>
      </w:r>
      <w:r w:rsidRPr="00233077">
        <w:rPr>
          <w:rStyle w:val="StyleUnderline"/>
        </w:rPr>
        <w:t>is always an attempt to identify the negativity of the death drive, to lock this chaotic potential up in the confines of this or that subjectivity.</w:t>
      </w:r>
      <w:r w:rsidRPr="006C71B6">
        <w:rPr>
          <w:rFonts w:cs="Calibri"/>
          <w:sz w:val="17"/>
          <w:szCs w:val="17"/>
        </w:rPr>
        <w:t xml:space="preserve"> Foucault’s work is foundational to queer theory in part because of his argument that power must create and then classify antagonistic subjectivities so as to then annihilate any subversive potential within a social body. </w:t>
      </w:r>
      <w:r w:rsidRPr="00233077">
        <w:rPr>
          <w:rStyle w:val="StyleUnderline"/>
        </w:rPr>
        <w:t>Homosexuals, gangsters, criminals, immigrants, welfare mothers, transsexuals, women, youth, terrorists, the black bloc, communists, extremists: power is always constructing and defining these antagonistic subjects which must be managed.</w:t>
      </w:r>
      <w:r w:rsidRPr="006C71B6">
        <w:rPr>
          <w:rFonts w:cs="Calibri"/>
          <w:sz w:val="17"/>
          <w:szCs w:val="17"/>
        </w:rPr>
        <w:t xml:space="preserve"> When the smoke clears after a riot, the state and media apparatuses universally begin to locate such events within the logic of identity, freezing the fluidity of revolt into a handful of subject positions to be imprisoned, or, more sinisterly, </w:t>
      </w:r>
      <w:r w:rsidRPr="006C71B6">
        <w:rPr>
          <w:rFonts w:cs="Calibri"/>
          <w:sz w:val="17"/>
          <w:szCs w:val="17"/>
        </w:rPr>
        <w:lastRenderedPageBreak/>
        <w:t>organized.</w:t>
      </w:r>
      <w:r w:rsidRPr="006C71B6">
        <w:rPr>
          <w:rFonts w:cs="Calibri"/>
          <w:sz w:val="23"/>
          <w:szCs w:val="23"/>
          <w:u w:val="single"/>
          <w:shd w:val="clear" w:color="auto" w:fill="07F900"/>
        </w:rPr>
        <w:t xml:space="preserve">Progressivism, with its </w:t>
      </w:r>
      <w:r w:rsidRPr="006C71B6">
        <w:rPr>
          <w:rFonts w:cs="Calibri"/>
          <w:b/>
          <w:bCs/>
          <w:sz w:val="23"/>
          <w:szCs w:val="23"/>
          <w:u w:val="single"/>
          <w:shd w:val="clear" w:color="auto" w:fill="07F900"/>
        </w:rPr>
        <w:t>drive toward inclusion</w:t>
      </w:r>
      <w:r w:rsidRPr="00233077">
        <w:rPr>
          <w:rStyle w:val="StyleUnderline"/>
        </w:rPr>
        <w:t xml:space="preserve"> and assimilation, </w:t>
      </w:r>
      <w:r w:rsidRPr="006C71B6">
        <w:rPr>
          <w:rFonts w:cs="Calibri"/>
          <w:sz w:val="23"/>
          <w:szCs w:val="23"/>
          <w:u w:val="single"/>
          <w:shd w:val="clear" w:color="auto" w:fill="07F900"/>
        </w:rPr>
        <w:t>stakes its hope on</w:t>
      </w:r>
      <w:r w:rsidRPr="00233077">
        <w:rPr>
          <w:rStyle w:val="StyleUnderline"/>
        </w:rPr>
        <w:t xml:space="preserve"> the </w:t>
      </w:r>
      <w:r w:rsidRPr="006C71B6">
        <w:rPr>
          <w:rFonts w:cs="Calibri"/>
          <w:b/>
          <w:bCs/>
          <w:sz w:val="23"/>
          <w:szCs w:val="23"/>
          <w:u w:val="single"/>
          <w:shd w:val="clear" w:color="auto" w:fill="07F900"/>
        </w:rPr>
        <w:t>social viability</w:t>
      </w:r>
      <w:r w:rsidRPr="00233077">
        <w:rPr>
          <w:rStyle w:val="StyleUnderline"/>
        </w:rPr>
        <w:t xml:space="preserve"> </w:t>
      </w:r>
      <w:r w:rsidRPr="006C71B6">
        <w:rPr>
          <w:rFonts w:cs="Calibri"/>
          <w:sz w:val="23"/>
          <w:szCs w:val="23"/>
          <w:u w:val="single"/>
          <w:shd w:val="clear" w:color="auto" w:fill="07F900"/>
        </w:rPr>
        <w:t>of</w:t>
      </w:r>
      <w:r w:rsidRPr="00233077">
        <w:rPr>
          <w:rStyle w:val="StyleUnderline"/>
        </w:rPr>
        <w:t xml:space="preserve"> these </w:t>
      </w:r>
      <w:r w:rsidRPr="006C71B6">
        <w:rPr>
          <w:rFonts w:cs="Calibri"/>
          <w:sz w:val="23"/>
          <w:szCs w:val="23"/>
          <w:u w:val="single"/>
          <w:shd w:val="clear" w:color="auto" w:fill="07F900"/>
        </w:rPr>
        <w:t>subjects</w:t>
      </w:r>
      <w:r w:rsidRPr="00233077">
        <w:rPr>
          <w:rStyle w:val="StyleUnderline"/>
        </w:rPr>
        <w:t xml:space="preserve">, on their ability to participate in the daily reproduction of society. </w:t>
      </w:r>
      <w:r w:rsidRPr="006C71B6">
        <w:rPr>
          <w:rFonts w:cs="Calibri"/>
          <w:sz w:val="23"/>
          <w:szCs w:val="23"/>
          <w:u w:val="single"/>
          <w:shd w:val="clear" w:color="auto" w:fill="07F900"/>
        </w:rPr>
        <w:t>In doing so</w:t>
      </w:r>
      <w:r w:rsidRPr="00233077">
        <w:rPr>
          <w:rStyle w:val="StyleUnderline"/>
        </w:rPr>
        <w:t xml:space="preserve">, the ideology of </w:t>
      </w:r>
      <w:r w:rsidRPr="006C71B6">
        <w:rPr>
          <w:rFonts w:cs="Calibri"/>
          <w:sz w:val="23"/>
          <w:szCs w:val="23"/>
          <w:u w:val="single"/>
          <w:shd w:val="clear" w:color="auto" w:fill="07F900"/>
        </w:rPr>
        <w:t xml:space="preserve">progress functions to </w:t>
      </w:r>
      <w:r w:rsidRPr="006C71B6">
        <w:rPr>
          <w:rFonts w:cs="Calibri"/>
          <w:b/>
          <w:bCs/>
          <w:sz w:val="23"/>
          <w:szCs w:val="23"/>
          <w:u w:val="single"/>
          <w:shd w:val="clear" w:color="auto" w:fill="07F900"/>
        </w:rPr>
        <w:t>trap subversive potential</w:t>
      </w:r>
      <w:r w:rsidRPr="00233077">
        <w:rPr>
          <w:rStyle w:val="StyleUnderline"/>
        </w:rPr>
        <w:t xml:space="preserve"> within a particular subject, and then to solicit that subject’s self-repudiation of the danger which they’ve been constructed to represent.</w:t>
      </w:r>
      <w:r w:rsidRPr="006C71B6">
        <w:rPr>
          <w:rFonts w:cs="Calibri"/>
          <w:sz w:val="17"/>
          <w:szCs w:val="17"/>
        </w:rPr>
        <w:t xml:space="preserve"> This move for social peace fails to eliminate the drive, because despite a whole range of determinisms, there is no subject which can solely and perfectly contain the potential for revolt. </w:t>
      </w:r>
      <w:r w:rsidRPr="00233077">
        <w:rPr>
          <w:rStyle w:val="StyleUnderline"/>
        </w:rPr>
        <w:t xml:space="preserve">The simultaneous attempt at justice must also fail, </w:t>
      </w:r>
      <w:r w:rsidRPr="006C71B6">
        <w:rPr>
          <w:rFonts w:cs="Calibri"/>
          <w:sz w:val="23"/>
          <w:szCs w:val="23"/>
          <w:u w:val="single"/>
          <w:shd w:val="clear" w:color="auto" w:fill="07F900"/>
        </w:rPr>
        <w:t>because</w:t>
      </w:r>
      <w:r w:rsidRPr="00233077">
        <w:rPr>
          <w:rStyle w:val="StyleUnderline"/>
        </w:rPr>
        <w:t xml:space="preserve"> the </w:t>
      </w:r>
      <w:r w:rsidRPr="006C71B6">
        <w:rPr>
          <w:rFonts w:cs="Calibri"/>
          <w:sz w:val="23"/>
          <w:szCs w:val="23"/>
          <w:u w:val="single"/>
          <w:shd w:val="clear" w:color="auto" w:fill="07F900"/>
        </w:rPr>
        <w:t>integration of each</w:t>
      </w:r>
      <w:r w:rsidRPr="00233077">
        <w:rPr>
          <w:rStyle w:val="StyleUnderline"/>
        </w:rPr>
        <w:t xml:space="preserve"> successive </w:t>
      </w:r>
      <w:r w:rsidRPr="006C71B6">
        <w:rPr>
          <w:rFonts w:cs="Calibri"/>
          <w:sz w:val="23"/>
          <w:szCs w:val="23"/>
          <w:u w:val="single"/>
          <w:shd w:val="clear" w:color="auto" w:fill="07F900"/>
        </w:rPr>
        <w:t>subject position</w:t>
      </w:r>
      <w:r w:rsidRPr="00233077">
        <w:rPr>
          <w:rStyle w:val="StyleUnderline"/>
        </w:rPr>
        <w:t xml:space="preserve"> into normative relations </w:t>
      </w:r>
      <w:r w:rsidRPr="006C71B6">
        <w:rPr>
          <w:rFonts w:cs="Calibri"/>
          <w:b/>
          <w:bCs/>
          <w:sz w:val="23"/>
          <w:szCs w:val="23"/>
          <w:u w:val="single"/>
          <w:shd w:val="clear" w:color="auto" w:fill="07F900"/>
        </w:rPr>
        <w:t>necessitates the construction of the next Other to be</w:t>
      </w:r>
      <w:r w:rsidRPr="006C71B6">
        <w:rPr>
          <w:rFonts w:cs="Calibri"/>
          <w:b/>
          <w:bCs/>
          <w:sz w:val="23"/>
          <w:szCs w:val="23"/>
          <w:u w:val="single"/>
        </w:rPr>
        <w:t xml:space="preserve"> disciplined or </w:t>
      </w:r>
      <w:r w:rsidRPr="006C71B6">
        <w:rPr>
          <w:rFonts w:cs="Calibri"/>
          <w:b/>
          <w:bCs/>
          <w:sz w:val="23"/>
          <w:szCs w:val="23"/>
          <w:u w:val="single"/>
          <w:shd w:val="clear" w:color="auto" w:fill="07F900"/>
        </w:rPr>
        <w:t>destroyed</w:t>
      </w:r>
      <w:r w:rsidRPr="00233077">
        <w:rPr>
          <w:rStyle w:val="StyleUnderline"/>
        </w:rPr>
        <w:t xml:space="preserve">. </w:t>
      </w:r>
      <w:r w:rsidRPr="006C71B6">
        <w:rPr>
          <w:rFonts w:cs="Calibri"/>
          <w:sz w:val="17"/>
          <w:szCs w:val="17"/>
        </w:rPr>
        <w:t xml:space="preserve">Rather than a progressive project which aims to steadily eradicate an emergent chaos over time, our project, located at the threshold of Edelman’s work, bases itself upon the persistent negativity of the death drive. </w:t>
      </w:r>
      <w:r w:rsidRPr="00233077">
        <w:rPr>
          <w:rStyle w:val="StyleUnderline"/>
        </w:rPr>
        <w:t xml:space="preserve">We choose not to establish a place for queers, thereby shifting the structural position of queerness to some other population. We identify with the negativity of the drive, and thereby perform a disidentification away from any identity to be represented or which can beg for rights. </w:t>
      </w:r>
      <w:r w:rsidRPr="006C71B6">
        <w:rPr>
          <w:rFonts w:cs="Calibri"/>
          <w:sz w:val="17"/>
          <w:szCs w:val="17"/>
        </w:rPr>
        <w:t xml:space="preserve">Following Edelman further: </w:t>
      </w:r>
      <w:r w:rsidRPr="00233077">
        <w:rPr>
          <w:rStyle w:val="StyleUnderline"/>
        </w:rPr>
        <w:t>To figure the undoing of civil society</w:t>
      </w:r>
      <w:r w:rsidRPr="006C71B6">
        <w:rPr>
          <w:rFonts w:cs="Calibri"/>
          <w:sz w:val="17"/>
          <w:szCs w:val="17"/>
        </w:rPr>
        <w:t xml:space="preserve">, the death drive of the dominant order, </w:t>
      </w:r>
      <w:r w:rsidRPr="00233077">
        <w:rPr>
          <w:rStyle w:val="StyleUnderline"/>
        </w:rPr>
        <w:t>is neither to be nor to become that drive</w:t>
      </w:r>
      <w:r w:rsidRPr="006C71B6">
        <w:rPr>
          <w:rFonts w:cs="Calibri"/>
          <w:sz w:val="17"/>
          <w:szCs w:val="17"/>
        </w:rPr>
        <w:t xml:space="preserve">; such a being is not the point. </w:t>
      </w:r>
      <w:r w:rsidRPr="00233077">
        <w:rPr>
          <w:rStyle w:val="StyleUnderline"/>
        </w:rPr>
        <w:t>Rather, acceding to that figural position means recognizing and refusing</w:t>
      </w:r>
      <w:r w:rsidRPr="006C71B6">
        <w:rPr>
          <w:rFonts w:cs="Calibri"/>
          <w:sz w:val="17"/>
          <w:szCs w:val="17"/>
        </w:rPr>
        <w:t xml:space="preserve"> the consequences of </w:t>
      </w:r>
      <w:r w:rsidRPr="00233077">
        <w:rPr>
          <w:rStyle w:val="StyleUnderline"/>
        </w:rPr>
        <w:t>grounding reality in denial of that drive.</w:t>
      </w:r>
      <w:r w:rsidRPr="006C71B6">
        <w:rPr>
          <w:rFonts w:cs="Calibri"/>
          <w:sz w:val="17"/>
          <w:szCs w:val="17"/>
        </w:rPr>
        <w:t xml:space="preserve"> As the death drive dissolves those congealments of identity that permit us to know and survive as ourselves, so the queer must insist on disturbing, on queering, social organization as such—on disturbing, and therefore on queering ourselves and our investment in such organization. </w:t>
      </w:r>
      <w:r w:rsidRPr="00233077">
        <w:rPr>
          <w:rStyle w:val="StyleUnderline"/>
        </w:rPr>
        <w:t xml:space="preserve">For </w:t>
      </w:r>
      <w:r w:rsidRPr="006C71B6">
        <w:rPr>
          <w:rFonts w:cs="Calibri"/>
          <w:sz w:val="23"/>
          <w:szCs w:val="23"/>
          <w:u w:val="single"/>
          <w:shd w:val="clear" w:color="auto" w:fill="07F900"/>
        </w:rPr>
        <w:t>queerness can never define an identity; it can only ever disturb one</w:t>
      </w:r>
      <w:r w:rsidRPr="00233077">
        <w:rPr>
          <w:rStyle w:val="StyleUnderline"/>
        </w:rPr>
        <w:t>.</w:t>
      </w:r>
      <w:r w:rsidRPr="006C71B6">
        <w:rPr>
          <w:rFonts w:cs="Calibri"/>
          <w:sz w:val="17"/>
          <w:szCs w:val="17"/>
        </w:rPr>
        <w:t xml:space="preserve"> And so, when I argue, as I aim to do here, that the burden of queerness is to be located less in the assertion of an oppositional political identity than in opposition to politics as the governing fantasy of realizing identities, I am proposing no platform or position from which queer sexuality or any queer subject might finally and truly become itself, as if it could somehow manage thereby to achieve an essential queerness. I am suggesting instead that the efficacy of queerness, its real strategic value, lies in its resistance to a symbolic reality that only ever invests us as subjects insofar as we invest ourselves in it, clinging to its governing fictions, its persistent sublimations, as reality itself. </w:t>
      </w:r>
      <w:r w:rsidRPr="00233077">
        <w:rPr>
          <w:rStyle w:val="StyleUnderline"/>
        </w:rPr>
        <w:t>This negative queerness severs us from any simple understanding of ourselves</w:t>
      </w:r>
      <w:r w:rsidRPr="006C71B6">
        <w:rPr>
          <w:rFonts w:cs="Calibri"/>
          <w:sz w:val="17"/>
          <w:szCs w:val="17"/>
        </w:rPr>
        <w:t xml:space="preserve">. More so, it severs us from any formulaic or easily-represented notions of what we need, what we desire, or what is to be done. </w:t>
      </w:r>
      <w:r w:rsidRPr="00233077">
        <w:rPr>
          <w:rStyle w:val="StyleUnderline"/>
        </w:rPr>
        <w:t>Our queerness does not imagine a coherent self, and thus cannot agitate for any selves to find their place within civilization</w:t>
      </w:r>
      <w:r w:rsidRPr="006C71B6">
        <w:rPr>
          <w:rFonts w:cs="Calibri"/>
          <w:sz w:val="17"/>
          <w:szCs w:val="17"/>
        </w:rPr>
        <w:t xml:space="preserve">. The only queerness that queer sexuality could ever hope to achieve would exist in a total refusal of attempts at the symbolic integration of our sexuality into governing and market structures. </w:t>
      </w:r>
      <w:r w:rsidRPr="00233077">
        <w:rPr>
          <w:rStyle w:val="StyleUnderline"/>
        </w:rPr>
        <w:t>This refusal of representation forecloses on any hope that we ever have in identity politics or positive identity projects.</w:t>
      </w:r>
      <w:r w:rsidRPr="006C71B6">
        <w:rPr>
          <w:rFonts w:cs="Calibri"/>
          <w:sz w:val="17"/>
          <w:szCs w:val="17"/>
        </w:rPr>
        <w:t xml:space="preserve"> We decline the progressive faith in the ability for our bodies to be figured into the symbolic order. We decline the liberal assurance that everything will turn out right, if we just have faith. No, instead we mean to “unleash negativity against the coherence of any self-image, subjecting us to a moral law that evacuates the subject so as to locate it through and in that very act of evacuation, permitting the realization, thereby, of a freedom beyond the boundaries of any image or representation, a freedom that ultimately resides in nothing more than the capacity to advance into emptiness.” </w:t>
      </w:r>
      <w:r w:rsidRPr="006C71B6">
        <w:rPr>
          <w:rFonts w:cs="Calibri"/>
          <w:b/>
          <w:bCs/>
          <w:sz w:val="23"/>
          <w:szCs w:val="23"/>
          <w:u w:val="single"/>
          <w:shd w:val="clear" w:color="auto" w:fill="07F900"/>
        </w:rPr>
        <w:t>A non-identitarian</w:t>
      </w:r>
      <w:r w:rsidRPr="006C71B6">
        <w:rPr>
          <w:rFonts w:cs="Calibri"/>
          <w:b/>
          <w:bCs/>
          <w:sz w:val="23"/>
          <w:szCs w:val="23"/>
          <w:u w:val="single"/>
        </w:rPr>
        <w:t xml:space="preserve">, unrepresentable, </w:t>
      </w:r>
      <w:r w:rsidRPr="006C71B6">
        <w:rPr>
          <w:rFonts w:cs="Calibri"/>
          <w:b/>
          <w:bCs/>
          <w:sz w:val="23"/>
          <w:szCs w:val="23"/>
          <w:u w:val="single"/>
          <w:shd w:val="clear" w:color="auto" w:fill="07F900"/>
        </w:rPr>
        <w:t>unintelligible</w:t>
      </w:r>
      <w:r w:rsidRPr="006C71B6">
        <w:rPr>
          <w:rFonts w:eastAsia="Calibri" w:cs="Calibri"/>
          <w:b/>
          <w:bCs/>
          <w:sz w:val="23"/>
          <w:szCs w:val="23"/>
          <w:u w:val="single"/>
        </w:rPr>
        <w:t xml:space="preserve"> </w:t>
      </w:r>
      <w:r w:rsidRPr="006C71B6">
        <w:rPr>
          <w:rFonts w:cs="Calibri"/>
          <w:sz w:val="23"/>
          <w:szCs w:val="23"/>
          <w:u w:val="single"/>
          <w:shd w:val="clear" w:color="auto" w:fill="07F900"/>
        </w:rPr>
        <w:t xml:space="preserve">queer revolt will be </w:t>
      </w:r>
      <w:r w:rsidRPr="006C71B6">
        <w:rPr>
          <w:rFonts w:cs="Calibri"/>
          <w:b/>
          <w:bCs/>
          <w:sz w:val="23"/>
          <w:szCs w:val="23"/>
          <w:u w:val="single"/>
          <w:shd w:val="clear" w:color="auto" w:fill="07F900"/>
        </w:rPr>
        <w:t>purely negative</w:t>
      </w:r>
      <w:r w:rsidRPr="006C71B6">
        <w:rPr>
          <w:rFonts w:cs="Calibri"/>
          <w:sz w:val="23"/>
          <w:szCs w:val="23"/>
          <w:u w:val="single"/>
          <w:shd w:val="clear" w:color="auto" w:fill="07F900"/>
        </w:rPr>
        <w:t xml:space="preserve">, or </w:t>
      </w:r>
      <w:r w:rsidRPr="006C71B6">
        <w:rPr>
          <w:rFonts w:cs="Calibri"/>
          <w:b/>
          <w:bCs/>
          <w:sz w:val="23"/>
          <w:szCs w:val="23"/>
          <w:u w:val="single"/>
          <w:shd w:val="clear" w:color="auto" w:fill="07F900"/>
        </w:rPr>
        <w:t>it won’t be at all.</w:t>
      </w:r>
      <w:r w:rsidRPr="006C71B6">
        <w:rPr>
          <w:rFonts w:eastAsia="Calibri" w:cs="Calibri"/>
          <w:sz w:val="17"/>
          <w:szCs w:val="17"/>
        </w:rPr>
        <w:t xml:space="preserve"> </w:t>
      </w:r>
      <w:r w:rsidRPr="00233077">
        <w:rPr>
          <w:rStyle w:val="StyleUnderline"/>
        </w:rPr>
        <w:t xml:space="preserve">In the same way, an insurrectionary anarchy must embrace the death drive against all the positivisms afforded by the world it opposes. </w:t>
      </w:r>
      <w:r w:rsidRPr="006C71B6">
        <w:rPr>
          <w:rFonts w:cs="Calibri"/>
          <w:sz w:val="23"/>
          <w:szCs w:val="23"/>
          <w:u w:val="single"/>
          <w:shd w:val="clear" w:color="auto" w:fill="07F900"/>
        </w:rPr>
        <w:t>If we hope to interrupt</w:t>
      </w:r>
      <w:r w:rsidRPr="00233077">
        <w:rPr>
          <w:rStyle w:val="StyleUnderline"/>
        </w:rPr>
        <w:t xml:space="preserve"> the ceaseless forward motion of </w:t>
      </w:r>
      <w:r w:rsidRPr="006C71B6">
        <w:rPr>
          <w:rFonts w:cs="Calibri"/>
          <w:sz w:val="23"/>
          <w:szCs w:val="23"/>
          <w:u w:val="single"/>
          <w:shd w:val="clear" w:color="auto" w:fill="07F900"/>
        </w:rPr>
        <w:t xml:space="preserve">capital and its state, </w:t>
      </w:r>
      <w:r w:rsidRPr="006C71B6">
        <w:rPr>
          <w:rFonts w:cs="Calibri"/>
          <w:b/>
          <w:bCs/>
          <w:sz w:val="23"/>
          <w:szCs w:val="23"/>
          <w:u w:val="single"/>
          <w:shd w:val="clear" w:color="auto" w:fill="07F900"/>
        </w:rPr>
        <w:t>we cannot rely on failed methods</w:t>
      </w:r>
      <w:r w:rsidRPr="006C71B6">
        <w:rPr>
          <w:rFonts w:eastAsia="Calibri" w:cs="Calibri"/>
          <w:sz w:val="23"/>
          <w:szCs w:val="23"/>
          <w:u w:val="single"/>
          <w:shd w:val="clear" w:color="auto" w:fill="07F900"/>
        </w:rPr>
        <w:t xml:space="preserve">. </w:t>
      </w:r>
      <w:r w:rsidRPr="006C71B6">
        <w:rPr>
          <w:rFonts w:cs="Calibri"/>
          <w:b/>
          <w:bCs/>
          <w:sz w:val="23"/>
          <w:szCs w:val="23"/>
          <w:u w:val="single"/>
          <w:shd w:val="clear" w:color="auto" w:fill="07F900"/>
        </w:rPr>
        <w:t>Identity politics, platforms, formal organizations, subcultures, activist campaigns</w:t>
      </w:r>
      <w:r w:rsidRPr="006C71B6">
        <w:rPr>
          <w:rFonts w:cs="Calibri"/>
          <w:sz w:val="17"/>
          <w:szCs w:val="17"/>
        </w:rPr>
        <w:t xml:space="preserve"> (each being either queer or anarchist) </w:t>
      </w:r>
      <w:r w:rsidRPr="006C71B6">
        <w:rPr>
          <w:rFonts w:cs="Calibri"/>
          <w:sz w:val="23"/>
          <w:szCs w:val="23"/>
          <w:u w:val="single"/>
          <w:shd w:val="clear" w:color="auto" w:fill="07F900"/>
        </w:rPr>
        <w:t xml:space="preserve">will </w:t>
      </w:r>
      <w:r w:rsidRPr="006C71B6">
        <w:rPr>
          <w:rFonts w:cs="Calibri"/>
          <w:b/>
          <w:bCs/>
          <w:sz w:val="23"/>
          <w:szCs w:val="23"/>
          <w:u w:val="single"/>
          <w:shd w:val="clear" w:color="auto" w:fill="07F900"/>
        </w:rPr>
        <w:t>always arrive</w:t>
      </w:r>
      <w:r w:rsidRPr="006C71B6">
        <w:rPr>
          <w:rFonts w:cs="Calibri"/>
          <w:sz w:val="23"/>
          <w:szCs w:val="23"/>
          <w:u w:val="single"/>
          <w:shd w:val="clear" w:color="auto" w:fill="07F900"/>
        </w:rPr>
        <w:t xml:space="preserve"> at the dead ends of identity</w:t>
      </w:r>
      <w:r w:rsidRPr="006C71B6">
        <w:rPr>
          <w:rFonts w:cs="Calibri"/>
          <w:sz w:val="17"/>
          <w:szCs w:val="17"/>
        </w:rPr>
        <w:t xml:space="preserve"> and representation. </w:t>
      </w:r>
      <w:r w:rsidRPr="006C71B6">
        <w:rPr>
          <w:rFonts w:cs="Calibri"/>
          <w:sz w:val="23"/>
          <w:szCs w:val="23"/>
          <w:u w:val="single"/>
          <w:shd w:val="clear" w:color="auto" w:fill="07F900"/>
        </w:rPr>
        <w:t xml:space="preserve">We must </w:t>
      </w:r>
      <w:r w:rsidRPr="006C71B6">
        <w:rPr>
          <w:rFonts w:cs="Calibri"/>
          <w:b/>
          <w:bCs/>
          <w:sz w:val="23"/>
          <w:szCs w:val="23"/>
          <w:u w:val="single"/>
          <w:shd w:val="clear" w:color="auto" w:fill="07F900"/>
        </w:rPr>
        <w:t>flee from these positivities</w:t>
      </w:r>
      <w:r w:rsidRPr="006C71B6">
        <w:rPr>
          <w:rFonts w:eastAsia="Calibri" w:cs="Calibri"/>
          <w:sz w:val="23"/>
          <w:szCs w:val="23"/>
          <w:u w:val="single"/>
          <w:shd w:val="clear" w:color="auto" w:fill="07F900"/>
        </w:rPr>
        <w:t>,</w:t>
      </w:r>
      <w:r w:rsidRPr="00233077">
        <w:rPr>
          <w:rStyle w:val="StyleUnderline"/>
        </w:rPr>
        <w:t xml:space="preserve"> these models, </w:t>
      </w:r>
      <w:r w:rsidRPr="006C71B6">
        <w:rPr>
          <w:rFonts w:cs="Calibri"/>
          <w:sz w:val="23"/>
          <w:szCs w:val="23"/>
          <w:u w:val="single"/>
          <w:shd w:val="clear" w:color="auto" w:fill="07F900"/>
        </w:rPr>
        <w:t>to</w:t>
      </w:r>
      <w:r w:rsidRPr="00233077">
        <w:rPr>
          <w:rStyle w:val="StyleUnderline"/>
        </w:rPr>
        <w:t xml:space="preserve"> instead </w:t>
      </w:r>
      <w:r w:rsidRPr="006C71B6">
        <w:rPr>
          <w:rFonts w:cs="Calibri"/>
          <w:sz w:val="23"/>
          <w:szCs w:val="23"/>
          <w:u w:val="single"/>
          <w:shd w:val="clear" w:color="auto" w:fill="07F900"/>
        </w:rPr>
        <w:t xml:space="preserve">experiment with </w:t>
      </w:r>
      <w:r w:rsidRPr="006C71B6">
        <w:rPr>
          <w:rFonts w:cs="Calibri"/>
          <w:b/>
          <w:bCs/>
          <w:sz w:val="23"/>
          <w:szCs w:val="23"/>
          <w:u w:val="single"/>
          <w:shd w:val="clear" w:color="auto" w:fill="07F900"/>
        </w:rPr>
        <w:t xml:space="preserve">the undying negativity </w:t>
      </w:r>
      <w:r w:rsidRPr="006C71B6">
        <w:rPr>
          <w:rFonts w:cs="Calibri"/>
          <w:sz w:val="23"/>
          <w:szCs w:val="23"/>
          <w:u w:val="single"/>
          <w:shd w:val="clear" w:color="auto" w:fill="07F900"/>
        </w:rPr>
        <w:t>of the death drive</w:t>
      </w:r>
      <w:r w:rsidRPr="006C71B6">
        <w:rPr>
          <w:rFonts w:eastAsia="Calibri" w:cs="Calibri"/>
          <w:sz w:val="17"/>
          <w:szCs w:val="17"/>
          <w:shd w:val="clear" w:color="auto" w:fill="07F900"/>
        </w:rPr>
        <w:t>.</w:t>
      </w:r>
      <w:r w:rsidRPr="006C71B6">
        <w:rPr>
          <w:rFonts w:cs="Calibri"/>
          <w:sz w:val="17"/>
          <w:szCs w:val="17"/>
        </w:rPr>
        <w:t xml:space="preserve"> Edelman again: </w:t>
      </w:r>
      <w:r w:rsidRPr="00233077">
        <w:rPr>
          <w:rStyle w:val="StyleUnderline"/>
        </w:rPr>
        <w:t>The death drive</w:t>
      </w:r>
      <w:r w:rsidRPr="006C71B6">
        <w:rPr>
          <w:rFonts w:cs="Calibri"/>
          <w:sz w:val="17"/>
          <w:szCs w:val="17"/>
        </w:rPr>
        <w:t xml:space="preserve">’s immortality, then refers to a persistent negation that </w:t>
      </w:r>
      <w:r w:rsidRPr="00233077">
        <w:rPr>
          <w:rStyle w:val="StyleUnderline"/>
        </w:rPr>
        <w:t>offers</w:t>
      </w:r>
      <w:r w:rsidRPr="006C71B6">
        <w:rPr>
          <w:rFonts w:cs="Calibri"/>
          <w:sz w:val="17"/>
          <w:szCs w:val="17"/>
        </w:rPr>
        <w:t xml:space="preserve"> assurance of </w:t>
      </w:r>
      <w:r w:rsidRPr="00233077">
        <w:rPr>
          <w:rStyle w:val="StyleUnderline"/>
        </w:rPr>
        <w:t>nothing</w:t>
      </w:r>
      <w:r w:rsidRPr="006C71B6">
        <w:rPr>
          <w:rFonts w:cs="Calibri"/>
          <w:sz w:val="17"/>
          <w:szCs w:val="17"/>
        </w:rPr>
        <w:t xml:space="preserve"> at all: </w:t>
      </w:r>
      <w:r w:rsidRPr="00233077">
        <w:rPr>
          <w:rStyle w:val="StyleUnderline"/>
        </w:rPr>
        <w:t>neither identity, nor survival, nor any promise of the future</w:t>
      </w:r>
      <w:r w:rsidRPr="006C71B6">
        <w:rPr>
          <w:rFonts w:cs="Calibri"/>
          <w:sz w:val="17"/>
          <w:szCs w:val="17"/>
        </w:rPr>
        <w:t xml:space="preserve">. Instead, it insists both on and as the impossibility of Symbolic closure, the absence of any Other to affirm the Symbolic order’s truth and hence the illusory status of meaning as defense against the self-negating substance of jouissance… [Queerness] affirms a constant, eruptive jouissance that responds to the inarticulable real, to the impossibility of sexual rapport or of ever being able to signify the relation between the sexes. [Queerness] then, like the death drive, engages, by refusing, the normative stasis, the immobility, of sexuation… breaks down the mortifying structures that give us ourselves as selves and does so with all the force of the Real that such forms must fail to signify… the death drive both evades and undoes representation… the gravediggers of society [are] those who care nothing for the future. We’ll return soon to the concepts of futurity and of jouissance, but to conclude this point, we’ll assert that </w:t>
      </w:r>
      <w:r w:rsidRPr="00233077">
        <w:rPr>
          <w:rStyle w:val="StyleUnderline"/>
        </w:rPr>
        <w:t xml:space="preserve">an insurrectionary </w:t>
      </w:r>
      <w:r w:rsidRPr="00233077">
        <w:rPr>
          <w:rStyle w:val="StyleUnderline"/>
        </w:rPr>
        <w:lastRenderedPageBreak/>
        <w:t>process can only be an explosion of negativity against everything that dominates and exploits us, but also against everything that produces us as we are.</w:t>
      </w:r>
    </w:p>
    <w:p xmlns:wp14="http://schemas.microsoft.com/office/word/2010/wordml" w:rsidRPr="006C71B6" w:rsidR="008263E8" w:rsidP="008263E8" w:rsidRDefault="008263E8" w14:paraId="5B08B5D1" wp14:textId="77777777">
      <w:pPr>
        <w:spacing w:after="0" w:line="240" w:lineRule="auto"/>
        <w:rPr>
          <w:rFonts w:cs="Calibri"/>
          <w:sz w:val="18"/>
          <w:szCs w:val="18"/>
        </w:rPr>
      </w:pPr>
    </w:p>
    <w:p xmlns:wp14="http://schemas.microsoft.com/office/word/2010/wordml" w:rsidR="008263E8" w:rsidP="008263E8" w:rsidRDefault="008263E8" w14:paraId="3C80B37E" wp14:textId="77777777">
      <w:pPr>
        <w:pStyle w:val="Heading3"/>
      </w:pPr>
      <w:r>
        <w:lastRenderedPageBreak/>
        <w:t>S: Queer Insurrection</w:t>
      </w:r>
    </w:p>
    <w:p xmlns:wp14="http://schemas.microsoft.com/office/word/2010/wordml" w:rsidRPr="006C71B6" w:rsidR="008263E8" w:rsidP="008263E8" w:rsidRDefault="008263E8" w14:paraId="3DF35CD6" wp14:textId="77777777">
      <w:pPr>
        <w:pStyle w:val="Heading4"/>
        <w:rPr>
          <w:rFonts w:eastAsia="Calibri" w:cs="Calibri"/>
        </w:rPr>
      </w:pPr>
      <w:r w:rsidRPr="006C71B6">
        <w:rPr>
          <w:rFonts w:cs="Calibri"/>
        </w:rPr>
        <w:t>We must in all cases refuse and disrupt the space, and this round is an example. Through refusing the future we create a new present, one in which anti-statist rhetoric can survive and the very social fabric that society is fabricated on can be torn</w:t>
      </w:r>
    </w:p>
    <w:p xmlns:wp14="http://schemas.microsoft.com/office/word/2010/wordml" w:rsidRPr="00685BB0" w:rsidR="008263E8" w:rsidP="008263E8" w:rsidRDefault="008263E8" w14:paraId="30004763" wp14:textId="77777777">
      <w:r w:rsidRPr="00685BB0">
        <w:rPr>
          <w:rStyle w:val="Style13ptBold"/>
        </w:rPr>
        <w:t>Grassi 16</w:t>
      </w:r>
      <w:r w:rsidRPr="00685BB0">
        <w:t xml:space="preserve"> [Samuele, a part-time lecturer in Italian Studies, Faculty of Arts, Monash University, where he teaches the intensive Italian language and culture programme at their Prato Centre (Italy). “The anarchy of living with negativity,” Continuum pp.1-14] //Starboy</w:t>
      </w:r>
    </w:p>
    <w:p xmlns:wp14="http://schemas.microsoft.com/office/word/2010/wordml" w:rsidRPr="00BF5538" w:rsidR="008263E8" w:rsidP="008263E8" w:rsidRDefault="008263E8" w14:paraId="69B5AD96" wp14:textId="77777777">
      <w:pPr>
        <w:rPr>
          <w:rStyle w:val="StyleUnderline"/>
          <w:rFonts w:cs="Calibri"/>
        </w:rPr>
      </w:pPr>
      <w:r w:rsidRPr="006C71B6">
        <w:rPr>
          <w:rStyle w:val="StyleUnderline"/>
          <w:rFonts w:cs="Calibri"/>
        </w:rPr>
        <w:t>Queer nihilism, insurrection, and revolt No one with a queer theory background has as yet assessed more profoundly than Butler the ways anarchism, as a theory-informed praxis against the reiterated violence of control on subjects-citizens, in both spheres of personal/intimate and political/public life, is instrumental to this present-oriented destabilization of the political we call politics</w:t>
      </w:r>
      <w:r w:rsidRPr="006C71B6">
        <w:rPr>
          <w:rFonts w:cs="Calibri"/>
          <w:sz w:val="14"/>
          <w:szCs w:val="14"/>
        </w:rPr>
        <w:t xml:space="preserve">. In current thinking about anti-normativity in the context of ongoing struggles for justice and equality, I would argue that Butler’s thought-provoking resistance to attribute an identity to anarchism (in Heckert 2011, 93), which resonates with Newman’s intent, and </w:t>
      </w:r>
      <w:r w:rsidRPr="006C71B6">
        <w:rPr>
          <w:rStyle w:val="StyleUnderline"/>
          <w:rFonts w:cs="Calibri"/>
        </w:rPr>
        <w:t>to identify herself as anarchist is better served to understand anarchism’s impact for theorizing not only a queer politics that exceeds claims for legal recognition made to the State</w:t>
      </w:r>
      <w:r w:rsidRPr="006C71B6">
        <w:rPr>
          <w:rFonts w:cs="Calibri"/>
          <w:sz w:val="14"/>
          <w:szCs w:val="14"/>
        </w:rPr>
        <w:t xml:space="preserve">. In addition, and more cogently for this purpose, </w:t>
      </w:r>
      <w:r w:rsidRPr="006C71B6">
        <w:rPr>
          <w:rStyle w:val="StyleUnderline"/>
          <w:rFonts w:cs="Calibri"/>
        </w:rPr>
        <w:t>such version of (queer) politics also problematizes individual and communitarian responses to oppression, and it does this ‘under conditions where state and legal violence are profoundly interconnected’</w:t>
      </w:r>
      <w:r w:rsidRPr="006C71B6">
        <w:rPr>
          <w:rFonts w:cs="Calibri"/>
          <w:sz w:val="14"/>
          <w:szCs w:val="14"/>
        </w:rPr>
        <w:t xml:space="preserve"> (94). Here is Butler: It is important to point out that various forms of gender regulation and social hierarchy and exclusion work through domains of power that are not reducible to law, but this also means that </w:t>
      </w:r>
      <w:r w:rsidRPr="006C71B6">
        <w:rPr>
          <w:rStyle w:val="StyleUnderline"/>
          <w:rFonts w:cs="Calibri"/>
        </w:rPr>
        <w:t>the forms of resistance and claims to freedom we make cannot be fully conceptualized within the rubric of law</w:t>
      </w:r>
      <w:r w:rsidRPr="006C71B6">
        <w:rPr>
          <w:rFonts w:cs="Calibri"/>
          <w:sz w:val="14"/>
          <w:szCs w:val="14"/>
        </w:rPr>
        <w:t xml:space="preserve">. (96) Therefore, in conclusion to the investigation of affinities between postanarchist ethics and queer antisociality down to this point, </w:t>
      </w:r>
      <w:r w:rsidRPr="006C71B6">
        <w:rPr>
          <w:rStyle w:val="StyleUnderline"/>
          <w:rFonts w:cs="Calibri"/>
        </w:rPr>
        <w:t xml:space="preserve">it is fitting to bring in to my discussion a competing interpretation of ‘queer antisociality’ and of ‘anarchist anti-politics’, and to reflect on their consequences for a theory and a praxis of anti-normativity. </w:t>
      </w:r>
      <w:r w:rsidRPr="006C71B6">
        <w:rPr>
          <w:rFonts w:cs="Calibri"/>
          <w:sz w:val="14"/>
          <w:szCs w:val="14"/>
        </w:rPr>
        <w:t xml:space="preserve">My aim is not to assess which of these positions is more faithful to its object, or to what extent. Rather, in my view it is the very friction between them, as different positions within the same debate, that substantiates the validity of arguments about the role of negativity, the paths it opens, and those it occludes in articulating dissent. In 2012, a group of anarchists gathered under the name Baedan published the first issue of their journal on ‘queer nihilism’. In what looks like a rewording of the political and the anti-political as they have been referred to here to sketch similarities between Edelman’s and Newman’s anti-essentialist discourse, </w:t>
      </w:r>
      <w:r w:rsidRPr="006C71B6">
        <w:rPr>
          <w:rStyle w:val="StyleUnderline"/>
          <w:rFonts w:cs="Calibri"/>
        </w:rPr>
        <w:t>Baedan (2012, 13) set their concern with the kind of anarchist anti-politics we can infer from Edelman in opposition to his ‘apolitical detachment’, debunking the ‘weak thinking’ in his recourse to negativity. It follows that one’s support to Edelman’s claims about queerness as at once the resistance to the social order and as the internal, defining Other of society itself (its antagonism)10 can be considered viable for anarchist politics only if one negates at the same time the notion of negativity as ‘creative destruction’ and instead affirms and sustains the force of an ‘active nihilism’ (13), or ‘negative destruction’ (28)</w:t>
      </w:r>
      <w:r w:rsidRPr="006C71B6">
        <w:rPr>
          <w:rFonts w:cs="Calibri"/>
          <w:sz w:val="14"/>
          <w:szCs w:val="14"/>
        </w:rPr>
        <w:t xml:space="preserve">.11 There is a two-sided approach in the politics of queer revolt Beadan articulates, and both sides address the issue of time, or of finding a time, for revolt. Using the concept of jouissance Edelman borrows from Lacan, </w:t>
      </w:r>
      <w:r w:rsidRPr="006C71B6">
        <w:rPr>
          <w:rStyle w:val="StyleUnderline"/>
          <w:rFonts w:cs="Calibri"/>
        </w:rPr>
        <w:t>Beadan employs historical narrative as method to look back to a genealogy of queer riots ‘which cannot be captured in a textbook or situated neatly within narratives of progress for queer people, or of rational political struggles for a better future’</w:t>
      </w:r>
      <w:r w:rsidRPr="006C71B6">
        <w:rPr>
          <w:rFonts w:cs="Calibri"/>
          <w:sz w:val="14"/>
          <w:szCs w:val="14"/>
        </w:rPr>
        <w:t xml:space="preserve">; and, precisely via jouissance, </w:t>
      </w:r>
      <w:r w:rsidRPr="006C71B6">
        <w:rPr>
          <w:rStyle w:val="StyleUnderline"/>
          <w:rFonts w:cs="Calibri"/>
        </w:rPr>
        <w:t xml:space="preserve">they anticipate and question us into the experience of anti-politics as ‘the satisfaction of destruction […] </w:t>
      </w:r>
      <w:r w:rsidRPr="006C71B6">
        <w:rPr>
          <w:rFonts w:cs="Calibri"/>
          <w:sz w:val="14"/>
          <w:szCs w:val="14"/>
        </w:rPr>
        <w:t xml:space="preserve">Jouissance </w:t>
      </w:r>
      <w:r w:rsidRPr="006C71B6">
        <w:rPr>
          <w:rStyle w:val="StyleUnderline"/>
          <w:rFonts w:cs="Calibri"/>
        </w:rPr>
        <w:t>is the range of deviant and subversive practices which connect our struggle against society to our refusal to be its subjects’</w:t>
      </w:r>
      <w:r w:rsidRPr="006C71B6">
        <w:rPr>
          <w:rFonts w:cs="Calibri"/>
          <w:sz w:val="14"/>
          <w:szCs w:val="14"/>
        </w:rPr>
        <w:t xml:space="preserve"> (29, 31). Baedan’s insistence on </w:t>
      </w:r>
      <w:r w:rsidRPr="006C71B6">
        <w:rPr>
          <w:rStyle w:val="StyleUnderline"/>
          <w:rFonts w:cs="Calibri"/>
        </w:rPr>
        <w:t xml:space="preserve">this anti-politics of/as revolt is summarizable in their use of ‘insurrection’ as a term referring alternately to ‘a possibility to seize life in spite of and against the social order’ (33), to ‘urban insurrection, piracy, slave revolt’ (55), to upfront defiance of </w:t>
      </w:r>
      <w:r w:rsidRPr="006C71B6">
        <w:rPr>
          <w:rStyle w:val="StyleUnderline"/>
          <w:rFonts w:cs="Calibri"/>
        </w:rPr>
        <w:lastRenderedPageBreak/>
        <w:t>‘domestication and capital’s futurity’ (23), of ‘all that exists and for a joy which we cannot name’</w:t>
      </w:r>
      <w:r w:rsidRPr="006C71B6">
        <w:rPr>
          <w:rFonts w:cs="Calibri"/>
          <w:sz w:val="14"/>
          <w:szCs w:val="14"/>
        </w:rPr>
        <w:t xml:space="preserve"> (33); in short, even if and when insurrection may be joyous, it is fundamentally destructive – we have seen, it is a negative destruction, not a creative one. This reversal of terms poses the problem of the scenarios conjured for ethics (Newman 2016, 68), destruction involving a willingness to engage with violence12; it also runs contrary, by virtue of the ‘nihilism’ invoked by the group, to the fact that anarchist ethics is characterized by the simultaneous impetus to destroy and to create, as exemplified by Bakunin’s dictum (Daring et al. 2013; Newman 2010, 178). Furthermore, and as Newman succinctly puts it, first, violence radically undermines individual autonomy; secondly, ‘violent resistance against power risks an even greater and more devastating counter-violence’ (2016, 69). My concern here, then, is with Beadan’s confluence of anti-politics as nihilism, on one hand, and with the ensuing queer anti-politics of insurrection, especially when read with/against their treatment of Walter Benjamin’s views on the proletarian general strike on the other.13 Surely, this is also where pressing contact zones among the group, Butler, and Newman would have to be opened about the discussion of violence in their writing; this task is impossible to carry out here, but let us note that it adds to the evidence of an unrealized conversation between Butler and Newman on many levels, this time concerning the possibility of a non-violent form of violence (see Butler 2012; Newman 2016). What I wish to pursue now, though, starts with a question, inspired by Newman’s recent revision of insurrection as ‘</w:t>
      </w:r>
      <w:r w:rsidRPr="006C71B6">
        <w:rPr>
          <w:rStyle w:val="StyleUnderline"/>
          <w:rFonts w:cs="Calibri"/>
        </w:rPr>
        <w:t>the struggle for autonomous life’ (2016, 48), namely, what would it contribute to an anti-political politics of negativity at the intersection of ‘queer’ and ‘anarchy’ to consider insurrection no longer, or not necessarily with a definitive aim, but as what presupposes the impossibility for insurrection to achieve its goal, which is also to say, its own closure?</w:t>
      </w:r>
      <w:r w:rsidRPr="006C71B6">
        <w:rPr>
          <w:rFonts w:cs="Calibri"/>
          <w:sz w:val="14"/>
          <w:szCs w:val="14"/>
        </w:rPr>
        <w:t xml:space="preserve"> And, how would it work for our concern with the connections of queer antisociality and postanarchism in particular? In his recent Postanarchism, Newman introduces a distinction in terms of the social field insurrection is thought to aspire to, which for him should no longer be grounded in the ‘revolutionary dogmatism’ of deep-rooted beliefs in the revolution of radical political thought, including anarchism (2016, 52). He expands again on Stirner’s philosophy of egoism, in which insurrection is ‘radically anti-institutional’ – that is, it represents one’s own way to affirm the power of individual autonomy from, and thus their power over external constraints (54). Concurrently, freedom is anticipated to become the ‘starting point’ of insurrection, meaning that ‘the desire to change external conditions’ of oppression is replaced with ‘the affirmation of the self over these conditions’; from here, Newman conjectures a form of anarchist insurrection as ‘an indifference to power’ (56). Elsewhere (see The Politics of Postanarchism), Newman refers to something comparable in the course of a similar discussion on relational freedom. There, he contemplates the possibility that a union of subjectivities defined by their singularity may take the form of a ‘democracy of singularities’ (2010, 180), which just like that he is now envisaging in the context of insurrection, allows us to theorize the issue of collective actions in such a way that ‘the “egoistic” desires of the singularities’ involved are not closed off into the identity of the social, and that participation in collective struggles expresses ‘one’s own “selfish” sense of joy and pleasure, which is intensified through one’s relations with others’ (2016, 63). One feels tempted to link this idea to Gandhi’s proposal for an ‘anti-communitarian communitarianism’ that is so telling of a Western genealogy of unruly opposition to the appeals to society and community upholding several territories of State intervention. Gandhi’s historical investigation of an anti-colonial ‘politics of friendship’ between British radicalists and Indian advocates of independence in fin-de-siècle and early twentieth-century Britain is focused on the materialization of a resistant, anti-imperialist and anti-authoritarian assembled subjectivity based on the refusal of individuality and the approbation of singularity, where as she stresses, ‘the former [is] always amenable to perpetuation, extension, or generalization; the latter [is] marked by an irreducible difference which renders it inassimilable within any system of resemblance’ (2006, 26; my emphasis) (cf. Edelman 2004, 151). I see the entreat to distinguish singularity from individualism/individuality decisive as a lense through which to give a political understanding of the desire to resist community, or to cite Edelman, to perform the threat of its undoing as do antisocial queerness and anarchy. Without delving any further into Newman’s updated version of insurrection, his invitation to accept that ‘the postanarchist insurrection must stake its ground, ethically and politically, on an uncertain and shifting terrain’ (2016, 67), in my view gives us an alternative model to seize lodging the self in relationality – which, by now it should be clear, is operative as much in Newman’s as in Berlant and Edelman’s accounts – to counter unilateral understandings of insurrection and its relation to violence. Newman’s articulation of the contingency of insurrection also demonstrates that, and to follow Butler on law, violence can hardly exhaust the framework of possibilities activated in responses to violence, which leads to the second aspect in Beadan’s critique I wish to focus on. In the last sections of the journal, the group relates Edelman’s critique of reproductive futurism to several concepts in Benjamin’s theory of time, history and the work of the historian, and the messianic, at the end of which the negating force of the proletarian general strike14, which Benjamin borrows from Georges Sorel, and that he describes as ‘“pure means,” “nonviolent,” and “anarchistic”’ is taken into account as non-violence: ‘The proletarian general strike is non-violent because it is the abolition of the state – the real critique of violence put into effect’ (2012, 71). What is left unanswered, and I would add, unanswerable, </w:t>
      </w:r>
      <w:r w:rsidRPr="006C71B6">
        <w:rPr>
          <w:rStyle w:val="StyleUnderline"/>
          <w:rFonts w:cs="Calibri"/>
        </w:rPr>
        <w:t>in Beadan’s defying anti-politics of ‘queer nihilism’ is how this appraisal of non-violence may be thought to work, if at all, in the context of their seemingly unproblematic confluence of negativity with the nihilistic destruction of the social and with insurrectionary queer revolt.</w:t>
      </w:r>
      <w:r w:rsidRPr="006C71B6">
        <w:rPr>
          <w:rFonts w:cs="Calibri"/>
          <w:sz w:val="14"/>
          <w:szCs w:val="14"/>
        </w:rPr>
        <w:t xml:space="preserve"> In discussing the political import of Benjamin’s critique of violence, both Butler and Newman, as anticipated earlier on, have looked at his writings to advance that violence in Benjamin implies a refusal of the order of the State by instantiating a negation that sets subjects free from the coercive domains of the law (Butler 2012), and to theorize non-violent forms of violence which, in avoiding the trap of counter-violence, affirm an ‘ontologically anarchic’ action disengaged from specific ends (Newman 2016, 87). </w:t>
      </w:r>
      <w:r w:rsidRPr="006C71B6">
        <w:rPr>
          <w:rStyle w:val="StyleUnderline"/>
          <w:rFonts w:cs="Calibri"/>
        </w:rPr>
        <w:t xml:space="preserve">In both instances, to negate violence is first to negate the domains of law and institutionalized forms of violence; but it is also to oppose the negation of the subjects’ radical dependence from what exceeds them yet constitutes their undeniable vulnerability. </w:t>
      </w:r>
      <w:r w:rsidRPr="006C71B6">
        <w:rPr>
          <w:rFonts w:cs="Calibri"/>
          <w:sz w:val="14"/>
          <w:szCs w:val="14"/>
        </w:rPr>
        <w:t xml:space="preserve">Although it is articulated differently in their works, I consider this a common proposal made by Butler and by Newman for entering the domain of ethics. Going back to the publication of Berlant and Edelman’s book, one could then argue, </w:t>
      </w:r>
      <w:r w:rsidRPr="006C71B6">
        <w:rPr>
          <w:rStyle w:val="StyleUnderline"/>
          <w:rFonts w:cs="Calibri"/>
        </w:rPr>
        <w:t>the place of negativity, and its relevance for an antisocial queer politics can be assessed by considering it as ‘a challenge to engage with politics in unexpected places and in unpredicted ways’</w:t>
      </w:r>
      <w:r w:rsidRPr="006C71B6">
        <w:rPr>
          <w:rFonts w:cs="Calibri"/>
          <w:sz w:val="14"/>
          <w:szCs w:val="14"/>
        </w:rPr>
        <w:t xml:space="preserve"> (2014, xvi; my emphasis). This does not seem to be allowed if one’s aim is to destroy politics, or to call for a politics of destruction per se. What I have tried to elucidate is that </w:t>
      </w:r>
      <w:r w:rsidRPr="006C71B6">
        <w:rPr>
          <w:rStyle w:val="StyleUnderline"/>
          <w:rFonts w:cs="Calibri"/>
        </w:rPr>
        <w:t xml:space="preserve">the work of negativity, the work of politics, is to insist on keeping the possibility of a ‘here and now’ that represents the location for and the aim of resistance as possibility, as something which cannot be </w:t>
      </w:r>
      <w:r w:rsidRPr="006C71B6">
        <w:rPr>
          <w:rStyle w:val="StyleUnderline"/>
          <w:rFonts w:cs="Calibri"/>
        </w:rPr>
        <w:lastRenderedPageBreak/>
        <w:t>predicted in advance and is perpetually confronted with the threat of its own denial, including the threats violence poses to ourselves and to others. This denial is what negates what we refuse, and what refuses affirmation; it insists ‘in the present tense, on the urgency of politics as the ceaseless drive of resistance and dissent’</w:t>
      </w:r>
      <w:r w:rsidRPr="006C71B6">
        <w:rPr>
          <w:rFonts w:cs="Calibri"/>
          <w:sz w:val="14"/>
          <w:szCs w:val="14"/>
        </w:rPr>
        <w:t xml:space="preserve"> (Edelman 122; my emphasis). Queer anarchy, utopia, and living with negativity In order to show how a theory of queer anarchist anti-political politics drawing from the connections of postanarchism and </w:t>
      </w:r>
      <w:r w:rsidRPr="006C71B6">
        <w:rPr>
          <w:rStyle w:val="StyleUnderline"/>
          <w:rFonts w:cs="Calibri"/>
        </w:rPr>
        <w:t>queer antisociality might work in the context of activist struggle, I have chosen as empirical site the die-in performance that the Israeli queer anarchist group Mashpritzot devised at the Pride parade in Tel Aviv, in 2013</w:t>
      </w:r>
      <w:r w:rsidRPr="006C71B6">
        <w:rPr>
          <w:rFonts w:cs="Calibri"/>
          <w:sz w:val="14"/>
          <w:szCs w:val="14"/>
        </w:rPr>
        <w:t xml:space="preserve">. This performance brings together several of the threads narrated here: the critique to sovereignty and power of the State; queer anarchist resistance; the interrogation of the anti-relational/anti-utopian and its import for theorizing anti-normativity; the enactment of negativity to hint at change located in the conjoined space of creativity and destruction, or creative destruction; and non-violent forms to oppose violence. Following is how one </w:t>
      </w:r>
      <w:r w:rsidRPr="006C71B6">
        <w:rPr>
          <w:rStyle w:val="StyleUnderline"/>
          <w:rFonts w:cs="Calibri"/>
        </w:rPr>
        <w:t>of Mashpritzot members spells out their admonition to the Israeli government, coexistent with the queer collective’s enactment of the negation of the communitarian social it violently enforces: [The government’s is] [a] community that prefers fighting for marriage and surrogacy rights over more important issues such as equality in employment and housing or suicide rates among LGBT youth, or poor health inside the LGBT community. We prefer to deal with soft issues and less with life-or-death issues. And all this inside a framework that is meant to celebrate Israel’s liberalism. The same liberalism that’s used, in actual fact, to oppress and infringe upon Palestinians’ human rights.</w:t>
      </w:r>
      <w:r w:rsidRPr="006C71B6">
        <w:rPr>
          <w:rFonts w:cs="Calibri"/>
          <w:sz w:val="14"/>
          <w:szCs w:val="14"/>
        </w:rPr>
        <w:t xml:space="preserve">15 In her Bi radical blog, another member, Shiri recounts walking around during the official Pride parade carrying signs which read, among others, ‘While you fight for gay marriage, LGBTQs are sleeping on the street’, ‘While you fight for the right to have children, LGBTQ youth are facing parental violence’, and ‘One quarter of bisexuals suffer from poor health’. Then, halfway during the parade, all </w:t>
      </w:r>
      <w:r w:rsidRPr="006C71B6">
        <w:rPr>
          <w:rStyle w:val="StyleUnderline"/>
          <w:rFonts w:cs="Calibri"/>
        </w:rPr>
        <w:t>Mashpritzot laid a large rainbow flag right in the middle of the street and flung themselves on it so as to enact a pretended death, their fully pink-painted bodies lying still, a sign on one side of the flag reading, ‘Here lie the victims of the community’s priorities’</w:t>
      </w:r>
      <w:r w:rsidRPr="006C71B6">
        <w:rPr>
          <w:rFonts w:cs="Calibri"/>
          <w:sz w:val="14"/>
          <w:szCs w:val="14"/>
        </w:rPr>
        <w:t xml:space="preserve"> I wish to relate the performing of this ‘dying-in’ to Newman’s reworking of (anarchist) utopia in one of his previous theorizations of the politics of postanarchism; this convergence implies, first of all, a departure from conceptualizations of utopia as a laying-out of the principles structuring a future society, which grounds all narratives about the social revolution. It also implies a radical broadening of utopia’s reach, so that it comes to denote the present-oriented, non-materializable terrain from where to utter dissent, in Newman’s words, </w:t>
      </w:r>
      <w:r w:rsidRPr="006C71B6">
        <w:rPr>
          <w:rStyle w:val="StyleUnderline"/>
          <w:rFonts w:cs="Calibri"/>
        </w:rPr>
        <w:t>it becomes ‘a (non)place of alterity’, ‘a non-place that unsettles the consistency of all places’</w:t>
      </w:r>
      <w:r w:rsidRPr="006C71B6">
        <w:rPr>
          <w:rFonts w:cs="Calibri"/>
          <w:sz w:val="14"/>
          <w:szCs w:val="14"/>
        </w:rPr>
        <w:t xml:space="preserve"> (2010, 67, 68). Utopia may then refer to accessible locations from where to interrogate the present, the unwavering return of power and authority under neoliberalism, and normative and/or institutionalized violence – figurative and literal. </w:t>
      </w:r>
      <w:r w:rsidRPr="006C71B6">
        <w:rPr>
          <w:rStyle w:val="StyleUnderline"/>
          <w:rFonts w:cs="Calibri"/>
        </w:rPr>
        <w:t>The Mashpritzot performance contributed to raise awareness of and to challenge the pink-wash policy of the Israeli government; its embodiment of failure is an upfront opposition to neoliberal versions of ‘the public good’ summoned to cover over renewed forms of apartheid – from queers supporting marriage as institution to other forms of (not only sexual) commodification. It also bears on the contradictory nature of capital, that is, on the idea that as Beadan asserts, future-oriented capital progress lives though a relentless reproduction and expansion while at the same time it capitalizes on the transformation of life into mere survival (a survival that is all the more problematic in the context of Israel/Palestine), thereby introducing a founding ‘contradiction – the expansion of capital into all areas of life versus the impossibility of living a life within capitalism’ (2012, 23</w:t>
      </w:r>
      <w:r w:rsidRPr="006C71B6">
        <w:rPr>
          <w:rFonts w:cs="Calibri"/>
          <w:sz w:val="14"/>
          <w:szCs w:val="14"/>
        </w:rPr>
        <w:t xml:space="preserve">). Thinking utopia within the context of Edelman’s critique to reproductive futurism and his theory of negativity is problematic, to say the least, given that he is commonly assumed to reject utopianism entirely – and Edelman himself recently has supported this claim (Berlant and Edelman 2014, 11).17 This does not, however, mean that there are not sufficient grounds, as suggested by the discussion of politics and anti-politics borrowed from Newman, to envision a counter-reading of Edelman; so, let us see how this could proceed. At one point in Sex, or the Unbearable Edelman describes the feeling of failure as a sense of wanting, experiencing a defect, yet one that also speaks to ‘the joy of “no guarantee,” the enjoyment of building without blueprint, of conjuring something out of nothing more reliable than the space, the divide, that pr ovokes it’ (2014, 36). </w:t>
      </w:r>
      <w:r w:rsidRPr="006C71B6">
        <w:rPr>
          <w:rStyle w:val="StyleUnderline"/>
          <w:rFonts w:cs="Calibri"/>
        </w:rPr>
        <w:t xml:space="preserve">The die-in performance by Mashpritzot may be thought to canvass this, in pointing to the queer dissent that performs the rupture in the institutionalized fantasy of the freedom Pride parades are said to celebrate, which is not to deny their importance for the history of LGBTI activism and struggle for human rights. In performing this rupture, the performance seems to provide ‘a point of escape from the current order’, one that also creates the conditions to </w:t>
      </w:r>
      <w:r w:rsidRPr="006C71B6">
        <w:rPr>
          <w:rStyle w:val="StyleUnderline"/>
          <w:rFonts w:cs="Calibri"/>
        </w:rPr>
        <w:lastRenderedPageBreak/>
        <w:t>stir one’s own and others’ desire for anti-politics as ‘a way of puncturing the ontological status of the current order, introducing into it a moment of disruptive heterogeneity and singularity’</w:t>
      </w:r>
      <w:r w:rsidRPr="006C71B6">
        <w:rPr>
          <w:rFonts w:cs="Calibri"/>
          <w:sz w:val="14"/>
          <w:szCs w:val="14"/>
        </w:rPr>
        <w:t xml:space="preserve"> (Newman 2010, 162). </w:t>
      </w:r>
      <w:r w:rsidRPr="006C71B6">
        <w:rPr>
          <w:rStyle w:val="StyleUnderline"/>
          <w:rFonts w:cs="Calibri"/>
        </w:rPr>
        <w:t>It is now clear that the destruction operated by negativity for Edelman is not meant to negate change, but rather to negate the stability, or fixity of forms and structures, which are also what structures the normative regimes of law and community</w:t>
      </w:r>
      <w:r w:rsidRPr="006C71B6">
        <w:rPr>
          <w:rFonts w:eastAsia="Calibri" w:cs="Calibri"/>
          <w:sz w:val="14"/>
          <w:szCs w:val="14"/>
        </w:rPr>
        <w:t xml:space="preserve">. </w:t>
      </w:r>
      <w:r w:rsidRPr="006C71B6">
        <w:rPr>
          <w:rStyle w:val="StyleUnderline"/>
          <w:rFonts w:cs="Calibri"/>
        </w:rPr>
        <w:t>In the embodied counter-utopian assembly of singularities constituted by the bodies of the ‘dying’ performers, this radical form of resistance is seized as negation of the State</w:t>
      </w:r>
      <w:r w:rsidRPr="006C71B6">
        <w:rPr>
          <w:rFonts w:cs="Calibri"/>
          <w:sz w:val="14"/>
          <w:szCs w:val="14"/>
        </w:rPr>
        <w:t xml:space="preserve">. The context framing the performers as citizens-subjects of Israel speaking with, not speaking for the rights of Palestinians (where this difference directs politics in radically antithetical directions) bears evidence of the concern with the future/’no future’ while living in ‘a present time that is the time of reiterated destruction’ (Butler 2012, 224), when the very idea of a future is negated before one can even choose one’s position in relation to it. In summoning the unrealized dialogue between Edward Said and Mahmoud Darwish (in Mahmoud’s poem ‘What Shall We Do Without Exile?’), Butler invites us to reflect on the im/possible future for Palestine in the context of present-day Israeli-Palestinian conflict, to confront the fact that for many living under occupation the future is either alarmingly foreclosed, or it is one of relentless subjection (222). The im/possible project of detecting an ‘anti-utopian utopianism’ at work in the politics of negativity theorized by Edelman, may perhaps develop along parallel lines to those Butler envisages in Mahmoud’s poem, ‘to will the impossible’, ‘the break with catastrophe, which would be the very possibility of the future’ (223). </w:t>
      </w:r>
      <w:r w:rsidRPr="006C71B6">
        <w:rPr>
          <w:rStyle w:val="StyleUnderline"/>
          <w:rFonts w:cs="Calibri"/>
        </w:rPr>
        <w:t>In simulating death, the performers’ bodies disallow the possibility that the negativity of/as dissent might be redeemed; rather, in putting forth its enactment, they insist on the refusal of a future in a time when there is, and there should be, none outside of the here and now of anti-Statist struggle</w:t>
      </w:r>
      <w:r w:rsidRPr="006C71B6">
        <w:rPr>
          <w:rFonts w:cs="Calibri"/>
          <w:sz w:val="14"/>
          <w:szCs w:val="14"/>
        </w:rPr>
        <w:t xml:space="preserve">. An ‘anti-utopian utopianism’ might assume that new possibilities for alliance in opposition to communities assembled and reproduced by the futurist-driven logic of the capitalist State and its apparatuses can ever only take the form of singular occasions to experience the negativity of what is ‘not yet in a place, in a place that was and is in the impossible place of the not yet, happening now’ (Butler 2012, 224; my emphasis), of opening a space where one’s only promise is one’s own attachment to the openings it allows (Edelman, in Berlant and Edelman 2014, 34). </w:t>
      </w:r>
      <w:r w:rsidRPr="006C71B6">
        <w:rPr>
          <w:rStyle w:val="StyleUnderline"/>
          <w:rFonts w:cs="Calibri"/>
        </w:rPr>
        <w:t>In the context of the activism of the Israeli anarcha-queer collective, these are openings to otherness, towards (not solely LGBTI) people living under occupation in the Palestinian side of the border – it is, therefore, the kind of openness to otherness coextensive with one’s own referred to more than once here.</w:t>
      </w:r>
    </w:p>
    <w:p xmlns:wp14="http://schemas.microsoft.com/office/word/2010/wordml" w:rsidRPr="00F0715A" w:rsidR="008263E8" w:rsidP="008263E8" w:rsidRDefault="008263E8" w14:paraId="5E8D0DFB" wp14:textId="77777777">
      <w:pPr>
        <w:pStyle w:val="Heading3"/>
      </w:pPr>
      <w:r>
        <w:lastRenderedPageBreak/>
        <w:t>S: No Border Poltic</w:t>
      </w:r>
    </w:p>
    <w:p xmlns:wp14="http://schemas.microsoft.com/office/word/2010/wordml" w:rsidRPr="008B3810" w:rsidR="008263E8" w:rsidP="008263E8" w:rsidRDefault="008263E8" w14:paraId="1DEF7881" wp14:textId="77777777">
      <w:pPr>
        <w:pStyle w:val="Heading4"/>
      </w:pPr>
      <w:r w:rsidRPr="008B3810">
        <w:t>Calls for no borders are refusals of citizenship and a wakeup call to recognize the seemingly mundane occurrences along the border as violence. Success for the no border politic would mean a global reshaping of societies which is fundamentally incompatible with capitalism, the nation-state, and citizenship.</w:t>
      </w:r>
    </w:p>
    <w:p xmlns:wp14="http://schemas.microsoft.com/office/word/2010/wordml" w:rsidRPr="008B3810" w:rsidR="008263E8" w:rsidP="008263E8" w:rsidRDefault="008263E8" w14:paraId="5807E0B4" wp14:textId="77777777">
      <w:r w:rsidRPr="008B3810">
        <w:rPr>
          <w:rStyle w:val="Style13ptBold"/>
        </w:rPr>
        <w:t>Anderson, et al 09</w:t>
      </w:r>
      <w:r w:rsidRPr="008B3810">
        <w:t xml:space="preserve"> (Bridget, Professor of Migration and Citizenship and Research Director at COMPAS between 2003-2017, has a DPhil in Sociology and previous training in Philosophy and Modern Languages, with Nandita Sharma and Cynthia Wright, Editorial: Why No Borders?, Refuge, Vol 26, No 2, 2009, 11-14, </w:t>
      </w:r>
      <w:hyperlink w:history="1" r:id="rId123">
        <w:r w:rsidRPr="008B3810">
          <w:rPr>
            <w:rStyle w:val="Hyperlink"/>
          </w:rPr>
          <w:t>https://refuge.journals.yorku.ca/index.php/refuge/article/view/32074/29320</w:t>
        </w:r>
      </w:hyperlink>
      <w:r w:rsidRPr="008B3810">
        <w:t>) //jd</w:t>
      </w:r>
    </w:p>
    <w:p xmlns:wp14="http://schemas.microsoft.com/office/word/2010/wordml" w:rsidR="008263E8" w:rsidP="0673B170" w:rsidRDefault="008263E8" w14:paraId="2918149C" wp14:textId="77777777" wp14:noSpellErr="1">
      <w:pPr>
        <w:rPr>
          <w:rFonts w:ascii="Calibri" w:hAnsi="Calibri" w:eastAsia="Calibri" w:cs="Calibri"/>
          <w:sz w:val="16"/>
          <w:szCs w:val="16"/>
        </w:rPr>
      </w:pPr>
      <w:r w:rsidRPr="0673B170" w:rsidR="0673B170">
        <w:rPr>
          <w:sz w:val="16"/>
          <w:szCs w:val="16"/>
        </w:rPr>
        <w:t xml:space="preserve">Elements of a No Borders Approach </w:t>
      </w:r>
      <w:r w:rsidRPr="0673B170" w:rsidR="0673B170">
        <w:rPr>
          <w:rStyle w:val="StyleUnderline"/>
        </w:rPr>
        <w:t xml:space="preserve">Since the creation of the very first illegalized person, when- ever and wherever controls have been placed on people’s movements, they have been rejected . As William Walters comments, “In certain respects the power of autonomous movement has been the hidden secret of the history of class struggle .”46 Some have offered a philosophical rejection of the limits to the human activity of migration . Others have rejected the territorialization of their subjectivity and their relationships . Still others have rejected attempts to make them live a life that has become untenable due to acts of expropriation, terror, and/or impoverishment . No set of border controls has ever worked to fully contain people’s desire and need to move . In this sense, it can be argued that an everyday practice of refusing the border has existed as long as borders have . </w:t>
      </w:r>
      <w:r w:rsidRPr="0673B170" w:rsidR="0673B170">
        <w:rPr>
          <w:sz w:val="16"/>
          <w:szCs w:val="16"/>
        </w:rPr>
        <w:t xml:space="preserve">A contemporary politics for No Borders can, nonetheless, be said to have emerged in the mid-1990s . It is marked by the repoliticization of the very legitimacy of (im)migration restrictions and the distinctions made between “national” or even “regional” or “continental” (e .g ., “European”) sub- jects and their foreigners . </w:t>
      </w:r>
      <w:r w:rsidRPr="0673B170" w:rsidR="0673B170">
        <w:rPr>
          <w:rStyle w:val="StyleUnderline"/>
        </w:rPr>
        <w:t xml:space="preserve">What distinguishes a No Borders politics from other immigrant-rights approaches is their refusal to settle for “fairer” immigration laws (higher num- bers, legal statuses, and so on) . Within a No Borders pol- itics, it is understood that the border-control practices of national states not only reflect people’s unequal rights (e .g ., whose movements are deemed to be legitimate and whose are not) but also produce this inequality . Thus, their signal demand is for every person to have the freedom to move and, in this era of massive dispossession and displacement, the concomitant freedom to not be moved (i .e ., to stay) . </w:t>
      </w:r>
      <w:r w:rsidRPr="0673B170" w:rsidR="0673B170">
        <w:rPr>
          <w:sz w:val="16"/>
          <w:szCs w:val="16"/>
        </w:rPr>
        <w:t>In this, a No Borders politics, far from reaffirming the significance of citizenship, even if it is understood “... not an institution or a statute but a collective practice,” as Étienne Balibar contends, calls into question the legitimacy of the global system of national states itself and the related global system of capitalism .47 In making these demands,</w:t>
      </w:r>
      <w:r w:rsidRPr="0673B170" w:rsidR="0673B170">
        <w:rPr>
          <w:rStyle w:val="StyleUnderline"/>
        </w:rPr>
        <w:t xml:space="preserve"> a No Borders politics clarifies the centrality of border controls to capitalist social relations, relationships borne of—and still dependent on—practices of expropriation and exploita- tion . They show that social justice movements must not only “confront” the question of the border, they must reject borders that work to multiply both control devices and dif- ferentiated labour regimes .48 In so doing, they distinguish themselves from calls for open borders made by the Right, calls that centre on the availability of persons made mobile largely because of prior instances of dispossession and dis- placement .49 The Right’s call for open borders, thus, can be seen as a continuation, in new form, of the strategy of “accumulation by dispossession .”50 W</w:t>
      </w:r>
      <w:r w:rsidRPr="0673B170" w:rsidR="0673B170">
        <w:rPr>
          <w:sz w:val="16"/>
          <w:szCs w:val="16"/>
        </w:rPr>
        <w:t>hile most associated with events in Western Europe, a current No Borders politics also has its immediate predeces- sors in North America and is linked to prior movements for free mobility there . For instance, the popular No Borders cry that “No One Is Illegal” first arose against Operation Wetback, a 1954 US government program which resulted in over one million people being forced to leave the US for Mexico . The Sans Papiers in France, widely credited with first articulating a contemporary No Borders politics, gave new life to this slogan . Largely made up of migrants from Africa who found themselves categorized as “illegals,” the Sans P</w:t>
      </w:r>
      <w:r w:rsidRPr="0673B170" w:rsidR="0673B170">
        <w:rPr>
          <w:sz w:val="16"/>
          <w:szCs w:val="16"/>
        </w:rPr>
        <w:t>apiers began in 1996 by refusing to accept the right of the French state to control their lives through rendering them “paperless .” T</w:t>
      </w:r>
      <w:r w:rsidRPr="0673B170" w:rsidR="0673B170">
        <w:rPr>
          <w:rStyle w:val="StyleUnderline"/>
        </w:rPr>
        <w:t>heir radical stance, and the outpouring of solidarity for them from people across the spectrum of state statuses, stood in marked contrast to the wide legit- imacy given to Operation Wetback in the US and can be seen as part of the legacy of the Paris Uprising of 1968 .51 Part of the French state’s efforts to lessen the impact of this uprising was to begin deporting activists categorized as (im)migrants . An important response to these deportations was captured in the slogan, “We are all foreigners .” That the slogan was not “We are all French” is significant and sig- nals a kind of nascent No Borders rejection of having one’s subjectivity aligned with the national state by which one is governed . T</w:t>
      </w:r>
      <w:r w:rsidRPr="0673B170" w:rsidR="0673B170">
        <w:rPr>
          <w:sz w:val="16"/>
          <w:szCs w:val="16"/>
        </w:rPr>
        <w:t>he rejection of borders and the differences they make among people (as labourers and lovers, as comrades and classmates, etc .) comes from a shift in standpoint from one centred on citizens and “their” organizations or “their” state to one that begins from the standpoint of migrants themselves . The initial organizations of a movement for No Borders were led by migrants who insisted that migrants were legitimate political actors within national polities and did not want or need citizens’ groups to act as a cover for their activities . Such acts of autonomy brought back to people’s attention that, in the struggle for liberty, freedom, democracy, livelihoods, and more, one needed to act with, and not against, those defined as (im)migrants and foreign- ers . That is, that interests between people in these two cat- egorical groups were shared rather than conflicting . T</w:t>
      </w:r>
      <w:r w:rsidRPr="0673B170" w:rsidR="0673B170">
        <w:rPr>
          <w:rStyle w:val="StyleUnderline"/>
        </w:rPr>
        <w:t>he recognition and naming of people’s refusals to accept borders is of crucial importance in the light of the typical response to calls for No Borders: that it is utopian and impractical . This is often accompanied by what Phillip Cole calls the “catastrophe prediction .”52 This argues that No Borders would undermine equality and welfare protections within liberal democratic states and this would have an impact on the most marginalized and disadvantaged . It is also said that a lack of borders would also erode national identities and commitments to liberal democratic values . It is this dystopic vision that allows for either the consequent Hobbesian response (that states must be given sovereignty and the power to enforce compliance in the interests of cit- izens)53 or the related communitarian response (in which national state formations are defended on the grounds that democracy itself can flourish only if bounded with strong insides and outsides) .54 In both scenarios, national sover- eignty, although potentially unjust, is cast as a necessary evil . T</w:t>
      </w:r>
      <w:r w:rsidRPr="0673B170" w:rsidR="0673B170">
        <w:rPr>
          <w:rStyle w:val="StyleUnderline"/>
        </w:rPr>
        <w:t xml:space="preserve">his vision must be challenged . It has been countered by some through claims that a world without borders would not be altogether that different: not many people would move, migration has a very limited impact on labour mar- kets, and non-migrants as well as citizens would continue to be able to enjoy the privileges of citizenship, even if they are somewhat diminished .55 We reject the politics of these sorts of arguments . A radical No Borders politics acknowledges that it is part of revolutionary change . If successful, it will have a very profound effect on all of our lives for it is part of a global reshaping of economies and societies in a way that is not compatible with capitalism, nationalism, or the mode of state-controlled belonging that is citizenship . It is ambi- tious and requires exciting and imaginative explorations, but it is not utopian . It is in fact eminently practical and is being carried out daily . This raises the question of what sorts of political com- munities are desirable, and we would suggest that one way of framing our responses to this could be by considering the struggle for the commons . The No Borders demand for the right to move/stay is not framed within a liberal (capitalist) praxis as are the rights of states, citizens, private property owners, or even the ambiguous and largely symbolic arena of human rights . Instead, the rights to move and to stay are understood as a necessary part of a contemporary system of common rights . </w:t>
      </w:r>
      <w:r w:rsidRPr="0673B170" w:rsidR="0673B170">
        <w:rPr>
          <w:sz w:val="16"/>
          <w:szCs w:val="16"/>
        </w:rPr>
        <w:t>Thus, while focused on realizing their demand for freedom of movement (which includes the free- dom to not be moved), a No Borders politics can be seen as part of a broader, reinvigorated struggle for the commons . Peter Linebaugh, in his Magna Carta Manifesto, has iden- tified four key principles historically evident in the practice of commoning and in the rights held by commoners, rights that differ substantially from the modern regime of citizens or human rights .56 First, common rights are “embedded in a particular ecology,” one that is reliant on local knowledge of sustainable practices .57 In this sense common rights are nei- ther abstract nor essentialist but are based on one’s actions . Secondly, “commoning is embedded in a labor process” and is “entered into by labor .”58 Hence, commoning, by def- i</w:t>
      </w:r>
      <w:r w:rsidRPr="0673B170" w:rsidR="0673B170">
        <w:rPr>
          <w:sz w:val="16"/>
          <w:szCs w:val="16"/>
        </w:rPr>
        <w:t>nition, rejects parasitic class relationships centred on the dialectic of exploiters and producers . Third, “commoning is collective .”59 That is, it is a social practice . Fourth, com- moning is “independent of the state” and the law .60 There are no sovereigns in the commons . In sum, commoning is the realization of not only political rights but also social and economic rights of the commoners . Commoning, as a practice, then, resolves the capitalist separation of falsely divided spheres . Common rights have historically included the principles of: neighbourhood; subsistence; travel; anti- enclosure; and reparations .61 K</w:t>
      </w:r>
      <w:r w:rsidRPr="0673B170" w:rsidR="0673B170">
        <w:rPr>
          <w:rStyle w:val="StyleUnderline"/>
        </w:rPr>
        <w:t>ey to the realization of a commons is the nurturing of relationships of mutuality with fellow commoners . The rights held by commoners are the rights of persons . In contrast to the rights of property, consisting of the right to exclude others from enjoying that which has been pri- vatized, the right of persons consists of the right to not be excluded .62 Thus, the right of persons is not something that is granted . Instead, it is an entitlement that each person car- ries in her/himself . Dependent upon adherence to the above key principles of commoning, to have the right of persons entitles one to the resources of society . It includes the right to not be distinguished from others who also carry the right of persons . We contend that it is this right of persons in the commons that alone can build the foundation by which to construct a society of equals . Indeed, we argue that the pol- itical, No Borders demand for the right to move and to stay ought to be seen as a necessary part of a contemporary com- mon right of persons . T</w:t>
      </w:r>
      <w:r w:rsidRPr="0673B170" w:rsidR="0673B170">
        <w:rPr>
          <w:sz w:val="16"/>
          <w:szCs w:val="16"/>
        </w:rPr>
        <w:t>oday’s commons is seen as being operational only at a global scale and, therefore, against the nation (e .g ., citizen- ship) or even the region or the continent (e .g ., the European Union) . From an ecological perspective, we have long known that destructive (or helpful) practices in one part of the globe have effects, sometimes immediate, on all others . From a social perspective, creating restrictions on the move- ment of people, plants, animals, food, fuel, medicines, ideas, and more in a world that has long come to be shaped by such movements is tantamount to accepting the impos- ition of inequalities of one sort or another . Thus, the com- mons for which a No Borders politics struggles is a global one . Many taking a No Borders political position, therefore, move from challenging national forms of belonging to try- ing to activate new subjectivities, ones that correspond with the global level at which human society is actually organ- ized, in order to affirm a conception of freedom based on the collective political action of equals . A</w:t>
      </w:r>
      <w:r w:rsidRPr="0673B170" w:rsidR="0673B170">
        <w:rPr>
          <w:rStyle w:val="StyleUnderline"/>
        </w:rPr>
        <w:t xml:space="preserve"> No Borders pol- itics, thus, redefines equality by positing it as a relationship among co-members of a global society and not one among national citizens . What a No Borders politics demonstrates is that despite the proliferation of what Walter Mignolo has called “bor- der thinking,” borders and their institutional relation, cit- izenship, like states and nations, are highly volatile and unstable .63 While this means that borders are adaptable it also means that their authority can be challenged, indeed it is challenged on a daily basis . Awakening ourselves to the political potential of these challenges is an important aspect of No Borders struggles . U</w:t>
      </w:r>
      <w:r w:rsidRPr="0673B170" w:rsidR="0673B170">
        <w:rPr>
          <w:sz w:val="16"/>
          <w:szCs w:val="16"/>
        </w:rPr>
        <w:t>nder a general rubric of No Borders (if not always explicitly) are a wide variety of individuals and groups . T</w:t>
      </w:r>
      <w:r w:rsidRPr="0673B170" w:rsidR="0673B170">
        <w:rPr>
          <w:rStyle w:val="StyleUnderline"/>
        </w:rPr>
        <w:t xml:space="preserve">hey include groups of self-conscious activists directly confronting the state’s imposition of barriers to people’s mobilities (be they migrant detention camps, deportation schemes, harassment by various arms of state, and ejection by landlords) </w:t>
      </w:r>
      <w:r w:rsidRPr="0673B170" w:rsidR="0673B170">
        <w:rPr>
          <w:sz w:val="16"/>
          <w:szCs w:val="16"/>
        </w:rPr>
        <w:t>. Examples of such groups are the Sans Papiers in France mentioned above and groups inspired by their actions, such as the Sin Papeles in Spain . In Europe, there is also the broader No Border network, a loose affiliation of individuals, sometimes in organizations, who unambigu- ously reject any controls on people’s migration and stage demonstrations and solidarity events with detained migrants . In South Africa, the recent wave of terrible attacks on migrants, resulting in dozens of murders, led to import- ant organizing among shack-dwellers who issued a powerful manifesto against such killings, against xenophobia and for common rights for all .64 Informed by a No Borders politics there also exist cam- paigns that attempt to eliminate the use of (im)migration status as a tool of control of migrants . T</w:t>
      </w:r>
      <w:r w:rsidRPr="0673B170" w:rsidR="0673B170">
        <w:rPr>
          <w:rStyle w:val="StyleUnderline"/>
        </w:rPr>
        <w:t>hese include “Don’t Ask; Don’t Tell” campaigners in the US and in Canada call- ing for an end to citizenship and immigration status dis- tinctions among people in the provision of social services and in the receipt of protection (against patriarchal vio- lence, substandard employment conditions, etc .) .</w:t>
      </w:r>
      <w:r w:rsidRPr="0673B170" w:rsidR="0673B170">
        <w:rPr>
          <w:sz w:val="16"/>
          <w:szCs w:val="16"/>
        </w:rPr>
        <w:t xml:space="preserve"> Elsewhere, there exist groups such as Doctors of the World who pro- vide needed medical assistance without applying status or residence restrictions on the receipt of aid . Such groups often call for legalization (or regularization) of illegalized migrants as a means by which to gain rights and entitle- ments currently restricted to citizens and some permanent residents . Under the rubric of No Borders there are also groups who may not be entirely committed to the abolition of bor- ders, nation-states, and capitalism but who, in their every- day activities, provide much-needed support, be it in the form of information, shelter, water, and food to travelling migrants, or when trade unions purposefully ignore a per- son’s (im)migration status in their organizing drives or even specifically address the vulnerabilities faced by persons because of their lllegal or temporary status . A</w:t>
      </w:r>
      <w:r w:rsidRPr="0673B170" w:rsidR="0673B170">
        <w:rPr>
          <w:rStyle w:val="StyleUnderline"/>
        </w:rPr>
        <w:t>lso active are other individuals and g</w:t>
      </w:r>
      <w:r w:rsidRPr="0673B170" w:rsidR="0673B170">
        <w:rPr>
          <w:rStyle w:val="StyleUnderline"/>
        </w:rPr>
        <w:t>roups who argue for the abolition of the multiple borders that national states impose, such as borders created by laws regarding “official languages” and other, “banal nationalisms .”65 These include groups such as “No More Deaths” which works at the US/Mexico bor- der and labour unions such as Justice for Janitors in the US and Canada and the United Food and Commercial Workers Union in Canada . These unions have crossed the ideological divide created by the state between nationals and foreigners in order to secure higher wages, better working conditions, and health care for any worker in the occupational sec- tors they organize . Indeed such a rejection is what, in part, links disparate campaigns, groups, and individuals together within a broader No Borders politics . T</w:t>
      </w:r>
      <w:r w:rsidRPr="0673B170" w:rsidR="0673B170">
        <w:rPr>
          <w:sz w:val="16"/>
          <w:szCs w:val="16"/>
        </w:rPr>
        <w:t>he Challenge of No Borders This issue considers practical No Borders politics across a range of sites engaged with a wide range of political projects . What they have in common is their de-naturalization of the figure of the migrant or the refugee, and a refusal to accept dehumanizing bordering practices . This necessitates going beyond state-imposed categories and, as Shourideh Molavi and other contributors argue, that we also move beyond the rehearsing of the arguments about de facto and de jure cit- izenship to think about new forms of relating each to one another other than the model of citizenship and subject- hood . One of the most obvious consequences of these, as we have discussed above, is the promotion of competition among workers: immigration controls promise to protect a nationalized labour force from competition by foreign- ers said to threaten to undermine terms and conditions . However, rather than keeping non-citizen workers out, in practice they help create a group of workers that can be more preferable to employers because they have additional mechanisms of control over them, including the threat of deportation . This may be through illegalizing their labour, or it may be by tying them to particular employers . As Luke Stobart argues in his essay, organizing migrant workers, whatever their legal status, needs to be centralized rather than an “optional extra .” The call for No Borders requires us to rethink our responses to what Michael Billig called “banal national- ism .”66 This theme is taken up by Carolina Moulin who describes how cities can be the site of new forms of pol- itics and struggle—as well, of course, as administrative units that are used by the state in its creation and enforce- ment of borders . N</w:t>
      </w:r>
      <w:r w:rsidRPr="0673B170" w:rsidR="0673B170">
        <w:rPr>
          <w:rStyle w:val="StyleUnderline"/>
        </w:rPr>
        <w:t xml:space="preserve">o Borders politics demands a response and engagement from all of us, not only migrants, trade union activists, and those who are engaged with migrants’ struggles . For we are all implicated in the endless draw- ing and contesting of borders . Clemence Due and Damien Riggs explore empirically how borders are created on the playground through the practices of teachers and children . The paper presents the difficulties of “integration” as not being about a deficit in individual migrant children but about their differential categorization and the steadfast refusal to see their relations, contributions, and needs . This is a refusal, in fact, to see the border as created and enacted in the playground, partly because of the naturalization of categories of migrant and refugee and can be seen as acts of banal anti-nationalism . </w:t>
      </w:r>
      <w:r w:rsidRPr="0673B170" w:rsidR="0673B170">
        <w:rPr>
          <w:rFonts w:ascii="Calibri" w:hAnsi="Calibri" w:eastAsia="Calibri" w:cs="Calibri"/>
          <w:b w:val="1"/>
          <w:bCs w:val="1"/>
          <w:u w:val="single"/>
        </w:rPr>
        <w:t>J</w:t>
      </w:r>
      <w:r w:rsidRPr="0673B170" w:rsidR="0673B170">
        <w:rPr>
          <w:sz w:val="16"/>
          <w:szCs w:val="16"/>
        </w:rPr>
        <w:t>ean McDonald critiques regularization programs at the same time as acknowledging that they do bring practical improvements to the lives of some individuals . She dis- cusses how criteria for regularization produce subjects and reproduce ideas of the nation . Migrants must prove them- selves “deserving” of regularization . There is an explicit discussion of criminal inadmissibility for regularization programs . This is the case not just in Canada but in many states, including the US and the UK . The “Foreign National Prisoner” is an important (spectacular) figure in the justifi- cation of enforcement policy and practice, a rallying point whose deportation can be universally agreed on . While there may be protest at the deportation of “hard work- ers,” “good neighbours,” and “lovely parents,” this can rest on communitarian ideals of belonging . There are few anti- deportation campaigns fought in solidarity with foreign national prisoners, and this group has become an important figure in liberal democracies’ enforcement as the acceptable face of deportation .67 T</w:t>
      </w:r>
      <w:r w:rsidRPr="0673B170" w:rsidR="0673B170">
        <w:rPr>
          <w:rStyle w:val="StyleUnderline"/>
        </w:rPr>
        <w:t xml:space="preserve">here is a spectacular nature to border control, manifest in the deportation of foreign national prisoners: for instance, high profile raids, and the panoply of walls, technologies, and uniforms that mark them out . But at the same time borders are normalized and mundane . Andrew Burridge reveals the brutal mundanity of borders . The spectacular, with its tales of victims and villains, can divert attention from the structural underpinnings of the life stories that are held up to view . As the paper points out, dramatic rescue narratives avoid the question of who and why people need to be “saved” in the first place . Witnessing and rejecting the mundane is clearly an important aspect of the work of bor- der activists . </w:t>
      </w:r>
      <w:r w:rsidRPr="0673B170" w:rsidR="0673B170">
        <w:rPr>
          <w:rFonts w:ascii="Calibri" w:hAnsi="Calibri" w:eastAsia="Calibri" w:cs="Calibri"/>
          <w:sz w:val="16"/>
          <w:szCs w:val="16"/>
        </w:rPr>
        <w:t/>
      </w:r>
    </w:p>
    <w:p xmlns:wp14="http://schemas.microsoft.com/office/word/2010/wordml" w:rsidR="008263E8" w:rsidP="008263E8" w:rsidRDefault="008263E8" w14:paraId="1D74C88A" wp14:textId="77777777">
      <w:pPr>
        <w:pStyle w:val="Heading3"/>
      </w:pPr>
      <w:r>
        <w:lastRenderedPageBreak/>
        <w:t>S: Ahmed</w:t>
      </w:r>
    </w:p>
    <w:p xmlns:wp14="http://schemas.microsoft.com/office/word/2010/wordml" w:rsidRPr="00931487" w:rsidR="008263E8" w:rsidP="008263E8" w:rsidRDefault="008263E8" w14:paraId="2B001201" wp14:textId="77777777">
      <w:pPr>
        <w:pStyle w:val="Heading4"/>
        <w:rPr>
          <w:rFonts w:cs="Calibri"/>
          <w:szCs w:val="26"/>
        </w:rPr>
      </w:pPr>
      <w:r w:rsidRPr="00931487">
        <w:rPr>
          <w:rFonts w:cs="Calibri"/>
          <w:szCs w:val="26"/>
        </w:rPr>
        <w:t>The idea that the home is a static entity of rest excludes the narrative of the migrant, and locks in homonationalism by failing to criticize that one can be a stranger in their own nation, in their own home, and in their own skin</w:t>
      </w:r>
    </w:p>
    <w:p xmlns:wp14="http://schemas.microsoft.com/office/word/2010/wordml" w:rsidRPr="00496FAE" w:rsidR="008263E8" w:rsidP="008263E8" w:rsidRDefault="008263E8" w14:paraId="5A98CB30" wp14:textId="77777777">
      <w:r w:rsidRPr="00496FAE">
        <w:rPr>
          <w:rStyle w:val="Style13ptBold"/>
        </w:rPr>
        <w:t>Ahmed 13</w:t>
      </w:r>
      <w:r w:rsidRPr="00496FAE">
        <w:t xml:space="preserve"> (Sarah, Strange Encounters: Embodied Others in Post-Colonialtity. Pages 78-84 //Starboy)</w:t>
      </w:r>
    </w:p>
    <w:p xmlns:wp14="http://schemas.microsoft.com/office/word/2010/wordml" w:rsidRPr="00931487" w:rsidR="008263E8" w:rsidP="008263E8" w:rsidRDefault="008263E8" w14:paraId="61875488" wp14:textId="77777777">
      <w:pPr>
        <w:spacing w:after="0" w:line="240" w:lineRule="auto"/>
        <w:rPr>
          <w:rStyle w:val="StyleUnderline"/>
          <w:rFonts w:cs="Calibri"/>
        </w:rPr>
      </w:pPr>
      <w:r w:rsidRPr="00931487">
        <w:rPr>
          <w:rFonts w:eastAsia="Times New Roman" w:cs="Calibri"/>
          <w:sz w:val="16"/>
        </w:rPr>
        <w:t xml:space="preserve">What is at stake in such a narrative of ‘the home’ as that which must be overcome? In both Chambers’s and Braidotti’s work, </w:t>
      </w:r>
      <w:r w:rsidRPr="00931487">
        <w:rPr>
          <w:rStyle w:val="StyleUnderline"/>
          <w:rFonts w:cs="Calibri"/>
        </w:rPr>
        <w:t xml:space="preserve">home is not given any positive definition: it is constructed only through reference to what it is not, that is, through reference to the homelessness of migration and exile. </w:t>
      </w:r>
      <w:r w:rsidRPr="00931487">
        <w:rPr>
          <w:rFonts w:eastAsia="Times New Roman" w:cs="Calibri"/>
          <w:sz w:val="16"/>
        </w:rPr>
        <w:t xml:space="preserve">By being defined negatively in this way, home becomes associated with stasis, boundaries, identity and fixity. </w:t>
      </w:r>
      <w:r w:rsidRPr="00931487">
        <w:rPr>
          <w:rStyle w:val="StyleUnderline"/>
          <w:rFonts w:cs="Calibri"/>
        </w:rPr>
        <w:t>Home is implicitly constructed as a purified space of belonging in which the subject is too comfortable to question the limits or borders of her or his experience, indeed, where the subject is so at ease that she or he does not think. Such a construction of home as too familiar, safe and comfortable to allow for critical thought has clear resonance in some post-colonial literature.</w:t>
      </w:r>
      <w:r w:rsidRPr="00931487">
        <w:rPr>
          <w:rFonts w:eastAsia="Times New Roman" w:cs="Calibri"/>
          <w:sz w:val="16"/>
        </w:rPr>
        <w:t xml:space="preserve"> Nalina Persram, for example, defines ‘home’ as rest and respite, where there is ‘being but no longing’ (1996: 213). Home is associated with a being that rests, that is full and present to itself, and that does not over-reach itself through the desire for something other. </w:t>
      </w:r>
      <w:r w:rsidRPr="00931487">
        <w:rPr>
          <w:rStyle w:val="StyleUnderline"/>
          <w:rFonts w:cs="Calibri"/>
        </w:rPr>
        <w:t>To be at home is the absence of desire, and the absence of an engagement with others through which desire engenders movement across boundaries.</w:t>
      </w:r>
      <w:r w:rsidRPr="00931487">
        <w:rPr>
          <w:rFonts w:eastAsia="Times New Roman" w:cs="Calibri"/>
          <w:sz w:val="16"/>
        </w:rPr>
        <w:t xml:space="preserve"> In such a narrative, home and away are divided, not only as different spaces, but as different ways of being in the world. </w:t>
      </w:r>
      <w:r w:rsidRPr="00931487">
        <w:rPr>
          <w:rStyle w:val="StyleUnderline"/>
          <w:rFonts w:cs="Calibri"/>
        </w:rPr>
        <w:t xml:space="preserve">Home is constructed as a way of being by the very reduction of home to being, as if being could be without desire for something other. Such a narrative of home assumes the possibility of a space that is pure, which is uncontaminated by movement, desire or difference, in order to call for a politics in which movement is always and already a movement away from home as such. </w:t>
      </w:r>
      <w:r w:rsidRPr="00931487">
        <w:rPr>
          <w:rFonts w:eastAsia="Times New Roman" w:cs="Calibri"/>
          <w:sz w:val="16"/>
        </w:rPr>
        <w:t xml:space="preserve">I want to suggest that this narrative requires a definition of home that is itself impossible: </w:t>
      </w:r>
      <w:r w:rsidRPr="00931487">
        <w:rPr>
          <w:rStyle w:val="StyleUnderline"/>
          <w:rFonts w:cs="Calibri"/>
        </w:rPr>
        <w:t xml:space="preserve">it stabilises the home as a place with boundaries that are fixed, such that the home becomes pure, safe and comfortable. However, encounters with otherness which, in Persram’s terms, would engender desire, cannot be designated in terms of the space beyond home: it is the very opposition between ‘home’ and ‘away’ that we must question. </w:t>
      </w:r>
      <w:r w:rsidRPr="00931487">
        <w:rPr>
          <w:rFonts w:eastAsia="Times New Roman" w:cs="Calibri"/>
          <w:sz w:val="16"/>
        </w:rPr>
        <w:t xml:space="preserve">According to the model which assumes that the opposition between home and away is fully secure, home would be the familiar space, while ‘away’ would be ‘a strange land’ (Chambers 1994: 18). When one is at home, one would be a member of the family, a neighbour, a friend, and when one leaves home one would become the stranger. The problem with such a model of home as familiarity is that it projects strangerness beyond the walls of the home. </w:t>
      </w:r>
      <w:r w:rsidRPr="00931487">
        <w:rPr>
          <w:rStyle w:val="StyleUnderline"/>
          <w:rFonts w:cs="Calibri"/>
        </w:rPr>
        <w:t>Instead, we can ask: how does being-at-home already encounter strangerness? How does being-at-home already engender desire? For example, if we were to expand our definition of home to think of the nation as a home, then we could recognise that there are always encounters with others already recognised as strangers within, rather than just between, nations.</w:t>
      </w:r>
      <w:r w:rsidRPr="00931487">
        <w:rPr>
          <w:rFonts w:eastAsia="Times New Roman" w:cs="Calibri"/>
          <w:sz w:val="16"/>
        </w:rPr>
        <w:t xml:space="preserve"> </w:t>
      </w:r>
      <w:r w:rsidRPr="00931487">
        <w:rPr>
          <w:rStyle w:val="StyleUnderline"/>
          <w:rFonts w:cs="Calibri"/>
        </w:rPr>
        <w:t xml:space="preserve">To argue otherwise, would be to imagine the nation as a purified space, and to deny the differences within that space: it would be to assume that you only encounter strangers at the border </w:t>
      </w:r>
      <w:r w:rsidRPr="00931487">
        <w:rPr>
          <w:rFonts w:eastAsia="Times New Roman" w:cs="Calibri"/>
          <w:sz w:val="16"/>
        </w:rPr>
        <w:t xml:space="preserve">(see Chapter 5). </w:t>
      </w:r>
      <w:r w:rsidRPr="00931487">
        <w:rPr>
          <w:rStyle w:val="StyleUnderline"/>
          <w:rFonts w:cs="Calibri"/>
        </w:rPr>
        <w:t>Within any home, it is not only the border line that brings our attention to the strangers that seem out of place</w:t>
      </w:r>
      <w:r w:rsidRPr="00931487">
        <w:rPr>
          <w:rFonts w:eastAsia="Times New Roman" w:cs="Calibri"/>
          <w:sz w:val="16"/>
        </w:rPr>
        <w:t xml:space="preserve">. To return to an earlier argument, the stranger only comes to be recognised as such by coming too close to home (see Chapter 1). Given this, there is always an encounter with strangerness at stake, even within the home: the home does not secure identity by expelling strangers, but requires those strangers to establish relations of proximity and distance within the home, and not just between home and away. </w:t>
      </w:r>
      <w:r w:rsidRPr="00931487">
        <w:rPr>
          <w:rStyle w:val="StyleUnderline"/>
          <w:rFonts w:cs="Calibri"/>
        </w:rPr>
        <w:t>The association of home with familiarity which allows strangeness to be associated with migration (that is, to be located as beyond the walls of the home) is problematic. There is already strangeness and movement within the home itself. It is not simply a question then of those who stay at home, and those who leave: as if these two different trajectories simply lead people to different places.</w:t>
      </w:r>
      <w:r w:rsidRPr="00931487">
        <w:rPr>
          <w:rFonts w:eastAsia="Times New Roman" w:cs="Calibri"/>
          <w:sz w:val="16"/>
        </w:rPr>
        <w:t xml:space="preserve"> Rather, ‘homes’ always involve encounters between those who stay, those who arrive, and those who leave. We can use Avtar Brah’s notion of diasporic space here: there is an intimate encounter at stake between those who stay and those who leave, or between natives and strangers (1996: 181). Given the inevitability of such encounters, homes do not stay the same as the space which is simply the familiar. There is movement and dislocation within the very forming of homes as complex </w:t>
      </w:r>
      <w:r w:rsidRPr="00931487">
        <w:rPr>
          <w:rFonts w:eastAsia="Times New Roman" w:cs="Calibri"/>
          <w:sz w:val="16"/>
        </w:rPr>
        <w:lastRenderedPageBreak/>
        <w:t xml:space="preserve">and contingent spaces of inhabitance. However, </w:t>
      </w:r>
      <w:r w:rsidRPr="00931487">
        <w:rPr>
          <w:rStyle w:val="StyleUnderline"/>
          <w:rFonts w:cs="Calibri"/>
        </w:rPr>
        <w:t>to argue for the non-opposition between home and away is not to claim that it makes no difference if one leaves a place in which one has felt at home (this would turn migration into a symptom: we have all left home, as you can never simply ‘be’ at home). We need to think about ways of understanding this difference without identifying home with the stasis of being</w:t>
      </w:r>
      <w:r w:rsidRPr="00931487">
        <w:rPr>
          <w:rFonts w:eastAsia="Times New Roman" w:cs="Calibri"/>
          <w:sz w:val="16"/>
        </w:rPr>
        <w:t xml:space="preserve">. We can begin by returning to my earlier attempt to define home across three registers: home is where one usually lives, home is where one’s family lives, or home is one’s ‘native country’. Already this seems vastly inadequate – for example, </w:t>
      </w:r>
      <w:r w:rsidRPr="00931487">
        <w:rPr>
          <w:rStyle w:val="StyleUnderline"/>
          <w:rFonts w:cs="Calibri"/>
        </w:rPr>
        <w:t>it is possible that one’s native country might not be felt as a home</w:t>
      </w:r>
      <w:r w:rsidRPr="00931487">
        <w:rPr>
          <w:rFonts w:eastAsia="Times New Roman" w:cs="Calibri"/>
          <w:sz w:val="16"/>
        </w:rPr>
        <w:t xml:space="preserve">. Indeed, for me, while I was born in England, it never really felt like a home: England was what I read about in school text books; it was where it snowed at Christmas; or it was where I got birthday cards from, and the occasional funny five pound notes. The lack of a sense of England being my home was precisely because of a failure to remember what it was like to inhabit the place (I tried to remember – I was 4 when we left for Australia – but could never get past the blue window frames). So, England didn’t really feel like home, despite the astonishing ability of my mother to keep her accent. </w:t>
      </w:r>
      <w:r w:rsidRPr="00931487">
        <w:rPr>
          <w:rStyle w:val="StyleUnderline"/>
          <w:rFonts w:cs="Calibri"/>
        </w:rPr>
        <w:t>The issue is that home is not simply about fantasies of belonging (where do I originate from?) but that it is sentimentalised as a space of belonging (‘home is where the heart is’). The question of home and being-athome can only be addressed by considering the question of affect: being-athome is a matter of how one feels or how one might fail to feel</w:t>
      </w:r>
      <w:r w:rsidRPr="00931487">
        <w:rPr>
          <w:rFonts w:eastAsia="Times New Roman" w:cs="Calibri"/>
          <w:sz w:val="16"/>
        </w:rPr>
        <w:t xml:space="preserve">. Avtar Brah rethinks the difference between home as where one lives and home as where one ‘comes from’ in terms of affect: </w:t>
      </w:r>
      <w:r w:rsidRPr="00931487">
        <w:rPr>
          <w:rStyle w:val="StyleUnderline"/>
          <w:rFonts w:cs="Calibri"/>
        </w:rPr>
        <w:t xml:space="preserve">‘Where is home?’ On the one hand, “home” is a mythic place of desire in the diasporic imagination. In this sense, it is a place of no return, even if it is possible to visit the geographical territory that is seen as the place of “origin”. </w:t>
      </w:r>
      <w:r w:rsidRPr="00931487">
        <w:rPr>
          <w:rFonts w:eastAsia="Times New Roman" w:cs="Calibri"/>
          <w:sz w:val="16"/>
        </w:rPr>
        <w:t xml:space="preserve">On the other hand, home is also the lived experience of locality, its sounds and smells’ (1996: 192). Home as ‘where one usually lives’ becomes theorised as the lived experience of locality. The immersion of a self in a locality is not simply about inhabiting an already constituted space (from which one could depart and remain the same). Rather, the locality intrudes into the senses: it defines what one smells, hears, touches, feels, remembers. </w:t>
      </w:r>
      <w:r w:rsidRPr="00931487">
        <w:rPr>
          <w:rStyle w:val="StyleUnderline"/>
          <w:rFonts w:cs="Calibri"/>
        </w:rPr>
        <w:t>The lived experience of being-at-home hence involves the enveloping of subjects in a space which is not simply outside them: being-at-home suggests that the subject and space leak into each other, inhabit each other</w:t>
      </w:r>
      <w:r w:rsidRPr="00931487">
        <w:rPr>
          <w:rFonts w:eastAsia="Times New Roman" w:cs="Calibri"/>
          <w:sz w:val="16"/>
        </w:rPr>
        <w:t xml:space="preserve">. We can think of the lived experience of being-at-home in terms of inhabiting a second skin, a skin which does not simply contain the homely subject, but which allows the subject to be touched and touch the world that is neither simply in the home or away from the home. </w:t>
      </w:r>
      <w:r w:rsidRPr="00931487">
        <w:rPr>
          <w:rStyle w:val="StyleUnderline"/>
          <w:rFonts w:cs="Calibri"/>
        </w:rPr>
        <w:t>The home as skin suggests the boundary between self and home is permeable, but also that the boundary between home and away is permeable as well. Movement away is also movement within the constitution of home as such. Movement away is always affective: it affects how ‘homely’ one might feel and fail to feel.</w:t>
      </w:r>
    </w:p>
    <w:p xmlns:wp14="http://schemas.microsoft.com/office/word/2010/wordml" w:rsidRPr="00931487" w:rsidR="008263E8" w:rsidP="008263E8" w:rsidRDefault="008263E8" w14:paraId="16DEB4AB" wp14:textId="77777777">
      <w:pPr>
        <w:spacing w:after="0" w:line="240" w:lineRule="auto"/>
        <w:rPr>
          <w:rFonts w:eastAsia="Times New Roman" w:cs="Calibri"/>
          <w:sz w:val="26"/>
          <w:szCs w:val="26"/>
        </w:rPr>
      </w:pPr>
    </w:p>
    <w:p xmlns:wp14="http://schemas.microsoft.com/office/word/2010/wordml" w:rsidRPr="00931487" w:rsidR="008263E8" w:rsidP="008263E8" w:rsidRDefault="008263E8" w14:paraId="5D327AA1" wp14:textId="77777777">
      <w:pPr>
        <w:pStyle w:val="Heading4"/>
        <w:rPr>
          <w:rFonts w:cs="Calibri"/>
          <w:szCs w:val="26"/>
        </w:rPr>
      </w:pPr>
      <w:r w:rsidRPr="00931487">
        <w:rPr>
          <w:rFonts w:cs="Calibri"/>
          <w:szCs w:val="26"/>
        </w:rPr>
        <w:t>Through analyzing narratives of migration we can better learn to “re-inhabit the skin” and better understand ourselves in the world. This creates a community of migrants and relocate to best survive in a world of borders so that we can strive towards a world without them</w:t>
      </w:r>
    </w:p>
    <w:p xmlns:wp14="http://schemas.microsoft.com/office/word/2010/wordml" w:rsidRPr="00496FAE" w:rsidR="008263E8" w:rsidP="008263E8" w:rsidRDefault="008263E8" w14:paraId="59CA5303" wp14:textId="77777777">
      <w:r w:rsidRPr="00496FAE">
        <w:rPr>
          <w:rStyle w:val="Style13ptBold"/>
        </w:rPr>
        <w:t>Ahmed 13</w:t>
      </w:r>
      <w:r w:rsidRPr="00496FAE">
        <w:t xml:space="preserve">  (Sarah, Strange Encounters: Embodied Others in Post-Colonialtity. Pages 86-94 //Starboy)</w:t>
      </w:r>
    </w:p>
    <w:p xmlns:wp14="http://schemas.microsoft.com/office/word/2010/wordml" w:rsidRPr="008B3810" w:rsidR="008263E8" w:rsidP="008263E8" w:rsidRDefault="008263E8" w14:paraId="69C3F2BA" wp14:textId="77777777">
      <w:pPr>
        <w:spacing w:after="0" w:line="240" w:lineRule="auto"/>
        <w:rPr>
          <w:rStyle w:val="StyleUnderline"/>
        </w:rPr>
      </w:pPr>
      <w:r w:rsidRPr="00931487">
        <w:rPr>
          <w:rFonts w:eastAsia="Times New Roman" w:cs="Calibri"/>
          <w:sz w:val="16"/>
        </w:rPr>
        <w:t xml:space="preserve">We can now reconsider what is at stake if one leaves a space in which one has already been enveloped, inhabited by (rather than a space which one simply inhabits). </w:t>
      </w:r>
      <w:r w:rsidRPr="00931487">
        <w:rPr>
          <w:rStyle w:val="StyleUnderline"/>
          <w:rFonts w:cs="Calibri"/>
        </w:rPr>
        <w:t>The journeys of migration involve a splitting of home as place of origin and home as the sensory world of everyday experience. What migration narratives involve, then, is spatial reconfiguration of an embodied self: a transformation in the very skin through which the body is embodied</w:t>
      </w:r>
      <w:r w:rsidRPr="00931487">
        <w:rPr>
          <w:rFonts w:eastAsia="Times New Roman" w:cs="Calibri"/>
          <w:sz w:val="16"/>
        </w:rPr>
        <w:t xml:space="preserve"> (see Chapter 2). The experience of moving to a new home is often felt through the surprise of different skin sensations. When we came to Australia, what I first remember (or at least what I remember remembering) is all the dust, and how it made me sneeze and my eyes itch. When I returned to England, I felt the cold pinching my skin. </w:t>
      </w:r>
      <w:r w:rsidRPr="00931487">
        <w:rPr>
          <w:rStyle w:val="StyleUnderline"/>
          <w:rFonts w:cs="Calibri"/>
        </w:rPr>
        <w:t xml:space="preserve">The intrusion of an unexpected space into the body suggests that the experience of a new home involves an expansion and contraction of the skin, a process which is uncomfortable and well described as the irritation of an itch. So while Parminder Bhachu’s question about migration is, ‘how is cultural baggage re-located?’ (1996: 284), mine would be, ‘how do bodies re-inhabit space?’ and even, ‘how do spaces re-inhabit </w:t>
      </w:r>
      <w:r w:rsidRPr="00931487">
        <w:rPr>
          <w:rStyle w:val="StyleUnderline"/>
          <w:rFonts w:cs="Calibri"/>
        </w:rPr>
        <w:lastRenderedPageBreak/>
        <w:t>bodies?’ Migration is not only felt at the level of lived embodiment. Migration is also a matter of generational acts of story-telling about prior histories of movement and dislocation.</w:t>
      </w:r>
      <w:r w:rsidRPr="00931487">
        <w:rPr>
          <w:rFonts w:eastAsia="Times New Roman" w:cs="Calibri"/>
          <w:sz w:val="16"/>
        </w:rPr>
        <w:t xml:space="preserve"> I remember being told about my family’s migration to the newly created Pakistan in 1947. A long hard train journey. My father just a child. Then the arrival at the house in Modeltown, Lahore where I lived when I was a baby (my grandmother and aunt looked after me when my mother was ill in England, or so I am told). My father used to have some old volumes of Shakespeare. He’d found them in the new house in Lahore. I used to finger those books, little brown objects, rem(a)inders of a lost inhabited space, of a space I might have inhabited. Now, it seems fitting that this is what we have left from that old house, volumes of Shakespeare, reminders of the impossibility of us inhabiting Pakistan without the discomfort of an English heritage (a heritage that is lived out through and in the ‘constitution’ of bodies). And then there was the story of my father coming to England. This was a more comfortable journey. It was a journey that was as much about colonialism (the young upper-middle-class Pakistani man coming to do his postgraduate medical training back at the centre), as it was about class privilege and gender. And then, having met my mother, we migrated as a family to Australia: again a story about class privilege (he was to take up a consultant position), as it was about racism (he couldn’t get a consultancy in England), as it was about heterosexuality and gender (my mother followed him). So many stories, so many journeys: each one, fantastic in its particularity (how did it feel, what happened here and there?) and yet mediated and touched by broader relationships of social antagonism (the history of the British empire, class relations and the politics of sexuality and gender). Migrations involve complex and contradictory relationships to social privilege and marginality (they are not necessarily about one or the other) and they involve complex acts of narration through which families imagine a mythic past. The telling of stories is bound up with – touched by – the forming of new communities. In this sense, memory can be understood as a collective act which produces its object (the ‘we’), rather than reflects on it. As Keya Ganguly argues, </w:t>
      </w:r>
      <w:r w:rsidRPr="00931487">
        <w:rPr>
          <w:rStyle w:val="StyleUnderline"/>
          <w:rFonts w:cs="Calibri"/>
        </w:rPr>
        <w:t>‘The past requires a more marked salience with subjects for whom categories of the present have been made unusually unstable or unpredictable, as a consequence of the displacement enforced by post-colonial and migrant circumstances’</w:t>
      </w:r>
      <w:r w:rsidRPr="00931487">
        <w:rPr>
          <w:rFonts w:eastAsia="Times New Roman" w:cs="Calibri"/>
          <w:sz w:val="16"/>
        </w:rPr>
        <w:t xml:space="preserve"> (1992: 29–30). The stories of dislocation help to relocate: they give a shape, a contour, a skin to the past itself. The past becomes presentable through a history of lost homes (unhousings), as a history which hesitates between the particular and the general, and between the local and the transnational. </w:t>
      </w:r>
      <w:r w:rsidRPr="00931487">
        <w:rPr>
          <w:rStyle w:val="StyleUnderline"/>
          <w:rFonts w:cs="Calibri"/>
        </w:rPr>
        <w:t>If we think of home as an outer skin, then we can also consider how migration involves, not only spatial dislocation, but also temporal dislocation: ‘the past’ becomes associated with a home that is impossible to inhabit, and be inhabited by, in the present. The question then of being-at-home or leaving home is always a question of memory, of the discontinuity between past and present: ‘For an exile, habits of life, expression or activity in the new environment inevitably occurs against the memory of things in the other environment’</w:t>
      </w:r>
      <w:r w:rsidRPr="00931487">
        <w:rPr>
          <w:rFonts w:eastAsia="Times New Roman" w:cs="Calibri"/>
          <w:sz w:val="16"/>
        </w:rPr>
        <w:t xml:space="preserve"> (Said 1990: 366). Indeed, Poult suggests that the process of leaving home and coming home is like memory: ‘it is the already lived that save the living. If the familiar places are sometimes able to come back to us, they are also able to come back to our notice, and to our great comfort to retake their original place. Thus one can see that places behave exactly like past memories, like memories. They go away, they return’ (cited in Buijs 1993: 3). The analogy between places and memories is suggestive, though we may want to make the analogy on different grounds: it is the impossibility of return that binds place and memory together. That is, it is impossible to return to a place that was lived as home, precisely because the home is not exterior but interior to embodied subjects. </w:t>
      </w:r>
      <w:r w:rsidRPr="00931487">
        <w:rPr>
          <w:rStyle w:val="StyleUnderline"/>
          <w:rFonts w:cs="Calibri"/>
        </w:rPr>
        <w:t>The movements of subjects between places that come to be inhabited as home involve the discontinuities of personal biographies and wrinkles in the skin. The experience of leaving home in migration is hence always about the failure of memory to make sense of the place one comes to inhabit, a failure that is experienced in the discomfort of inhabiting a migrant body, a body that feels out of place.</w:t>
      </w:r>
      <w:r w:rsidRPr="00931487">
        <w:rPr>
          <w:rFonts w:eastAsia="Times New Roman" w:cs="Calibri"/>
          <w:sz w:val="16"/>
        </w:rPr>
        <w:t xml:space="preserve"> The process of returning home is likewise about the failures of memory, of not being inhabited in the same way by that which appears as familiar. </w:t>
      </w:r>
      <w:r w:rsidRPr="00931487">
        <w:rPr>
          <w:rStyle w:val="StyleUnderline"/>
          <w:rFonts w:cs="Calibri"/>
        </w:rPr>
        <w:t>The temporal and spatial dislocation implicit in migrant stories are linked: the question of memory – and its failings – is bound up with the reinhabiting of bodily space</w:t>
      </w:r>
      <w:r w:rsidRPr="00931487">
        <w:rPr>
          <w:rFonts w:eastAsia="Times New Roman" w:cs="Calibri"/>
          <w:sz w:val="16"/>
        </w:rPr>
        <w:t xml:space="preserve">. The reinhabiting of bodily space is explored in Ameena Meer’s story about migration, ‘Rain’. Here, the memories of another place are felt through and on the skin: Crossing the street on a steamy grey day in September, Zerina feels as if she’s walked into a memory of last summer in Delhi, the last few days before the monsoon. When the air was thick and hot, tension building in the clouds and in her forehead, where the humidity made her sinuses swell and block, so that she could barely see a few feet ahead of her. Still the grumbling clouds hold back, occasionally letting go a thunderclap or a flash of lightening like a stinging slap across someone’s cheek, a sharp insult cuts through the skin. There is no release, just a regathering of explosive anger, like a mad woman screaming down a carpeted hallway. The sweat gathers on the back of her neck, under her thick black hair, steaming her face, each wiry hair sticking to her fingers when she tries to brush it off. The experiences of migration – of not being in a place one lived as home – are felt at the level of embodiment, the lived experience of inhabiting a particular space, a space that is neither within nor outside bodily space. Throughout the story, the trauma and pain of not being fully at home is narrated through skin sensations. </w:t>
      </w:r>
      <w:r w:rsidRPr="00931487">
        <w:rPr>
          <w:rStyle w:val="StyleUnderline"/>
          <w:rFonts w:cs="Calibri"/>
        </w:rPr>
        <w:t>The physical sense of moving through space is enough to trigger a memory of another place.</w:t>
      </w:r>
      <w:r w:rsidRPr="00931487">
        <w:rPr>
          <w:rFonts w:eastAsia="Times New Roman" w:cs="Calibri"/>
          <w:sz w:val="16"/>
        </w:rPr>
        <w:t xml:space="preserve"> Memory hence works through the swelling and sweating of the skin: the memory of another place which one lived as home involves the touching of the body, and the animating of the relation between the body and the space which it inhabits and is inhabited by. </w:t>
      </w:r>
      <w:r w:rsidRPr="00931487">
        <w:rPr>
          <w:rStyle w:val="StyleUnderline"/>
          <w:rFonts w:cs="Calibri"/>
        </w:rPr>
        <w:t>The story is one of suffocation, of smells and sounds that intrude into bodily space, of bodies ‘overflowing’, of bodies ‘shuddering’ and ‘slipping’</w:t>
      </w:r>
      <w:r w:rsidRPr="00931487">
        <w:rPr>
          <w:rFonts w:eastAsia="Times New Roman" w:cs="Calibri"/>
          <w:sz w:val="16"/>
        </w:rPr>
        <w:t xml:space="preserve">. As her skin becomes cut and sticky, the narrator remembers with and </w:t>
      </w:r>
      <w:r w:rsidRPr="00931487">
        <w:rPr>
          <w:rFonts w:eastAsia="Times New Roman" w:cs="Calibri"/>
          <w:sz w:val="16"/>
        </w:rPr>
        <w:lastRenderedPageBreak/>
        <w:t xml:space="preserve">through her body. Migration stories are skin memories: memories of different sensations that are felt on the skin. </w:t>
      </w:r>
      <w:r w:rsidRPr="00931487">
        <w:rPr>
          <w:rStyle w:val="StyleUnderline"/>
          <w:rFonts w:cs="Calibri"/>
        </w:rPr>
        <w:t>Migrant bodies stretch and contract, as they move across the borders that mark out familiar and strange places. Acts of remembering are felt by migrant bodies in the form of a discomfort, the failure to inhabit fully the present or present space. Migration can be understood as a process of estrangement, a process of becoming estranged from that which was inhabited as home.</w:t>
      </w:r>
      <w:r w:rsidRPr="00931487">
        <w:rPr>
          <w:rFonts w:eastAsia="Times New Roman" w:cs="Calibri"/>
          <w:sz w:val="16"/>
        </w:rPr>
        <w:t xml:space="preserve"> The word ‘estrangement’ has the same roots as the word ‘strange’. And yet, it suggests something quite different. It indicates a process of transition, a movement from one register to another. To become estranged from each other, for example, is to move from being friends to strangers, from familiarity to strangeness. The term is suggestive precisely because it names the process of moving from one to the other, rather than referring to different states of being. The process of moving away or estrangement involves a reliving of the home itself: </w:t>
      </w:r>
      <w:r w:rsidRPr="00931487">
        <w:rPr>
          <w:rStyle w:val="StyleUnderline"/>
          <w:rFonts w:cs="Calibri"/>
        </w:rPr>
        <w:t>the process of moving is a movement in the very way in which the migrant subject inhabits the space of home.</w:t>
      </w:r>
      <w:r w:rsidRPr="00931487">
        <w:rPr>
          <w:rFonts w:eastAsia="Times New Roman" w:cs="Calibri"/>
          <w:sz w:val="16"/>
        </w:rPr>
        <w:t xml:space="preserve"> In the work of Michael Dillon, ‘estrangement’ is what we have in common, rather than being that which divides us: ‘the estrangement of human beings … is integral to their condition of being here as the beings that they are’ (1999: 136). In contrast, I would argue that </w:t>
      </w:r>
      <w:r w:rsidRPr="00931487">
        <w:rPr>
          <w:rStyle w:val="StyleUnderline"/>
          <w:rFonts w:cs="Calibri"/>
        </w:rPr>
        <w:t>we need to understand estrangement in a way which emphasises how the histories of movement of peoples across borders make a difference to the spatiality and temporality of estrangement</w:t>
      </w:r>
      <w:r w:rsidRPr="00931487">
        <w:rPr>
          <w:rFonts w:eastAsia="Times New Roman" w:cs="Calibri"/>
          <w:sz w:val="16"/>
        </w:rPr>
        <w:t>. Estrangement is always an estrangement from a particular time and place</w:t>
      </w:r>
      <w:r w:rsidRPr="00931487">
        <w:rPr>
          <w:rStyle w:val="StyleUnderline"/>
          <w:rFonts w:cs="Calibri"/>
        </w:rPr>
        <w:t>. To universalise estrangement as that which brings us together is to conceal how estrangement marks out particular bodies and communities. Estrangement needs to be theorised as beyond that which we simply have in common.</w:t>
      </w:r>
      <w:r w:rsidRPr="00931487">
        <w:rPr>
          <w:rFonts w:eastAsia="Times New Roman" w:cs="Calibri"/>
          <w:sz w:val="16"/>
        </w:rPr>
        <w:t xml:space="preserve"> For example, in Pnina Werbner’s work on Asian migrants in Britain, she emphasises how migrants are strangers to each other, and how they make positive acts of identification in the very process of becoming friends</w:t>
      </w:r>
      <w:r w:rsidRPr="00931487">
        <w:rPr>
          <w:rStyle w:val="StyleUnderline"/>
          <w:rFonts w:cs="Calibri"/>
        </w:rPr>
        <w:t>: ‘I start from the assumption of a void – from strangerhood, non-relationship. So when I find that these strangers … create, generate, make multiple identifications with one another, then this is a process (not a pre-given static situation) which I find interesting’</w:t>
      </w:r>
      <w:r w:rsidRPr="00931487">
        <w:rPr>
          <w:rFonts w:eastAsia="Times New Roman" w:cs="Calibri"/>
          <w:sz w:val="16"/>
        </w:rPr>
        <w:t xml:space="preserve"> (1996: 69). </w:t>
      </w:r>
      <w:r w:rsidRPr="00931487">
        <w:rPr>
          <w:rStyle w:val="StyleUnderline"/>
          <w:rFonts w:cs="Calibri"/>
        </w:rPr>
        <w:t>Here, there is no shared terrain of knowledge which is presupposed by the gesture of identification. What is at stake is not, as in the case of the narratives of the global nomads, a ‘sudden recognition of kinship’</w:t>
      </w:r>
      <w:r w:rsidRPr="00931487">
        <w:rPr>
          <w:rFonts w:eastAsia="Times New Roman" w:cs="Calibri"/>
          <w:sz w:val="16"/>
        </w:rPr>
        <w:t xml:space="preserve"> (McCaig 1996: 115), </w:t>
      </w:r>
      <w:r w:rsidRPr="00931487">
        <w:rPr>
          <w:rStyle w:val="StyleUnderline"/>
          <w:rFonts w:cs="Calibri"/>
        </w:rPr>
        <w:t>through which an automatic ‘community of strangers’ can be established (a common estrangement or commonality through estrangement). Rather, there is void or an absence: the other migrants are already known again as not known, they are already assigned a place as strangers before the identification can take place.</w:t>
      </w:r>
      <w:r w:rsidRPr="00931487">
        <w:rPr>
          <w:rFonts w:eastAsia="Times New Roman" w:cs="Calibri"/>
          <w:sz w:val="16"/>
        </w:rPr>
        <w:t xml:space="preserve"> </w:t>
      </w:r>
      <w:r w:rsidRPr="00931487">
        <w:rPr>
          <w:rStyle w:val="StyleUnderline"/>
          <w:rFonts w:cs="Calibri"/>
        </w:rPr>
        <w:t>In other words, it is through an uncommon estrangement that the possibility of such a migrant community comes to be lived.</w:t>
      </w:r>
      <w:r w:rsidRPr="00931487">
        <w:rPr>
          <w:rFonts w:eastAsia="Times New Roman" w:cs="Calibri"/>
          <w:sz w:val="16"/>
        </w:rPr>
        <w:t xml:space="preserve"> The gap between memory and place in the very dislocation of migration allows communities to be formed: that gap becomes reworked as a site of bodily transformation, the potential to remake one’s relation to that which appears as unfamiliar, to reinhabit spaces and places. </w:t>
      </w:r>
      <w:r w:rsidRPr="00931487">
        <w:rPr>
          <w:rStyle w:val="StyleUnderline"/>
          <w:rFonts w:cs="Calibri"/>
        </w:rPr>
        <w:t>This reinhabiting of the migrant body is enabled through gestures of friendship with others who are already recognised as strangers. It is the role of community in the re-inhabiting of migrant bodies that is so important. The community comes to life through the collective act of remembering in the absence of a common terrain.</w:t>
      </w:r>
      <w:r w:rsidRPr="00931487">
        <w:rPr>
          <w:rFonts w:eastAsia="Times New Roman" w:cs="Calibri"/>
          <w:sz w:val="16"/>
        </w:rPr>
        <w:t xml:space="preserve"> In order to examine the relationship between the reinhabiting of bodies community and estrangement in migration journeys and narratives we can consider the edited collection Flaming Spirit, which was produced by the Asian Women’s Writing Collective in the United Kingdom in 1994. The book is itself a journey in migration: migration is not its object (not all the stories are about migration), but allows for the very gestures of identification through which the book becomes readable as a collection. The book is made possible through the forming of a migrant community of writers brought together under the problematic, if not impossible, signs of ‘Asian’, ‘women’ and ‘writers’. Hence, the editors reflect on how the forming of the collective did not pre-suppose a shared identity (either as Asian, women or writers), but made apparent that the criteria for who should belong to the community can always be contested. </w:t>
      </w:r>
      <w:r w:rsidRPr="00931487">
        <w:rPr>
          <w:rStyle w:val="StyleUnderline"/>
          <w:rFonts w:cs="Calibri"/>
        </w:rPr>
        <w:t>The forming of a community through the shared experience of not being fully at home – of having inhabited another space – presupposes an absence of a shared terrain: the forming of communities makes apparent the lack of a common identity that would allow its form to take one form</w:t>
      </w:r>
      <w:r w:rsidRPr="00931487">
        <w:rPr>
          <w:rFonts w:eastAsia="Times New Roman" w:cs="Calibri"/>
          <w:sz w:val="16"/>
        </w:rPr>
        <w:t xml:space="preserve">. But this lack becomes reinscribed as the pre-condition of an act of making: how can we make a space that is supportive? How can we become friends? How can we write (as) a collective? The editors reflect on the differences of class, sexuality and religion between the women in the collective, as they also reflect more profoundly on the politics of the category ‘Asian’ and the uncertainty about which women </w:t>
      </w:r>
      <w:r w:rsidRPr="00931487">
        <w:rPr>
          <w:rStyle w:val="StyleUnderline"/>
          <w:rFonts w:cs="Calibri"/>
        </w:rPr>
        <w:t>are to be included within the category (Ahmad and Gupta 1994: xii). The forming of this community of migrant women writers makes clear that there is always a boundary line to be drawn. This lack of clarity makes a definition and redefinition of the community possible; it allows the group to emerge in the need to ‘redefine our identity as a group’</w:t>
      </w:r>
      <w:r w:rsidRPr="00931487">
        <w:rPr>
          <w:rFonts w:eastAsia="Times New Roman" w:cs="Calibri"/>
          <w:sz w:val="16"/>
        </w:rPr>
        <w:t xml:space="preserve"> (Ahmad and Gupta 1994: xii). The process of </w:t>
      </w:r>
      <w:r w:rsidRPr="00931487">
        <w:rPr>
          <w:rFonts w:eastAsia="Times New Roman" w:cs="Calibri"/>
          <w:sz w:val="16"/>
        </w:rPr>
        <w:lastRenderedPageBreak/>
        <w:t xml:space="preserve">estrangement is the condition for the emergence of a contested community, </w:t>
      </w:r>
      <w:r w:rsidRPr="00931487">
        <w:rPr>
          <w:rStyle w:val="StyleUnderline"/>
          <w:rFonts w:cs="Calibri"/>
        </w:rPr>
        <w:t>a community which ‘makes a place’ in the act of reaching out to the ‘out-of-place-ness’ of other migrant bodies</w:t>
      </w:r>
      <w:r w:rsidRPr="00931487">
        <w:rPr>
          <w:rFonts w:eastAsia="Times New Roman" w:cs="Calibri"/>
          <w:sz w:val="16"/>
        </w:rPr>
        <w:t xml:space="preserve">. The work of such community formation is hence always ‘outreach work’ (Ahmad and Gupta 1994: xiii): in this case, it is about reaching out to different women who might share, not a common background, but the very desire to make a community, a community of Asian women who write. </w:t>
      </w:r>
      <w:r w:rsidRPr="00931487">
        <w:rPr>
          <w:rStyle w:val="StyleUnderline"/>
          <w:rFonts w:cs="Calibri"/>
        </w:rPr>
        <w:t>The community is reached through reaching across different spaces, towards other bodies, who can also be recognised – and hence fail to be recognised – as out of place, as uncomfortable, or not quite comfortable, in this place. Migrant bodies, selves and communities cannot be understood as simply on one side of identity or the other, or on one side of the community or the other: rather, it is the uncommon estrangement of migration itself that allows migrants to remake what it is they might yet have in common.</w:t>
      </w:r>
    </w:p>
    <w:p xmlns:wp14="http://schemas.microsoft.com/office/word/2010/wordml" w:rsidR="008263E8" w:rsidP="008263E8" w:rsidRDefault="008263E8" w14:paraId="0AD9C6F4" wp14:textId="77777777"/>
    <w:p xmlns:wp14="http://schemas.microsoft.com/office/word/2010/wordml" w:rsidRPr="008B3810" w:rsidR="008263E8" w:rsidP="008263E8" w:rsidRDefault="008263E8" w14:paraId="23E3AE18" wp14:textId="77777777">
      <w:pPr>
        <w:pStyle w:val="Heading4"/>
      </w:pPr>
      <w:r w:rsidRPr="008B3810">
        <w:t>How we orient ourselves around an object (or an idea) or lines (boundaries which exist regardless of whether or not they let bodies through) is never a neutral position- we are always oriented “toward” an entity. Our towardness, or affinity, could represent a shared orientation with groups or against them. How we choose to direct our orientation determines our approaches to everyday experiences, especially in regard to the heteronormative gatekeeping the US conducts.</w:t>
      </w:r>
    </w:p>
    <w:p xmlns:wp14="http://schemas.microsoft.com/office/word/2010/wordml" w:rsidRPr="008B3810" w:rsidR="008263E8" w:rsidP="008263E8" w:rsidRDefault="008263E8" w14:paraId="65B43B9C" wp14:textId="77777777">
      <w:r w:rsidRPr="008B3810">
        <w:rPr>
          <w:rStyle w:val="Style13ptBold"/>
        </w:rPr>
        <w:t>Ahmed 06</w:t>
      </w:r>
      <w:r w:rsidRPr="008B3810">
        <w:t xml:space="preserve"> (Sara, </w:t>
      </w:r>
      <w:r>
        <w:t>Prof.</w:t>
      </w:r>
      <w:r w:rsidRPr="008B3810">
        <w:t xml:space="preserve"> whose area of study includes the intersection of feminist theory, queer theory, critical race theory and postcolonialism, Queer Phenomenology: Orientations, Objects, Others, 112-120, Duke University Press, 2006) //jd</w:t>
      </w:r>
    </w:p>
    <w:p xmlns:wp14="http://schemas.microsoft.com/office/word/2010/wordml" w:rsidR="008263E8" w:rsidP="008263E8" w:rsidRDefault="008263E8" w14:paraId="1FD4B48C" wp14:textId="77777777">
      <w:pPr>
        <w:rPr>
          <w:sz w:val="16"/>
        </w:rPr>
      </w:pPr>
      <w:r w:rsidRPr="00EE4D72">
        <w:rPr>
          <w:sz w:val="16"/>
        </w:rPr>
        <w:t xml:space="preserve">Orientalism and Phenomenal Space We can recall the difef rent meanings ofthe word "orient." The word refers us not just to space or to directionality, but also takes us in a specific direction. The word can mean: to place so as to face the east; to place in any definite position with reference to the points ofthe compass or other points; to adjust in relation to new circumstances or surroundings; to turn a map so that the direction on the map is parallel the direction on the ground; to turn toward the east or in specified direction. The range of these meanings is instructiw. It shows us how the concept of orientation "points" toward some directions more than others, even as it evokes the general logic of"dire ctionality": "to­ wardthe eastora specified direction." We could evensaythatthe eastbecomes the direction that does not need to be specified, insofar as the east would be the direction we face unless we face another direction. In other words, even if orientations alowl us to establishwhich directionwe face, the concept"points" usinonedirectionmorethanothers:it"points"toward"theeast."Itis timefor us to consider the significance of "the orient" in orientation, or even "the oriental": what relates to, or is characteristic ofthe Orient or East, including "natives" or inhabitants ofthe East. It is not incidental that the word "orientate" refers both to the practices of finding one's way, by establishing one's direction (according to the axes ofnorth, south, east, and west) and to the east itselfas one directionprivileged over others. </w:t>
      </w:r>
      <w:r w:rsidRPr="008B3810">
        <w:rPr>
          <w:rStyle w:val="StyleUnderline"/>
        </w:rPr>
        <w:t>We must remember in pointing to this non-incidentality that the etymology of the word "orei ntation'' is from "the Orient" and, indeed, the East as "the horizon'' over which the sun rises. Everyone, one might say, has an east; it is on the horizon, a visible line that marks the beginning of a new day. There are multiple horizons depending on one's point ofview. There might be what is east ofyou, but also the east side ofthe citywhere youlive, or the eastern side of the country. But somebody's "east'' becomes "the East," as one side of the globe. The cartographic imperative to make maps as tech­ nologies for navigation shows how normalization involves the normalization not only of certain kinds ofbodies, but also specific directions: "What is east (of me/us)" becomes "the East" by taking some points ofview as giwn. In other words, it is drawing the line (the prime meridian) in one location, through Greenwich, that "east'' becomes "the East," as if the East were a property of certain places and people</w:t>
      </w:r>
      <w:r w:rsidRPr="00EE4D72">
        <w:rPr>
          <w:sz w:val="16"/>
        </w:rPr>
        <w:t xml:space="preserve">. Cartographci space is, ofcourse, "flat space"thatconventionallydescribeslocationsasdeterminedbyaxes ofcoordi­ nation that are independent of one's bodily location. Cartographic space, as the space we have inherited from Euclidean geometry, would not from this point ofview be directed or orientated . But it would not be a rad ica l-or new­ claim to say that such "fl.atness" is itself"orientated," in the sense that it still depends upon a point ofview, as a point that is lost on the horizon, or that is concealed in the very mode of its operation (see Lefebvre 1991). To orientate oneself by facing a direction is to participate in a longer history in which certain "directions" are "given </w:t>
      </w:r>
      <w:r w:rsidRPr="00EE4D72">
        <w:rPr>
          <w:sz w:val="16"/>
        </w:rPr>
        <w:lastRenderedPageBreak/>
        <w:t xml:space="preserve">to" certain places: they become the East, the West, and so on. Edward Said, after al,l reminds us that geographies are "man-made" (1978: THE ORIENT AND OTHER OTHERS IIJ 5). Ifwe turn to Said's classic Orienta/ism we can begin to trace the significance ofthe "making'' ofgeographical distinctions and how they relate to the direct­ edness or intentionality ofphenomenal space. As Said suggests, the Orient does not simplyrefer to a specific place, even ifwe can find iton the map. As he notes, "The Orient was almost a European invention and had been since antiquity a place of romance, exotic beings, haunting memories and land­ scapes, remarkable experiences" (1). 3 The Orient is the "not Europe" through which the boundaries between Europe and what is "not Europe" are estab­ lished as a way of "locating" a distinction between selfand other (Chuh and Shimakawa 20 01: 7). As the "constitutive outside" ofthe Occident, the Orient als what is "inside" to become given. Most important, the making of "the Orient" is an exercise ofpower: the Orient is made oriental as a submission to the authority of the Occident. To become oriental is both to be given an orientation and to be shaped by the orientation of that gift. TheOrientisnotanemptyplace;itisful,l anditisfullofallthatwhichis "not Europe" or not Occidental, and which in its "not-ness" seems to point to another way of being in the world-to a world of romance, sexuality, and sensuality. In a way, orientalism involves the transformation of "farness" as a spatial marker of distance into a property of people and places. "They" em­ body what is far away. Thus "farness" takes the direction of a wish, or even follows the line ofa wish. The "far" often slides into the exotic, after all The exotic is not onlywhere we are not, but it is also future orientated, as a place we long for and might yet inhabit. As feminist postcolonial scholars have shown us, the Orient is sexualiz.ed, although how it is sexualiz.ed involves the con­ tingency of "the who" that encounters it (see Yegenoglu 1998; Lewis 1996, 2004). The Orient is not only full ofsigns ofdesire in howit is represented and "known" within the West (for example, through the image ofthe harem), it is also desired by the West, as having things that "the West" itself is assumed to be lacking. This fantasy oflack, ofwhat is "not here," shapes the desire for what is "there," such that "there" becomes visible on the horizon as "supply­ ing" what is lacking. The Orient becomes what we could call a "supplypoint." Lines of desire take us in a certain direction, after alL Desire directs bodies toward its object; in desire, we face the desired and seek to get closer. Desire confirms that which we are not (the object ofdesire), while it pushes us toward that "not," which appears as an object on the horizon, at the edge ofour gaze, always getting closer even when it is not quite here. Ifthe Orient is desired, it is both far away and also that which the Occident wishes to bring closer, as a wish that points to the future or even fa afuture occupation. The directness toward this other reminds us that desire involves a political economy in the sense that it is distributed: the desire to possess, and to occupy, constitutes others not only as objects ofdesire, but also as resources for world making. From the example of o r ie n t a l i s m w e c a n b eg i n t o f o r m u l a t e a d i s ti n c ti o n i n thevery"orientation''of"orientation."ThedistinctionIwantto sugsthere is between "toward" and "around." We say that we are orientated !award something. In such a saying, the thing we are orientated toward is what we face, or what is available to us within our field ofvision. What we are orien­ tated toward is determined by our location; it is a question ofthe phenomenal­ ity ofspace . Husserl, we would remember, in his very concern with conscious­ ness, is orientated toward his writing table, even ifthattable ceases to "matter" as a specific kind ofthing. We are orientated, then, toward obj ects, and those objects are "other" than us. They are other than us and must be so ifthey are to be available within our fidd ofvision. As Edward Caseyputs it, "To orient, a ft e r al i s t o o r i e n t a t e t o s o m e r h i n g o t h e r t h a n t h a t w h i c h d o es t h e o r ie n t a ti n g itsdf" (1997: 234). "Towardness" is a mode of directionality; it is about the direction I face when facing an other, as a direction that can refer to motion and position. If the direction is about the position I take toward something, then I am still facing that thing: it is in front of me insofar as it has my attention. One faces where one is not, but a "not" that is reachable or available from where I am, and indeed in being so always reflects back or shows where one is located.4 It is the fact that what I am orientated toward is "not me'' that allows me to do this or to do that. The otherness of things is what allows me to do things " w i t h ' ' t h e m . W h a t i s o t h er t h a n m e i s a l s o w h a t a l l o w s m e to e x te n d t h e r ea c h ofmybody. Ratherthanotheringbeingsimplyaformofnegation,itcanalso be described as aform ofextension. The body extends its reach by taking in that which is "not" it, where the "not" involves the acquisition of new capacities and directions-becoming, in other words, "not" simplywhat I am "not" but what I can "have" and "do." The "not me" is incorporated into the body, extending its reach. So what, then, does it mean to be orientated around somerhing. I do not want to make too fine a distinction here or imply that such a distinction will always hold. And yet the "around" might return us to the question of how bodies "cohere ." To be orientated around something is not so much to take up thatthing,as tobetakenupbysomething,suchthatonemightevenbecome what it is that is "around." To be orientated around something means to make that thing central, or as being at the center ofone's being or action. I might be o r i e n ta t e d a r o u n d w r i t i n g , for i n s t a n c e , w h i c h wil l o r i e n ta te m e t o w a r d c e r t a i n kinds ofobjects (the pen, the table, the keyboard) . Indeed, "around" refers us to "round" and suggests a circling movement. Perhaps to be orientated around something is what allows us to "hold the center," or ewn to constitute our­ selves as at the center ofother things. Insofar as we are at the center ofthings, then we not only face those things, but those things face us. In other words, to be orientated around something is to make "that thing" binding, or to con­ stitute oneselfas that thing.s Let us return to the example oforientalism. The Orient here would be the object toward which we are directed, as an object of desire. Bybeing directed toward the Orient, we are orientated "around" the Occident. Or, to be more precise, the Occident coheres as that which we are organized around through the 'VerydirectionifourgazetowardtheOrient. Goingbackto thetable,wewould say that the philosopher's gaze is orientated toward the table (even when the table recedes into the background), as an orientation that "reveals" what the philosopher is orientated around: namely, the labor ofwriting and the disci­ pline ofphilosophy. Perhaps in the cartographic imagination the Orient is the table, the "matter" out ofwhich knowledge is made and toward which attention is directed. The Orient provides the object, as well as the instrument, that als the Occident to take shape, to become a subject, as that which "we" are around. The Occident would be what we are orientated around. Or we could even say that "the world" comes to be seen as orientated "around" the Occi­ dent, through the very orientation ofthe gaze toward the Orient, the East, as the exotic other that can just be seen on the horizon. Of course, the fact that we can see the Orient on the horizon emphasizes thattheOrientisreachable,orindeedthatdespiteits"farness"ti hasalready been reached. Said's model shows us that the Orient is both strange and familiar, or even that orientalism makes the stranger familiar. As he states, "as early as Aeschylus's play The Persians, the Orient is transformed from a very far distant and often threatening Otherness into figures that are relatively famil­ iar" (1978: 21). Another way of considering this process would be to think of the politics of domestication: the other is reachable, as it has already been "brought home." The reachabaity of the other, whether the Orient or other others,does notmeanthattheybecome"likeme/us."Rathertheyarebrought closer to home, but the action of </w:t>
      </w:r>
      <w:r w:rsidRPr="00EE4D72">
        <w:rPr>
          <w:sz w:val="16"/>
        </w:rPr>
        <w:lastRenderedPageBreak/>
        <w:t xml:space="preserve">"bringing" is what sustains the difference: the subject, who is orientated toward the object, is the one who apparendy does the work, whose agency is "behind" the action. Ifwe rethink domestic space as an effect ofthe histories ofdomestication, we can begin to understand how"thehome"dependsontheappropriationofmatteras awayofmaking what is not already here famaiar or reachable. In other words, the famaiar is "extended" by difef rentiating itself from the strange, by making what seems strange "just about'' familiar, or by transforming "what is strange'' into an instrument. One might wonder, foolishly perhaps, whether Husserl's table was oriental-if the Orient provided the style or even the matter. The Orient is reachable, after all. It is already on the horizon; it has already been perceived as the Orient. The Orient is not onJr reachable, but "it" has already been reached if"it" is to be available as an object ofperception in the first place. We might assume that we reach for what comes into view. But, as I argued in chapter 1, what is reachable is determined precisely by orientations that have already been taken and that have been repeated over time. Ifhistory in some sense is about the reachable (as things must be reached to "enter" the records), then history can also be described as a process of domestication-of making some objects and not others a'!Jai/ab/e as what we "can" reach. The object function ofthe Orient, then, is not simply a sign ofthe presence ofthe West­ ofwhere it "finds its way'' -but also a measure how theWest has "directed" its time, energy, and resources. </w:t>
      </w:r>
      <w:r w:rsidRPr="008B3810">
        <w:rPr>
          <w:rStyle w:val="StyleUnderline"/>
        </w:rPr>
        <w:t xml:space="preserve">Acts ofdo mestication are not private; they involve the s haping ofcollective bodies, which allows some objects and not others to be within reach. Mter al,l if the direction toward objects such as the Orient is shared, then the West as well as the Orient takes shape as an effect ofthis repetition ofthe "orientation toward." Indeed, we can begin here to rethink how groups are formed out of shared direction. To put this in simple terms, a "we" emerges as an effect of a shared direction toward an object. </w:t>
      </w:r>
      <w:r w:rsidRPr="00EE4D72">
        <w:rPr>
          <w:sz w:val="16"/>
        </w:rPr>
        <w:t>So we might say, for example, that the nation "faces this" or "faces that"; or we might even say"the whole world was watching." In away this is a nontruth, as the nation (let alone the world) is not available as somebody that can have a face. And yet, at another level, it speaks a certain truth: it is through the repetition of a shared direction that collectives are made. Take, for example, the following quote from Hegel: "India as Land ifDesire forms an essential element in General History. From the ancient time downwards, aU nations have directedtheir wishes andIongings to gaining access to the treasures if'thisland ifmarvels" (Hegel cited in Prashard zooo: 1; emphasis added). Here the "direction" of the social wish is for access, and this "direction" also makes others accessible. I would reformulate this point as follows: it is not that nations have simply directed theii wishes and longings toward the Orient but rather that the nation "coheres" an efef ct ofthe repetition ofthis direction. What Hegel's model shows us is that such repetition is not innocent but strategic: the direction ofsuch wishes and longings makes others available as resources to be used, as the materials out of which collectives might "write" themselves into existence. Orientalism is, after al,l an archive or a field of writing: the Orient might be both what that writing is "about" and also pro­ vide the materials upon which that writing is written. Archives are made up of paper and other things that "matter," and they take "form" insofar as they are intended for action. And we can recall here, following Derrida, that archives are "homes," ways ofgathering materia</w:t>
      </w:r>
      <w:r w:rsidRPr="00EE4D72">
        <w:rPr>
          <w:rFonts w:ascii="Tahoma" w:hAnsi="Tahoma" w:cs="Tahoma"/>
          <w:sz w:val="16"/>
        </w:rPr>
        <w:t>�</w:t>
      </w:r>
      <w:r w:rsidRPr="00EE4D72">
        <w:rPr>
          <w:sz w:val="16"/>
        </w:rPr>
        <w:t xml:space="preserve"> around which worlds gather: "It is thus, in this domiciliation, in this house arrest, that archives take place. The dwelling, this place where they reside permanently, marks this institutional passage from the private to the public" (1995: z; see also Blunt zoos) . Ifarchives allow documents to dwea then they, too, are orientation devices, which in gathering things around are not neutral but directive. We could even say that Orientalism involves a form of"world facing" ; that is, a way of gathering things around so they "face" a certain direction. By thinking of orientalism as a form of world facing, I want to suggest that orientalism also involves phenomenal space: it is a matter of how bodies in­ habit spaces through shared orientations. As I suggested in chapter z, collec­ tives such as the family as wellas the nation involve shared orientations toward and around objects. </w:t>
      </w:r>
      <w:r w:rsidRPr="008B3810">
        <w:rPr>
          <w:rStyle w:val="StyleUnderline"/>
        </w:rPr>
        <w:t>The collective would be an effect ofthe repetition ofthis direction over time, a repetition thatcoheres "around" certain bodies and that creates the very effect ofbodily coherence. Freud argues, for example, that the bond within a group relies on the transference oflove to the leader, whereby the transference becomes the "common quality" ofthe group (1922: 66). It is not just "the leader" who can be the object oftransference. Ifa shared act of transference is what creates "the common quality," then in a way "what" or "who" is the object does not matter: it is the fact that transference is directed toward "the same object" (real or imagined) that produces the effect of a group. Groups are formed through their shared orientation toward an object. Of course, a paradox is already evident here in that to have "something" that can be recognized as "the same object" is an efecf t of the repetition of the orientation toward "it," just as the orientation seems directed toward the ob­ ject that exists "before" us. In a way, "what" is faced by a collectiw is also what brings it into existence. As such, the object "in front" ofthe "we" might be betterdescribedas"behind"it,as whatallowsthe"we"to</w:t>
      </w:r>
      <w:r>
        <w:rPr>
          <w:rStyle w:val="StyleUnderline"/>
        </w:rPr>
        <w:t xml:space="preserve"> </w:t>
      </w:r>
      <w:r w:rsidRPr="008B3810">
        <w:rPr>
          <w:rStyle w:val="StyleUnderline"/>
        </w:rPr>
        <w:t xml:space="preserve">emerge. We can redescribe this process in terms of the sociality of lines, which I discussed in the introduction to this book. Collectiws come to have "lines" in the sense of being modes of following: to inhabit a collective might be to follow a line, as a line that is already given in advance. Lines also mark out boundaries,which clear </w:t>
      </w:r>
      <w:r w:rsidRPr="008B3810">
        <w:rPr>
          <w:rStyle w:val="StyleUnderline"/>
        </w:rPr>
        <w:lastRenderedPageBreak/>
        <w:t>spacesas wdl as delimitthemby markingtheir edges. Such lines would establish who is and is not in a given collective: the spatial function oflines marks the edges ofbdonging, even when they allow bodies through. We can also think about lines as an effect of how energy, time, and resoun:es are "directed" toward an object. Such lines are both worldly and social; they are not only accumulations ofpoints, but also ofmodes offollow­ ing. It might be the wry act ofattention-ofattending to or facing this or that direction, or toward this or that object-thatproduces "a sense" ofa collective or social group. We might consider, for instance, Benedi</w:t>
      </w:r>
      <w:r>
        <w:rPr>
          <w:rStyle w:val="StyleUnderline"/>
        </w:rPr>
        <w:t>c</w:t>
      </w:r>
      <w:r w:rsidRPr="008B3810">
        <w:rPr>
          <w:rStyle w:val="StyleUnderline"/>
        </w:rPr>
        <w:t>t</w:t>
      </w:r>
      <w:r>
        <w:rPr>
          <w:rStyle w:val="StyleUnderline"/>
        </w:rPr>
        <w:t xml:space="preserve"> </w:t>
      </w:r>
      <w:r w:rsidRPr="008B3810">
        <w:rPr>
          <w:rStyle w:val="StyleUnderline"/>
        </w:rPr>
        <w:t>Anderson's model of</w:t>
      </w:r>
      <w:r>
        <w:rPr>
          <w:rStyle w:val="StyleUnderline"/>
        </w:rPr>
        <w:t xml:space="preserve"> </w:t>
      </w:r>
      <w:r w:rsidRPr="008B3810">
        <w:rPr>
          <w:rStyle w:val="StyleUnderline"/>
        </w:rPr>
        <w:t>the nation as imagined</w:t>
      </w:r>
      <w:r>
        <w:rPr>
          <w:rStyle w:val="StyleUnderline"/>
        </w:rPr>
        <w:t xml:space="preserve"> </w:t>
      </w:r>
      <w:r w:rsidRPr="008B3810">
        <w:rPr>
          <w:rStyle w:val="StyleUnderline"/>
        </w:rPr>
        <w:t>community,</w:t>
      </w:r>
      <w:r>
        <w:rPr>
          <w:rStyle w:val="StyleUnderline"/>
        </w:rPr>
        <w:t xml:space="preserve"> </w:t>
      </w:r>
      <w:r w:rsidRPr="008B3810">
        <w:rPr>
          <w:rStyle w:val="StyleUnderline"/>
        </w:rPr>
        <w:t>in</w:t>
      </w:r>
      <w:r>
        <w:rPr>
          <w:rStyle w:val="StyleUnderline"/>
        </w:rPr>
        <w:t xml:space="preserve"> </w:t>
      </w:r>
      <w:r w:rsidRPr="008B3810">
        <w:rPr>
          <w:rStyle w:val="StyleUnderline"/>
        </w:rPr>
        <w:t>which</w:t>
      </w:r>
      <w:r>
        <w:rPr>
          <w:rStyle w:val="StyleUnderline"/>
        </w:rPr>
        <w:t xml:space="preserve"> </w:t>
      </w:r>
      <w:r w:rsidRPr="008B3810">
        <w:rPr>
          <w:rStyle w:val="StyleUnderline"/>
        </w:rPr>
        <w:t>he</w:t>
      </w:r>
      <w:r>
        <w:rPr>
          <w:rStyle w:val="StyleUnderline"/>
        </w:rPr>
        <w:t xml:space="preserve"> </w:t>
      </w:r>
      <w:r w:rsidRPr="008B3810">
        <w:rPr>
          <w:rStyle w:val="StyleUnderline"/>
        </w:rPr>
        <w:t>stresses the</w:t>
      </w:r>
      <w:r>
        <w:rPr>
          <w:rStyle w:val="StyleUnderline"/>
        </w:rPr>
        <w:t xml:space="preserve"> </w:t>
      </w:r>
      <w:r w:rsidRPr="008B3810">
        <w:rPr>
          <w:rStyle w:val="StyleUnderline"/>
        </w:rPr>
        <w:t>significance</w:t>
      </w:r>
      <w:r>
        <w:rPr>
          <w:rStyle w:val="StyleUnderline"/>
        </w:rPr>
        <w:t xml:space="preserve"> </w:t>
      </w:r>
      <w:r w:rsidRPr="008B3810">
        <w:rPr>
          <w:rStyle w:val="StyleUnderline"/>
        </w:rPr>
        <w:t>of</w:t>
      </w:r>
      <w:r>
        <w:rPr>
          <w:rStyle w:val="StyleUnderline"/>
        </w:rPr>
        <w:t xml:space="preserve"> </w:t>
      </w:r>
      <w:r w:rsidRPr="008B3810">
        <w:rPr>
          <w:rStyle w:val="StyleUnderline"/>
        </w:rPr>
        <w:t>the</w:t>
      </w:r>
      <w:r>
        <w:rPr>
          <w:rStyle w:val="StyleUnderline"/>
        </w:rPr>
        <w:t xml:space="preserve"> </w:t>
      </w:r>
      <w:r w:rsidRPr="008B3810">
        <w:rPr>
          <w:rStyle w:val="StyleUnderline"/>
        </w:rPr>
        <w:t>emergence of</w:t>
      </w:r>
      <w:r>
        <w:rPr>
          <w:rStyle w:val="StyleUnderline"/>
        </w:rPr>
        <w:t xml:space="preserve"> </w:t>
      </w:r>
      <w:r w:rsidRPr="008B3810">
        <w:rPr>
          <w:rStyle w:val="StyleUnderline"/>
        </w:rPr>
        <w:t>print capitalism (1991). Anderson's argument shows us how shared orientations can be produced without physical copresence: the circulation ofprint is what creates common lines or even ties that bind. When citizens read a given paper, they are not necessarily reading the same thing (there are different copies ofthe paper, and while some might read certain pages, those pages might be overlooked by others), let alone reading the same thing in the same way. Yettheveryactofreadingmeansthatcitizensaredirectingtheirattention toward a shared object, even ifthey have a different view upon that object, or even ifthat object brings different worlds into view. So we might face the same direction. We could even say our faces "face" the same way, creating a collec­ tive force. Yet, it is not that the collective has a face, in the sense ofa person­ ality and agency. The collective takes shape through the repetition ofthe act of "facing." The direction ofone's attention puts one in line with others, as a line that depends on how objects move around, which in turn creates horizontal lines ofcommunication. MichaelWarner considers the role ofattention in his analysis of publics and counterpublics. As he notes, "The direction of ourglance can constitute our social world" (zoos: 89) .6 For</w:t>
      </w:r>
      <w:r>
        <w:rPr>
          <w:rStyle w:val="StyleUnderline"/>
        </w:rPr>
        <w:t xml:space="preserve"> </w:t>
      </w:r>
      <w:r w:rsidRPr="008B3810">
        <w:rPr>
          <w:rStyle w:val="StyleUnderline"/>
        </w:rPr>
        <w:t xml:space="preserve">Warner, directing one's attention to a shared object is enough to create the public, which then exists by virtue ofbeingaddressed. </w:t>
      </w:r>
      <w:r w:rsidRPr="00EE4D72">
        <w:rPr>
          <w:sz w:val="16"/>
        </w:rPr>
        <w:t xml:space="preserve">The lines that bind are also ones that are created by the movement ofthe objects that circulate as common goods. Public culture then gers generated around certain terms as well as objects. Returning to orientalism, we can see that lines are created by the very "routes" ofcirculation oforiental texts, which is what renders orientalism a social field with its own edges. As I suggested in the previous chapter, a fidd can be defined as an open or cleared ground. By directing attention toward the Orient, by facing "it" through the very objects that circulate as ifthey "have it," the ground is then cleared for action. </w:t>
      </w:r>
      <w:r w:rsidRPr="008B3810">
        <w:rPr>
          <w:rStyle w:val="StyleUnderline"/>
        </w:rPr>
        <w:t xml:space="preserve">How does this </w:t>
      </w:r>
      <w:r>
        <w:rPr>
          <w:rStyle w:val="StyleUnderline"/>
        </w:rPr>
        <w:t>help us</w:t>
      </w:r>
      <w:r w:rsidRPr="008B3810">
        <w:rPr>
          <w:rStyle w:val="StyleUnderline"/>
        </w:rPr>
        <w:t xml:space="preserve"> retheorize the "orientation'' of</w:t>
      </w:r>
      <w:r>
        <w:rPr>
          <w:rStyle w:val="StyleUnderline"/>
        </w:rPr>
        <w:t xml:space="preserve"> </w:t>
      </w:r>
      <w:r w:rsidRPr="008B3810">
        <w:rPr>
          <w:rStyle w:val="StyleUnderline"/>
        </w:rPr>
        <w:t>orientalism? To direct one's gaze and attention toward the other, as an object ofdesire, is not indiffer­ ent, neutral, or casual: we can redescribe "towardness" as energetic. In being directed toward others, one acts, or is committed to specific actions, which point toward the future. When bodies share an object ofdesire, one could say theyhave an "affinity" or they are going in "the same direction." Furthermore, the affinity ofsuch bodies involws identification: in being directed !awarda shared obj ect, as a direction that is repeated over time, they are also orientated around</w:t>
      </w:r>
      <w:r>
        <w:rPr>
          <w:rStyle w:val="StyleUnderline"/>
        </w:rPr>
        <w:t xml:space="preserve"> </w:t>
      </w:r>
      <w:r w:rsidRPr="008B3810">
        <w:rPr>
          <w:rStyle w:val="StyleUnderline"/>
        </w:rPr>
        <w:t>a</w:t>
      </w:r>
      <w:r>
        <w:rPr>
          <w:rStyle w:val="StyleUnderline"/>
        </w:rPr>
        <w:t xml:space="preserve"> </w:t>
      </w:r>
      <w:r w:rsidRPr="008B3810">
        <w:rPr>
          <w:rStyle w:val="StyleUnderline"/>
        </w:rPr>
        <w:t>shared</w:t>
      </w:r>
      <w:r>
        <w:rPr>
          <w:rStyle w:val="StyleUnderline"/>
        </w:rPr>
        <w:t xml:space="preserve"> </w:t>
      </w:r>
      <w:r w:rsidRPr="008B3810">
        <w:rPr>
          <w:rStyle w:val="StyleUnderline"/>
        </w:rPr>
        <w:t xml:space="preserve">object. </w:t>
      </w:r>
      <w:r w:rsidRPr="00EE4D72">
        <w:rPr>
          <w:sz w:val="16"/>
        </w:rPr>
        <w:t>So,forinstance,inbeingdirectedtowardtheoriental object or other, they may be orientated around "the West," as what the world coheres around. Orientalism, in other words, would involve not just making imaginarydistinctions between theWest and the Orient,but would also shape how bodies cohere, by facing the same direction. Objects become objects only as an effectofthe repetition ofthis tending "toward" them, which produces the subject as that which the world is "around." The orient is then "orientated;" it is reachable as an object given how the world takes shape "around" certain bodies.</w:t>
      </w:r>
    </w:p>
    <w:p xmlns:wp14="http://schemas.microsoft.com/office/word/2010/wordml" w:rsidR="008263E8" w:rsidP="008263E8" w:rsidRDefault="008263E8" w14:paraId="4AA29510" wp14:textId="77777777">
      <w:pPr>
        <w:pStyle w:val="Heading3"/>
      </w:pPr>
      <w:r>
        <w:lastRenderedPageBreak/>
        <w:t>S: Queer Worlding (Toxicity)</w:t>
      </w:r>
    </w:p>
    <w:p xmlns:wp14="http://schemas.microsoft.com/office/word/2010/wordml" w:rsidRPr="00E77E45" w:rsidR="008263E8" w:rsidP="008263E8" w:rsidRDefault="008263E8" w14:paraId="0A41F9EA" wp14:textId="77777777">
      <w:pPr>
        <w:pStyle w:val="Heading4"/>
        <w:rPr>
          <w:rStyle w:val="Style13ptBold"/>
        </w:rPr>
      </w:pPr>
      <w:r>
        <w:t>We engage in a process of queer worlding -</w:t>
      </w:r>
      <w:r w:rsidRPr="00E77E45">
        <w:t xml:space="preserve"> challenging heteronormative temporalities and pointing toward a horizon of new discursive-material practices</w:t>
      </w:r>
    </w:p>
    <w:p xmlns:wp14="http://schemas.microsoft.com/office/word/2010/wordml" w:rsidRPr="00E77E45" w:rsidR="008263E8" w:rsidP="008263E8" w:rsidRDefault="008263E8" w14:paraId="0080FA78" wp14:textId="77777777">
      <w:r w:rsidRPr="00E77E45">
        <w:rPr>
          <w:rStyle w:val="Style13ptBold"/>
        </w:rPr>
        <w:t>Chen 12</w:t>
      </w:r>
      <w:r w:rsidRPr="00E77E45">
        <w:t xml:space="preserve"> [Mel, Assoc. Prof. Gender and Women’s Studies and Vice Chair for Research, Dir. of the Center for the Study of Sexual Culture @ UC Berkeley, Animacies: Biopolitical Racial Mattering and Queer Affect, pp. 217-21]</w:t>
      </w:r>
    </w:p>
    <w:p xmlns:wp14="http://schemas.microsoft.com/office/word/2010/wordml" w:rsidRPr="00E77E45" w:rsidR="008263E8" w:rsidP="008263E8" w:rsidRDefault="008263E8" w14:paraId="36F31724" wp14:textId="77777777">
      <w:pPr>
        <w:rPr>
          <w:rStyle w:val="StyleUnderline"/>
        </w:rPr>
      </w:pPr>
      <w:r w:rsidRPr="00E77E45">
        <w:rPr>
          <w:sz w:val="16"/>
        </w:rPr>
        <w:t xml:space="preserve">But what is a toxic body, after all? </w:t>
      </w:r>
      <w:r w:rsidRPr="00E77E45">
        <w:rPr>
          <w:rStyle w:val="StyleUnderline"/>
        </w:rPr>
        <w:t>How can we reconceptualize a harmful body when our bodies are themselves deemed harmful to others?</w:t>
      </w:r>
      <w:r w:rsidRPr="00E77E45">
        <w:rPr>
          <w:sz w:val="16"/>
        </w:rPr>
        <w:t xml:space="preserve"> It is useful here to turn to queer theory’s uptake of the toxic, where it retained a certain resonance and a certain citational pull. Eve Sedgwick’s use of toxic to describe an expellable interiority (one that shameful elements are not, since they are proper terms of one’s identity) is taken up in Muñoz’s Disidentifications to refer to discursively toxic elements, the “toxic force” of illicit desire, and images and stereotypes toxic to identity, all uses that seem to repeat Sedgwick’s ultimately exterior, or alienated, quality of toxicity.56 </w:t>
      </w:r>
      <w:r w:rsidRPr="00E77E45">
        <w:rPr>
          <w:rStyle w:val="StyleUnderline"/>
        </w:rPr>
        <w:t xml:space="preserve">For Muñoz, disidentification represents the willing uptake of toxic elements to pose new figurations of identity and minoritarian-majoritarian politics. </w:t>
      </w:r>
      <w:r w:rsidRPr="00E77E45">
        <w:rPr>
          <w:sz w:val="16"/>
        </w:rPr>
        <w:t xml:space="preserve">Taking Muñoz’s suggestions further, and taking toxicity’s ontological shape-shifting from mercury to traumatic sociality seriously, I believe that </w:t>
      </w:r>
      <w:r w:rsidRPr="00E77E45">
        <w:rPr>
          <w:rStyle w:val="StyleUnderline"/>
        </w:rPr>
        <w:t xml:space="preserve">we can, in a sense, claim toxicity as already “here,” already a truth of nearly every body, and also as a biopolitically interested distribution (the deferral of toxic work to deprivileged or already “toxic subjects”). Such a distribution, in its failure to effectively segregate, leaks outside of its bounds to “return,” and it might allow a queer theoretical move that readily embraces, rather than refuses in advance, heretofore unknown reflexes of raciality, gender, sexuality, (dis-) ability.57 In assuming both individual and collective vulnerability, it suggests an ulterior ethical stance.58 If we were to release toxicity from its own stalwart anti-ness, its ready definition as an unwelcome guest, it has the possibility to intervene into the binary between the segregated fields of “life” and “death,” vitality and morbidity. Toxicity straddles boundaries of “life” and “nonlife,” as well as the literal bounds of bodies (quite independently of toxicity’s immunitary representation), in ways that introduce a certain complexity to the presumption of integrity of either lifely or deathly subjects. </w:t>
      </w:r>
      <w:r w:rsidRPr="00E77E45">
        <w:rPr>
          <w:sz w:val="16"/>
        </w:rPr>
        <w:t xml:space="preserve">Using the worldly ontologies described earlier, we might consider </w:t>
      </w:r>
      <w:r w:rsidRPr="00E77E45">
        <w:rPr>
          <w:rStyle w:val="StyleUnderline"/>
        </w:rPr>
        <w:t>reframing the terms of intimacy itself</w:t>
      </w:r>
      <w:r w:rsidRPr="00E77E45">
        <w:rPr>
          <w:sz w:val="16"/>
        </w:rPr>
        <w:t xml:space="preserve">, so that it might not be restricted to operating between only human or animate entities. Intimacy is, furthermore, temporalized, in the sense that it is cognate with intimation. Intimacy might be thought of as a temporalized notion insofar as it might provide a hint or prediction of the future. In these final paragraphs, I </w:t>
      </w:r>
      <w:r w:rsidRPr="00E77E45">
        <w:rPr>
          <w:rStyle w:val="StyleUnderline"/>
        </w:rPr>
        <w:t>connect the “aberrant” socialities implicated within discourses of toxicity to those suggested in queer (political) futures. What futurity might such a present suggest</w:t>
      </w:r>
      <w:r w:rsidRPr="00E77E45">
        <w:rPr>
          <w:sz w:val="16"/>
        </w:rPr>
        <w:t xml:space="preserve">, particularly </w:t>
      </w:r>
      <w:r w:rsidRPr="00E77E45">
        <w:rPr>
          <w:rStyle w:val="StyleUnderline"/>
        </w:rPr>
        <w:t>if we read these futures back into politically sexualized and racialized maps of desirability and repulsion</w:t>
      </w:r>
      <w:r w:rsidRPr="00E77E45">
        <w:rPr>
          <w:sz w:val="16"/>
        </w:rPr>
        <w:t xml:space="preserve">? Here I draw inspiration from the feminist disability theorist Alison Kafer, whose book theorizes a queer-crip approach to disability, one that, in its disentangling of the discourses of morbidity and sexual exile that contain and fix dis/abled bodies, refuses the “grim imagined futures” associated with them and moves toward a resolutely optimistic futurity.59 According to J. Jack Halberstam’s In a Queer Time and Place, above and beyond the temporal closures and fissures wrought by (the U.S. advent of ) aids, the </w:t>
      </w:r>
      <w:r w:rsidRPr="00E77E45">
        <w:rPr>
          <w:rStyle w:val="StyleUnderline"/>
        </w:rPr>
        <w:t>queer life</w:t>
      </w:r>
      <w:r w:rsidRPr="00E77E45">
        <w:rPr>
          <w:sz w:val="16"/>
        </w:rPr>
        <w:t xml:space="preserve"> narrative </w:t>
      </w:r>
      <w:r w:rsidRPr="00E77E45">
        <w:rPr>
          <w:rStyle w:val="StyleUnderline"/>
        </w:rPr>
        <w:t>necessarily has a trajectory very</w:t>
      </w:r>
      <w:r w:rsidRPr="00E77E45">
        <w:rPr>
          <w:sz w:val="16"/>
        </w:rPr>
        <w:t xml:space="preserve"> </w:t>
      </w:r>
      <w:r w:rsidRPr="00E77E45">
        <w:rPr>
          <w:rStyle w:val="StyleUnderline"/>
        </w:rPr>
        <w:t>different from heterosexual, heteronormative, reproductive time.</w:t>
      </w:r>
      <w:r w:rsidRPr="00E77E45">
        <w:rPr>
          <w:sz w:val="16"/>
        </w:rPr>
        <w:t xml:space="preserve">60 Such a notion of </w:t>
      </w:r>
      <w:r w:rsidRPr="00E77E45">
        <w:rPr>
          <w:rStyle w:val="StyleUnderline"/>
        </w:rPr>
        <w:t>queer time can be worked to emphasize its racial and gendered dimensions.</w:t>
      </w:r>
      <w:r w:rsidRPr="00E77E45">
        <w:rPr>
          <w:sz w:val="16"/>
        </w:rPr>
        <w:t xml:space="preserve"> On the “racial” dimension of time, or racialized temporality, David Eng has argued that it was Freud’s attempt to negate the primitive that fundamentally motivated and underlaid his developmental narrative of sexuality, as well as his rendering of homosexuality.61 The idea that ontogeny recapitulates phylogeny replicates itself teleologically in science and in public life alike, for instance, in the notion that child is to adult as primitive is to modern. Thus, the animalization of (queer) children cannot be divorced from the vote-bearing African American figure in the nineteenth-century Harper’s Weekly cartoon considered in chapter 3. </w:t>
      </w:r>
      <w:r w:rsidRPr="00E77E45">
        <w:rPr>
          <w:rStyle w:val="StyleUnderline"/>
        </w:rPr>
        <w:t>Interracial frameworks— whether human or animal or stone</w:t>
      </w:r>
      <w:r w:rsidRPr="00E77E45">
        <w:rPr>
          <w:sz w:val="16"/>
        </w:rPr>
        <w:t xml:space="preserve"> (which bears the mark of “nature”)—</w:t>
      </w:r>
      <w:r w:rsidRPr="00E77E45">
        <w:rPr>
          <w:rStyle w:val="StyleUnderline"/>
        </w:rPr>
        <w:t>are constantly haunted by the possibility of anachronism.</w:t>
      </w:r>
      <w:r w:rsidRPr="00E77E45">
        <w:rPr>
          <w:sz w:val="16"/>
        </w:rPr>
        <w:t xml:space="preserve"> </w:t>
      </w:r>
      <w:r w:rsidRPr="00E77E45">
        <w:rPr>
          <w:rStyle w:val="StyleUnderline"/>
        </w:rPr>
        <w:t xml:space="preserve">Within global capitalism’s racialized arrangements of labor, </w:t>
      </w:r>
      <w:r w:rsidRPr="00E77E45">
        <w:rPr>
          <w:rStyle w:val="StyleUnderline"/>
        </w:rPr>
        <w:lastRenderedPageBreak/>
        <w:t xml:space="preserve">the racially marked body in the contemporary or modernist moment is a “freaky” subject of unacceptable temporal transit. </w:t>
      </w:r>
      <w:r w:rsidRPr="00E77E45">
        <w:rPr>
          <w:sz w:val="16"/>
        </w:rPr>
        <w:t xml:space="preserve">It is not coincidental that in the United States the animality of childhood, in which a child represents an animalizable early evolutionary stage, is the only (marginally) acceptably queer one. Thus, both </w:t>
      </w:r>
      <w:r w:rsidRPr="00E77E45">
        <w:rPr>
          <w:rStyle w:val="StyleUnderline"/>
        </w:rPr>
        <w:t>queer and racial temporalities are a kind of shimmering presence. They are less easily bound to capital or to any other regimented time;</w:t>
      </w:r>
      <w:r w:rsidRPr="00E77E45">
        <w:rPr>
          <w:sz w:val="16"/>
        </w:rPr>
        <w:t xml:space="preserve"> or perhaps we could say that the time of capital is also no longer in the form it might have once been. </w:t>
      </w:r>
      <w:r w:rsidRPr="00E77E45">
        <w:rPr>
          <w:rStyle w:val="StyleUnderline"/>
        </w:rPr>
        <w:t>And so queer and racially marked bodies are present</w:t>
      </w:r>
      <w:r w:rsidRPr="00E77E45">
        <w:rPr>
          <w:sz w:val="16"/>
        </w:rPr>
        <w:t xml:space="preserve"> (that is, in the present time) </w:t>
      </w:r>
      <w:r w:rsidRPr="00E77E45">
        <w:rPr>
          <w:rStyle w:val="StyleUnderline"/>
        </w:rPr>
        <w:t>but strangely so, embracing anachronism and “touching the past”</w:t>
      </w:r>
      <w:r w:rsidRPr="00E77E45">
        <w:rPr>
          <w:sz w:val="16"/>
        </w:rPr>
        <w:t xml:space="preserve"> (to evoke the historian Carolyn Dinshaw).62 Heather Love suggests in her introduction to Feeling Backward, an exploration of literary texts that circle around queer suffering, that the contemporary juncture of affect studies and queer studies is attentive to the possibility that it is presently at a turning point, asking how to articulate or assume a queer political vision (within and beyond scholarship) that must do something with its history of shame, stigma, embarrassment, and pain. She describes this as “the emphasis on damage in queer studies.”63 Recent work has engaged a turn toward the embrace of acknowledgment of abjection as a site of work and healing in domains such as literature, the creative arts, and sexual practices, particularly in relation to queer of color proximities to racial abjection. Juana María Rodríguez theorizes the importance of politi220 cally incorrect desire, exercised in sexual fantasy, as one kind of utopic practice: she advises that “we must learn to read submission and service differently,” even if—or as—we find ourselves occupying sexual positions written through with painful histories.64 Indeed, the antipathy toward submission or service in and of itself does seem to collude too neatly with the autonomous urges of neoliberal culture, and would do well to think through the arguments for interdependence articulated within disability theory and activism. </w:t>
      </w:r>
      <w:r w:rsidRPr="00E77E45">
        <w:rPr>
          <w:rStyle w:val="StyleUnderline"/>
        </w:rPr>
        <w:t>Toxicity</w:t>
      </w:r>
      <w:r w:rsidRPr="00E77E45">
        <w:rPr>
          <w:sz w:val="16"/>
        </w:rPr>
        <w:t xml:space="preserve">, at least </w:t>
      </w:r>
      <w:r w:rsidRPr="00E77E45">
        <w:rPr>
          <w:rStyle w:val="StyleUnderline"/>
        </w:rPr>
        <w:t>in its mode of “intoxication,” embraces the ambivalent,</w:t>
      </w:r>
      <w:r w:rsidRPr="00E77E45">
        <w:rPr>
          <w:sz w:val="16"/>
        </w:rPr>
        <w:t xml:space="preserve"> in Love’s words, </w:t>
      </w:r>
      <w:r w:rsidRPr="00E77E45">
        <w:rPr>
          <w:rStyle w:val="StyleUnderline"/>
        </w:rPr>
        <w:t>“abject/exalted” combination proper to queerness itself.</w:t>
      </w:r>
      <w:r w:rsidRPr="00E77E45">
        <w:rPr>
          <w:sz w:val="16"/>
        </w:rPr>
        <w:t xml:space="preserve"> (She even uses the words damage and toxicity to refer, as Muñoz and Sedgwick do, to the stigmatization of queerness and the painful affects associated with the recuperation of historical texts that represent “tear-soaked accounts of same-sex desire.”)65 Negativity and death, of course, also attach to disabled bodies with terrible regularity, and they appear in different valences. But affective nuances are informative. Ato Quayson’s literary study Aesthetic Nervousness: Disability and the Crisis of Representation focuses on doubt: he traces a notion of “skeptical interlocution” through a number of literary works, suggesting that “there is always an anticipation of doubt within the perceptual and imagined horizon of the disabled character in literature, and that this doubt is incorporated into their representation.”66 Quayson’s study suggests a complication of sociality by a negating affect. In view of the attempts of these works to suggest a future politics, or the recommendations for politics that might be extracted from them, toxic affect is certainly not suggested as a panacea. It is a (re-) solution to the question of what to do with the ambivalence of queerness only to the extent that it does not represent a choice: it is already here, it is not a matter of queer political agency so much as a queered political state of the present. If toxicity is ambivalently constructed by a barely tenable political community, that fragility is not acknowledged. Nevertheless, </w:t>
      </w:r>
      <w:r w:rsidRPr="00E77E45">
        <w:rPr>
          <w:rStyle w:val="Emphasis"/>
        </w:rPr>
        <w:t>an uptake, rather than a denial of, toxicity seems to have the power to turn a lens on the anxieties that produce it and allow for a queer knowledge production that gives some means for structural remedy while not abandoning a claim to being just a little bit “off.”</w:t>
      </w:r>
      <w:r w:rsidRPr="00E77E45">
        <w:rPr>
          <w:rStyle w:val="StyleUnderline"/>
        </w:rPr>
        <w:t xml:space="preserve"> </w:t>
      </w:r>
      <w:r w:rsidRPr="00E77E45">
        <w:rPr>
          <w:sz w:val="16"/>
        </w:rPr>
        <w:t xml:space="preserve">The growing acknowledgment of </w:t>
      </w:r>
      <w:r w:rsidRPr="00E77E45">
        <w:rPr>
          <w:rStyle w:val="StyleUnderline"/>
        </w:rPr>
        <w:t>a shared condition of toxicity</w:t>
      </w:r>
      <w:r w:rsidRPr="00E77E45">
        <w:rPr>
          <w:sz w:val="16"/>
        </w:rPr>
        <w:t xml:space="preserve"> within the United States—not only in terms of citing numbers of toxins present in people’s bodies, toxins whose hospitality toward the body is uncertain (or toward whom the body doesn’t know whether it should be hospitable), but also in terms of the resigned acknowledgment that toxic assets were part of the fabric of U.S. capitalism—</w:t>
      </w:r>
      <w:r w:rsidRPr="00E77E45">
        <w:rPr>
          <w:rStyle w:val="StyleUnderline"/>
        </w:rPr>
        <w:t>is not just evidence of a fall, or a radical shifting of political and economic fortunes. It is also evidence that the interstices of the otherwise suffocating cultures of neoliberalism may be engaged, productive, and immensely meaningful. Thus, toxicity, as a queer thing or affect, both is and is more than horizon</w:t>
      </w:r>
      <w:r w:rsidRPr="00E77E45">
        <w:rPr>
          <w:sz w:val="16"/>
        </w:rPr>
        <w:t xml:space="preserve">, which is unpredictable and, furthermore, synchronically traceable only to the extent that we not remain ontologically faithful. </w:t>
      </w:r>
      <w:r w:rsidRPr="00E77E45">
        <w:rPr>
          <w:rStyle w:val="StyleUnderline"/>
        </w:rPr>
        <w:t>Toxicity fails over and again to privilege rationality’s favorite partner, the human subject, rather defaulting to</w:t>
      </w:r>
      <w:r w:rsidRPr="00E77E45">
        <w:rPr>
          <w:sz w:val="16"/>
        </w:rPr>
        <w:t xml:space="preserve"> chairs, couches, and </w:t>
      </w:r>
      <w:r w:rsidRPr="00E77E45">
        <w:rPr>
          <w:rStyle w:val="StyleUnderline"/>
        </w:rPr>
        <w:t>other sexual orientations, but we might be wrong to disavow its claim to rationality altogether.</w:t>
      </w:r>
      <w:r w:rsidRPr="00E77E45">
        <w:rPr>
          <w:sz w:val="16"/>
        </w:rPr>
        <w:t xml:space="preserve"> If we let affect fall to object life, or to the interanimation that surrounds us, one example of which toxicity illuminates very precisely, then </w:t>
      </w:r>
      <w:r w:rsidRPr="00E77E45">
        <w:rPr>
          <w:rStyle w:val="StyleUnderline"/>
        </w:rPr>
        <w:t>perhaps there is a chance to take up</w:t>
      </w:r>
      <w:r w:rsidRPr="00E77E45">
        <w:rPr>
          <w:sz w:val="16"/>
        </w:rPr>
        <w:t xml:space="preserve"> (not revive, as it is far from “old and tired”) </w:t>
      </w:r>
      <w:r w:rsidRPr="00E77E45">
        <w:rPr>
          <w:rStyle w:val="StyleUnderline"/>
        </w:rPr>
        <w:t>queer as something both like itself and yet also entirely different.</w:t>
      </w:r>
    </w:p>
    <w:p xmlns:wp14="http://schemas.microsoft.com/office/word/2010/wordml" w:rsidRPr="004C2595" w:rsidR="008263E8" w:rsidP="008263E8" w:rsidRDefault="008263E8" w14:paraId="4B1F511A" wp14:textId="77777777"/>
    <w:p xmlns:wp14="http://schemas.microsoft.com/office/word/2010/wordml" w:rsidR="008263E8" w:rsidP="008263E8" w:rsidRDefault="008263E8" w14:paraId="7A827F4D" wp14:textId="77777777">
      <w:pPr>
        <w:pStyle w:val="Heading2"/>
      </w:pPr>
      <w:r>
        <w:lastRenderedPageBreak/>
        <w:t>AFF Answers</w:t>
      </w:r>
    </w:p>
    <w:p xmlns:wp14="http://schemas.microsoft.com/office/word/2010/wordml" w:rsidR="008263E8" w:rsidP="008263E8" w:rsidRDefault="008263E8" w14:paraId="5A217D14" wp14:textId="77777777">
      <w:pPr>
        <w:pStyle w:val="Heading3"/>
      </w:pPr>
      <w:r>
        <w:lastRenderedPageBreak/>
        <w:t>Framework</w:t>
      </w:r>
    </w:p>
    <w:p xmlns:wp14="http://schemas.microsoft.com/office/word/2010/wordml" w:rsidR="008263E8" w:rsidP="008263E8" w:rsidRDefault="008263E8" w14:paraId="4EDF45A5" wp14:textId="77777777">
      <w:pPr>
        <w:pStyle w:val="Heading4"/>
      </w:pPr>
      <w:r>
        <w:t>The discourse of legal inclusion and institutional reforms like same-sex marriage or the ability to serve in the military only helps white, wealthy queer folks while a domestic and international regime of racialized violence, warfare, and settler colonialism thrives with support from the government and profit-seeking corporations. (lots of examples in this evidence)</w:t>
      </w:r>
    </w:p>
    <w:p xmlns:wp14="http://schemas.microsoft.com/office/word/2010/wordml" w:rsidRPr="00587C69" w:rsidR="008263E8" w:rsidP="008263E8" w:rsidRDefault="008263E8" w14:paraId="4504DDE3" wp14:textId="77777777">
      <w:r w:rsidRPr="00587C69">
        <w:rPr>
          <w:rStyle w:val="Style13ptBold"/>
        </w:rPr>
        <w:t>Spade 13</w:t>
      </w:r>
      <w:r w:rsidRPr="00587C69">
        <w:t xml:space="preserve"> (Dean, Associate Professor at Seattle University School of Law, founder of the Sylvia Rivera Law Project, Under the Cover of Gay Rights, published by NYU Review of Law and Social Change, 2013, pg 86-94, pg 98-100)//ANH</w:t>
      </w:r>
    </w:p>
    <w:p xmlns:wp14="http://schemas.microsoft.com/office/word/2010/wordml" w:rsidR="008263E8" w:rsidP="008263E8" w:rsidRDefault="008263E8" w14:paraId="527B2EF3" wp14:textId="77777777">
      <w:pPr>
        <w:rPr>
          <w:sz w:val="16"/>
        </w:rPr>
      </w:pPr>
      <w:r w:rsidRPr="00875071">
        <w:rPr>
          <w:sz w:val="16"/>
        </w:rPr>
        <w:t xml:space="preserve">II. GAY AND LESBIAN RIGHTS AS COVER FOR STATE VIOLENCE These debates and tensions are not new in U.S. social movements generally or in queer and trans politics specifically. However, these conversations are surfacing in particularly important ways right now because of the role that legal equality for gay and lesbian people (and, in some instances, trans people) is playing in global discourses about human rights. Increasingly, </w:t>
      </w:r>
      <w:r w:rsidRPr="004E2C2A">
        <w:rPr>
          <w:rStyle w:val="StyleUnderline"/>
        </w:rPr>
        <w:t>the degree to which countries have adopted certain high-profile lesbian and gay-related law reforms, specifically granting marriage recognition and access to military service to gays and lesbians, is framed as central to a country’s reputation regarding respect for human rights. I</w:t>
      </w:r>
      <w:r w:rsidRPr="00875071">
        <w:rPr>
          <w:sz w:val="16"/>
        </w:rPr>
        <w:t xml:space="preserve">n recent years, </w:t>
      </w:r>
      <w:r w:rsidRPr="004E2C2A">
        <w:rPr>
          <w:rStyle w:val="StyleUnderline"/>
        </w:rPr>
        <w:t xml:space="preserve">the U.S. and Israel have put significant resources into portraying countries with </w:t>
      </w:r>
      <w:r w:rsidRPr="00875071">
        <w:rPr>
          <w:sz w:val="16"/>
        </w:rPr>
        <w:t>certain</w:t>
      </w:r>
      <w:r w:rsidRPr="004E2C2A">
        <w:rPr>
          <w:rStyle w:val="StyleUnderline"/>
        </w:rPr>
        <w:t xml:space="preserve"> lesbian and gay rights </w:t>
      </w:r>
      <w:r w:rsidRPr="00875071">
        <w:rPr>
          <w:sz w:val="16"/>
        </w:rPr>
        <w:t>in place as</w:t>
      </w:r>
      <w:r w:rsidRPr="004E2C2A">
        <w:rPr>
          <w:rStyle w:val="StyleUnderline"/>
        </w:rPr>
        <w:t xml:space="preserve"> “modern” while framing countries that do not, particularly Arab and African countries, as “backward” and “undemocratic</w:t>
      </w:r>
      <w:r w:rsidRPr="00875071">
        <w:rPr>
          <w:sz w:val="16"/>
        </w:rPr>
        <w:t xml:space="preserve">.” </w:t>
      </w:r>
      <w:r w:rsidRPr="004E2C2A">
        <w:rPr>
          <w:rStyle w:val="StyleUnderline"/>
        </w:rPr>
        <w:t>The strategy</w:t>
      </w:r>
      <w:r w:rsidRPr="00875071">
        <w:rPr>
          <w:sz w:val="16"/>
        </w:rPr>
        <w:t xml:space="preserve"> of using gay and lesbian rights, particularly with regard to marriage and military participation, as a marker of being a human-rights respecting country, and particularly doing so in the face of charges of ongoing significant human rights violations, </w:t>
      </w:r>
      <w:r w:rsidRPr="004E2C2A">
        <w:rPr>
          <w:rStyle w:val="StyleUnderline"/>
        </w:rPr>
        <w:t>has been called “pinkwashing.”</w:t>
      </w:r>
      <w:r w:rsidRPr="00875071">
        <w:rPr>
          <w:sz w:val="16"/>
        </w:rPr>
        <w:t xml:space="preserve">22 Prof. Katherine Franke summarizes pinkwashing: A state’s posture with respect to the rights of “its” homosexuals has become an effective foreign policy tool . . . to portray a progressive reputation when their other policies relating to national security, immigration, income inequality, and militarism are anything but progressive. . . . Modern states recognize a sexual minority within the national body and grant that minority rights-based protections. Pre- modern states do not. Once recognized as modern, the state’s treatment of homosexuals offers cover for other sorts of human rights shortcomings. So long as a state treats its homosexuals well, the international community will look the other way when it comes to a range of other human rights abuses.23 </w:t>
      </w:r>
      <w:r w:rsidRPr="004E2C2A">
        <w:rPr>
          <w:rStyle w:val="StyleUnderline"/>
        </w:rPr>
        <w:t>Hilary Clinton’s 2011 speech declaring that “gay rights are human rights,”</w:t>
      </w:r>
      <w:r w:rsidRPr="00875071">
        <w:rPr>
          <w:sz w:val="16"/>
        </w:rPr>
        <w:t xml:space="preserve">24 </w:t>
      </w:r>
      <w:r w:rsidRPr="004E2C2A">
        <w:rPr>
          <w:rStyle w:val="StyleUnderline"/>
        </w:rPr>
        <w:t>along with the prevalence of references to same-sex marriage and gay rights at the 2012</w:t>
      </w:r>
      <w:r w:rsidRPr="00875071">
        <w:rPr>
          <w:sz w:val="16"/>
        </w:rPr>
        <w:t xml:space="preserve"> Democratic National Convention (</w:t>
      </w:r>
      <w:r w:rsidRPr="004E2C2A">
        <w:rPr>
          <w:rStyle w:val="StyleUnderline"/>
        </w:rPr>
        <w:t xml:space="preserve">DNC) and Obama’s reference to gay marriage in his 2013 inauguration speech, are examples </w:t>
      </w:r>
      <w:r w:rsidRPr="00875071">
        <w:rPr>
          <w:sz w:val="16"/>
        </w:rPr>
        <w:t xml:space="preserve">of American pinkwashing.25 </w:t>
      </w:r>
      <w:r w:rsidRPr="004E2C2A">
        <w:rPr>
          <w:rStyle w:val="StyleUnderline"/>
        </w:rPr>
        <w:t xml:space="preserve">Clinton’s speech evinces a relatively new logic in U.S. imperialism: that the U.S., regardless of failures to protect queer and trans people from state violence at home, will now use gay rights to exert pressure on countries where the U.S. has some </w:t>
      </w:r>
      <w:r w:rsidRPr="00FB2D65">
        <w:rPr>
          <w:rStyle w:val="StyleUnderline"/>
        </w:rPr>
        <w:t>ulterior motive</w:t>
      </w:r>
      <w:r w:rsidRPr="004E2C2A">
        <w:rPr>
          <w:rStyle w:val="StyleUnderline"/>
        </w:rPr>
        <w:t>.</w:t>
      </w:r>
      <w:r w:rsidRPr="00875071">
        <w:rPr>
          <w:sz w:val="16"/>
        </w:rPr>
        <w:t xml:space="preserve"> </w:t>
      </w:r>
      <w:r w:rsidRPr="004E2C2A">
        <w:rPr>
          <w:rStyle w:val="StyleUnderline"/>
        </w:rPr>
        <w:t>Clinton uses</w:t>
      </w:r>
      <w:r w:rsidRPr="00875071">
        <w:rPr>
          <w:sz w:val="16"/>
        </w:rPr>
        <w:t xml:space="preserve"> lesbian and </w:t>
      </w:r>
      <w:r w:rsidRPr="004E2C2A">
        <w:rPr>
          <w:rStyle w:val="StyleUnderline"/>
        </w:rPr>
        <w:t xml:space="preserve">gay rights to bolster the notion that the U.S. is the world’s </w:t>
      </w:r>
      <w:r w:rsidRPr="00FB2D65">
        <w:rPr>
          <w:rStyle w:val="StyleUnderline"/>
        </w:rPr>
        <w:t>policing arm</w:t>
      </w:r>
      <w:r w:rsidRPr="004E2C2A">
        <w:rPr>
          <w:rStyle w:val="StyleUnderline"/>
        </w:rPr>
        <w:t>, forcing democracy and equality globally on purportedly backward and cruel governments.</w:t>
      </w:r>
      <w:r w:rsidRPr="00875071">
        <w:rPr>
          <w:sz w:val="16"/>
        </w:rPr>
        <w:t xml:space="preserve"> </w:t>
      </w:r>
      <w:r w:rsidRPr="004E2C2A">
        <w:rPr>
          <w:rStyle w:val="StyleUnderline"/>
        </w:rPr>
        <w:t xml:space="preserve">Gay rights operates as a new justification for this imperial role—a justification that fits well within the </w:t>
      </w:r>
      <w:r w:rsidRPr="00FB2D65">
        <w:rPr>
          <w:rStyle w:val="StyleUnderline"/>
        </w:rPr>
        <w:t>anti-Arab and anti-Muslim framings</w:t>
      </w:r>
      <w:r w:rsidRPr="004E2C2A">
        <w:rPr>
          <w:rStyle w:val="StyleUnderline"/>
        </w:rPr>
        <w:t xml:space="preserve"> that have been developed during the War on Terror and portray Arab and Muslim countries as more sexist and homophobic than the U.S</w:t>
      </w:r>
      <w:r w:rsidRPr="00875071">
        <w:rPr>
          <w:sz w:val="16"/>
        </w:rPr>
        <w:t xml:space="preserve">., European countries and Israel. At the DNC and his inauguration, </w:t>
      </w:r>
      <w:r w:rsidRPr="004E2C2A">
        <w:rPr>
          <w:rStyle w:val="StyleUnderline"/>
        </w:rPr>
        <w:t>Obama’s support for same-sex marriage</w:t>
      </w:r>
      <w:r w:rsidRPr="00875071">
        <w:rPr>
          <w:sz w:val="16"/>
        </w:rPr>
        <w:t xml:space="preserve"> similarly </w:t>
      </w:r>
      <w:r w:rsidRPr="004E2C2A">
        <w:rPr>
          <w:rStyle w:val="StyleUnderline"/>
        </w:rPr>
        <w:t>helped him portray his administration as progressive and equality loving in order to obscure his abysmal record on</w:t>
      </w:r>
      <w:r w:rsidRPr="00875071">
        <w:rPr>
          <w:sz w:val="16"/>
        </w:rPr>
        <w:t xml:space="preserve"> key </w:t>
      </w:r>
      <w:r w:rsidRPr="004E2C2A">
        <w:rPr>
          <w:rStyle w:val="StyleUnderline"/>
        </w:rPr>
        <w:t>issues such as</w:t>
      </w:r>
      <w:r w:rsidRPr="00875071">
        <w:rPr>
          <w:sz w:val="16"/>
        </w:rPr>
        <w:t xml:space="preserve"> austerity, </w:t>
      </w:r>
      <w:r w:rsidRPr="004E2C2A">
        <w:rPr>
          <w:rStyle w:val="StyleUnderline"/>
        </w:rPr>
        <w:t>his failure to close Guantanamo, ongoing drone strikes, harsh sanctions against Iran, the long wars in Iraq and Afghanistan, and his record-breaking rates of deportation</w:t>
      </w:r>
      <w:r w:rsidRPr="00875071">
        <w:rPr>
          <w:sz w:val="16"/>
        </w:rPr>
        <w:t xml:space="preserve">.26 </w:t>
      </w:r>
      <w:r w:rsidRPr="004E2C2A">
        <w:rPr>
          <w:rStyle w:val="StyleUnderline"/>
        </w:rPr>
        <w:t>Purported support for “gay rights,”</w:t>
      </w:r>
      <w:r w:rsidRPr="00875071">
        <w:rPr>
          <w:sz w:val="16"/>
        </w:rPr>
        <w:t xml:space="preserve"> regardless of whether those rights are recognized in the U.S. or if they actually prevent or reduce harm facing queer and trans people, </w:t>
      </w:r>
      <w:r w:rsidRPr="004E2C2A">
        <w:rPr>
          <w:rStyle w:val="StyleUnderline"/>
        </w:rPr>
        <w:t xml:space="preserve">is used as </w:t>
      </w:r>
      <w:r w:rsidRPr="00FB2D65">
        <w:rPr>
          <w:rStyle w:val="StyleUnderline"/>
        </w:rPr>
        <w:t>a rationale for domestic and international regimes of racialized violence and warfare</w:t>
      </w:r>
      <w:r w:rsidRPr="004E2C2A">
        <w:rPr>
          <w:rStyle w:val="StyleUnderline"/>
        </w:rPr>
        <w:t xml:space="preserve"> that continue to expand </w:t>
      </w:r>
      <w:r w:rsidRPr="004E2C2A">
        <w:rPr>
          <w:rStyle w:val="StyleUnderline"/>
        </w:rPr>
        <w:lastRenderedPageBreak/>
        <w:t>under the Obama administration</w:t>
      </w:r>
      <w:r w:rsidRPr="00875071">
        <w:rPr>
          <w:sz w:val="16"/>
        </w:rPr>
        <w:t xml:space="preserve">. </w:t>
      </w:r>
      <w:r w:rsidRPr="004E2C2A">
        <w:rPr>
          <w:rStyle w:val="StyleUnderline"/>
        </w:rPr>
        <w:t>These declarations of gay rights aim to</w:t>
      </w:r>
      <w:r w:rsidRPr="00875071">
        <w:rPr>
          <w:sz w:val="16"/>
        </w:rPr>
        <w:t xml:space="preserve"> distract from and justify—to </w:t>
      </w:r>
      <w:r w:rsidRPr="004E2C2A">
        <w:rPr>
          <w:rStyle w:val="StyleUnderline"/>
        </w:rPr>
        <w:t>pinkwash</w:t>
      </w:r>
      <w:r w:rsidRPr="00875071">
        <w:rPr>
          <w:sz w:val="16"/>
        </w:rPr>
        <w:t>—</w:t>
      </w:r>
      <w:r w:rsidRPr="004E2C2A">
        <w:rPr>
          <w:rStyle w:val="StyleUnderline"/>
        </w:rPr>
        <w:t>the brutal realities of U.S. politics and policy</w:t>
      </w:r>
      <w:r w:rsidRPr="00875071">
        <w:rPr>
          <w:sz w:val="16"/>
        </w:rPr>
        <w:t xml:space="preserve">. The term “pinkwashing” is most frequently used to describe the explicit strategy Israel has undertaken in recent years to market itself as a human rights leader based on its stances on same-sex marriage and LGBT military service. Israel has explicitly worked with marketing experts to “rebrand” itself, trying to overcome its international reputation as a brutal occupying force. The new image is focused on portraying Israel as a “modern democracy” in the Middle East, surrounded by countries with less enlightened policy and culture.27 A key feature of that portrayal is the articulation of Israel as a country that recognizes gay and lesbian rights (specifically marriage and military service) and as an ideal destination for gay and lesbian tourism.28 </w:t>
      </w:r>
      <w:r w:rsidRPr="004E2C2A">
        <w:rPr>
          <w:rStyle w:val="StyleUnderline"/>
        </w:rPr>
        <w:t>As part of its pinkwashing efforts, Israel has funded tours of Israelis to the U.S. in order to discuss Israel’s marriage and military laws with respect to gays and lesbians</w:t>
      </w:r>
      <w:r w:rsidRPr="00875071">
        <w:rPr>
          <w:sz w:val="16"/>
        </w:rPr>
        <w:t xml:space="preserve">.29 </w:t>
      </w:r>
      <w:r w:rsidRPr="004E2C2A">
        <w:rPr>
          <w:rStyle w:val="StyleUnderline"/>
        </w:rPr>
        <w:t>It has provided financial resources to media outlets to produce news coverage about Israel as a gay and lesbian tourist destination</w:t>
      </w:r>
      <w:r w:rsidRPr="00875071">
        <w:rPr>
          <w:sz w:val="16"/>
        </w:rPr>
        <w:t xml:space="preserve">.30 Marketing Israel’s gay friendly image to American audiences has been an explicit priority. Increasingly, queer and trans activists have been publicly responding to Israel’s strategy, calling the attention of their intended audiences to the pinkwashing strategy and the motivations behind this mobilization of gay and lesbian equality rhetoric.31 </w:t>
      </w:r>
      <w:r w:rsidRPr="004E2C2A">
        <w:rPr>
          <w:rStyle w:val="StyleUnderline"/>
        </w:rPr>
        <w:t xml:space="preserve">These controversies bring up </w:t>
      </w:r>
      <w:r w:rsidRPr="00FB2D65">
        <w:rPr>
          <w:rStyle w:val="StyleUnderline"/>
        </w:rPr>
        <w:t>tensions inherent to efforts to be included in government institutions and systems</w:t>
      </w:r>
      <w:r w:rsidRPr="004E2C2A">
        <w:rPr>
          <w:rStyle w:val="StyleUnderline"/>
        </w:rPr>
        <w:t>, like marriage and the military</w:t>
      </w:r>
      <w:r w:rsidRPr="00875071">
        <w:rPr>
          <w:sz w:val="16"/>
        </w:rPr>
        <w:t xml:space="preserve"> that have come to define the most visible contemporary gay rights advocacy in recent decades. When a multi-city U.S. tour of lesbian and gay rights activists from Israel funded by the Israeli Consulate visited Seattle in 2012, these tensions came to the surface. Queer and trans people concerned about the tour, myself included, reached out to organizations and institutions that had agreed to host events featuring the touring speakers.32 As a result, several events were cancelled, and significant controversy erupted.33 During that controversy, I had the opportunity to engage in dialogue with many people about what happened, including leaders of organizations that chose to cancel an event, leaders of organizations that chose not to cancel an event, constituents who thought it was a mistake that any of the events were canceled, and those who advocated for their cancellation. Those conversations exposed how the tensions outlined above about the nature of marriage and military service and their relationship to queer and trans resistance are particularly important to questions of international policy in this moment. I heard two particular responses to the Seattle events in my conversations that are especially illuminating. First, many people who supported the tour and thought that none of the events should be cancelled argued that even if we opposed Israel’s war crimes and treatment of Palestinians, we should be celebrating the Israeli government’s embrace of gay rights. They argued that Israel’s sponsorship of such speakers is a sign of progress to be celebrated by LGBT people everywhere. Second, in conversations with an LGBT legal organization that hosted one of the events with Israeli-Consulate sponsored visiting speakers, which was not cancelled, board members argued that because the event they hosted focused only on presentations by the visiting speakers about Israeli same-sex marriage litigation, it was “apolitical” and had nothing to do with the occupation or Israel’s treatment of Palestinians. When this same group was invited to co-sponsor an event in the weeks that followed featuring Professor Katherine Franke talking about gay and lesbian rights in Israel/Palestine and her consultation with the Palestinian Bar Association about supporting women lawyers, 34 they declined. They said that the board had decided that the event would be “political” because it would talk about the occupation of Palestine. They distinguished the event from the one they had hosted with the visiting speakers by stating that a discussion of same-sex marriage in Israel was not political and did not have to do with the occupation. Both of these responses reveal how efforts to politicize marriage and military service have been undermined by the last few decades of gay and lesbian legal equality politics. Both articulate an understanding of the reforms of these institutions as separate from issues of occupation and colonization—not relevant to the politics of state violence. III. MARRIAGE AND MILITARY SERVICE IN CONTEXT These responses are helpful to consider because of the questions they raise about the relationship between marriage and military service as goals of lesbian and gay rights advocates and the broader context of what marriage and militarism are. As I described above, U.S. queer and trans scholars and activists are engaged in significant debate about whether </w:t>
      </w:r>
      <w:r w:rsidRPr="00875071">
        <w:rPr>
          <w:rStyle w:val="StyleUnderline"/>
        </w:rPr>
        <w:t>accessing marriage and military service are</w:t>
      </w:r>
      <w:r w:rsidRPr="00875071">
        <w:rPr>
          <w:sz w:val="16"/>
        </w:rPr>
        <w:t xml:space="preserve">, on the one hand, important markers of progress on the road to equality or, conversely, </w:t>
      </w:r>
      <w:r w:rsidRPr="00875071">
        <w:rPr>
          <w:rStyle w:val="StyleUnderline"/>
        </w:rPr>
        <w:t xml:space="preserve">investments in harmful institutions that are unlikely to benefit queer and trans people unless they are members of the </w:t>
      </w:r>
      <w:r w:rsidRPr="00FB2D65">
        <w:rPr>
          <w:rStyle w:val="StyleUnderline"/>
        </w:rPr>
        <w:t>elite classes within societies sharply divided by racism, wealth inequality and colonialism</w:t>
      </w:r>
      <w:r w:rsidRPr="00875071">
        <w:rPr>
          <w:sz w:val="16"/>
        </w:rPr>
        <w:t xml:space="preserve">. Are marriage and the military essentially neutral (or even beneficial) institutions, inclusion in which is desirable as a marker of equal citizenship and an opportunity to access benefits denied to those excluded? This framing is certainly the loudest one, benefiting from state and corporate funding and media coverage, in both Israel and the United States, yet a look at these institutions in both contexts raises questions. Critics of same-sex marriage and military service advocacy in the U.S. and critics of pinkwashing have suggested that it is necessary to look at what these institutions are in order to assess whether inclusion in them is a felicitous goal for queer and trans politics. </w:t>
      </w:r>
      <w:r w:rsidRPr="00875071">
        <w:rPr>
          <w:rStyle w:val="StyleUnderline"/>
        </w:rPr>
        <w:t xml:space="preserve">The militaries of </w:t>
      </w:r>
      <w:r w:rsidRPr="00875071">
        <w:rPr>
          <w:sz w:val="16"/>
        </w:rPr>
        <w:t xml:space="preserve">both </w:t>
      </w:r>
      <w:r w:rsidRPr="00875071">
        <w:rPr>
          <w:rStyle w:val="StyleUnderline"/>
        </w:rPr>
        <w:t>the</w:t>
      </w:r>
      <w:r w:rsidRPr="00875071">
        <w:rPr>
          <w:sz w:val="16"/>
        </w:rPr>
        <w:t xml:space="preserve"> </w:t>
      </w:r>
      <w:r w:rsidRPr="00875071">
        <w:rPr>
          <w:rStyle w:val="StyleUnderline"/>
        </w:rPr>
        <w:t>U.S.</w:t>
      </w:r>
      <w:r w:rsidRPr="00875071">
        <w:rPr>
          <w:sz w:val="16"/>
        </w:rPr>
        <w:t xml:space="preserve"> and Israel </w:t>
      </w:r>
      <w:r w:rsidRPr="00875071">
        <w:rPr>
          <w:rStyle w:val="StyleUnderline"/>
        </w:rPr>
        <w:t>have been accused of war crimes</w:t>
      </w:r>
      <w:r w:rsidRPr="00875071">
        <w:rPr>
          <w:sz w:val="16"/>
        </w:rPr>
        <w:t xml:space="preserve">, </w:t>
      </w:r>
      <w:r w:rsidRPr="00875071">
        <w:rPr>
          <w:rStyle w:val="StyleUnderline"/>
        </w:rPr>
        <w:t>and operate daily in</w:t>
      </w:r>
      <w:r w:rsidRPr="00875071">
        <w:rPr>
          <w:sz w:val="16"/>
        </w:rPr>
        <w:t xml:space="preserve"> what have been identified as </w:t>
      </w:r>
      <w:r w:rsidRPr="00FB2D65">
        <w:rPr>
          <w:rStyle w:val="StyleUnderline"/>
        </w:rPr>
        <w:t>illegal and immoral occupations</w:t>
      </w:r>
      <w:r w:rsidRPr="00875071">
        <w:rPr>
          <w:rStyle w:val="StyleUnderline"/>
        </w:rPr>
        <w:t xml:space="preserve"> of</w:t>
      </w:r>
      <w:r w:rsidRPr="00875071">
        <w:rPr>
          <w:sz w:val="16"/>
        </w:rPr>
        <w:t xml:space="preserve"> Palestine in the case of Israel and of </w:t>
      </w:r>
      <w:r w:rsidRPr="00875071">
        <w:rPr>
          <w:rStyle w:val="StyleUnderline"/>
        </w:rPr>
        <w:t>Puerto Rico, Guam, Hawaii, Alaska</w:t>
      </w:r>
      <w:r w:rsidRPr="00875071">
        <w:rPr>
          <w:sz w:val="16"/>
        </w:rPr>
        <w:t xml:space="preserve">, the part of North America currently known as </w:t>
      </w:r>
      <w:r w:rsidRPr="00875071">
        <w:rPr>
          <w:rStyle w:val="StyleUnderline"/>
        </w:rPr>
        <w:t>the continental United States, the Northern Mariana Islands, the Marshall Islands and more</w:t>
      </w:r>
      <w:r w:rsidRPr="00875071">
        <w:rPr>
          <w:sz w:val="16"/>
        </w:rPr>
        <w:t xml:space="preserve"> in the case of the U.S. </w:t>
      </w:r>
      <w:r w:rsidRPr="00875071">
        <w:rPr>
          <w:rStyle w:val="StyleUnderline"/>
        </w:rPr>
        <w:t xml:space="preserve">Internally, the U.S. military has a culture and practices of </w:t>
      </w:r>
      <w:r w:rsidRPr="00FB2D65">
        <w:rPr>
          <w:rStyle w:val="StyleUnderline"/>
        </w:rPr>
        <w:t>sexism, racism, and torture</w:t>
      </w:r>
      <w:r w:rsidRPr="00875071">
        <w:rPr>
          <w:rStyle w:val="StyleUnderline"/>
        </w:rPr>
        <w:t xml:space="preserve"> that have been consistently identified by survivors and critics</w:t>
      </w:r>
      <w:r w:rsidRPr="00875071">
        <w:rPr>
          <w:sz w:val="16"/>
        </w:rPr>
        <w:t xml:space="preserve">.35 Recent publications and the exposure of </w:t>
      </w:r>
      <w:r w:rsidRPr="00875071">
        <w:rPr>
          <w:sz w:val="16"/>
        </w:rPr>
        <w:lastRenderedPageBreak/>
        <w:t xml:space="preserve">classified documents have further highlighted </w:t>
      </w:r>
      <w:r w:rsidRPr="00875071">
        <w:rPr>
          <w:rStyle w:val="StyleUnderline"/>
        </w:rPr>
        <w:t>the lawless violence of the U.S. military</w:t>
      </w:r>
      <w:r w:rsidRPr="00875071">
        <w:rPr>
          <w:sz w:val="16"/>
        </w:rPr>
        <w:t xml:space="preserve"> and the ways that its operations, such as the occupation of Iraq, </w:t>
      </w:r>
      <w:r w:rsidRPr="00875071">
        <w:rPr>
          <w:rStyle w:val="StyleUnderline"/>
        </w:rPr>
        <w:t xml:space="preserve">are often motivated by </w:t>
      </w:r>
      <w:r w:rsidRPr="00FB2D65">
        <w:rPr>
          <w:rStyle w:val="StyleUnderline"/>
        </w:rPr>
        <w:t>profit-seeking corporations</w:t>
      </w:r>
      <w:r w:rsidRPr="00875071">
        <w:rPr>
          <w:rStyle w:val="StyleUnderline"/>
        </w:rPr>
        <w:t xml:space="preserve"> with high-level government ties rather than the democracy-spreading rationales commonly employed as justification</w:t>
      </w:r>
      <w:r w:rsidRPr="00875071">
        <w:rPr>
          <w:sz w:val="16"/>
        </w:rPr>
        <w:t xml:space="preserve">.36 The Israeli military’s record similarly shows that from the initial ethnic cleansing project undertaken in 1948 when over 400 Palestinian villages were destroyed, the Israeli government has used military power to forcibly settle the land it now occupies and remove, destroy and erase the prior inhabitants. The recent outcry against the atrocities committed by Israel on the inhabitants of Gaza as well as the Israeli military’s brutal 2010 attack on the flotilla bound for Gaza to deliver aid, have drawn further international attention.37 Israel’s increasing threats toward Iran are further building international opposition to Israeli militarism.38 Despite the long-term critique in many movements that define the American Left of militarism generally and U.S. and Israeli militarism specifically, the discourse about gay and lesbian soldiers serving in the U.S. and Israeli militaries has garnered support from many people who otherwise oppose the wars in Iraq and Afghanistan, Israeli attacks on Gaza in 2008-2009 and 2012, and other highly publicized Israeli and U.S. military activities. </w:t>
      </w:r>
      <w:r w:rsidRPr="00875071">
        <w:rPr>
          <w:rStyle w:val="StyleUnderline"/>
        </w:rPr>
        <w:t>Images of gay and lesbian servicemembers in uniform holding hands and kissing in front of national flags have successfully stirred patriotic and pro-military sentiment, deadening critical thinking about patriotism and militarism by asserting such sentiments as a form of sympathy for gay and lesbian people. This linking of anti-homophobia with pro-military sentiment is not solely operating in the symbolic realm, it is has also manifested in the material world</w:t>
      </w:r>
      <w:r w:rsidRPr="00875071">
        <w:rPr>
          <w:sz w:val="16"/>
        </w:rPr>
        <w:t xml:space="preserve">. In 2009, </w:t>
      </w:r>
      <w:r w:rsidRPr="00875071">
        <w:rPr>
          <w:rStyle w:val="StyleUnderline"/>
        </w:rPr>
        <w:t>the passage of the Matthew Shepard, James Byrd Jr. Act—the bill that added “sexual orientation” and “gender identity or expression” to the federal hate crimes statute as an amendment to the Fiscal Year 2008 Department of Defense Authorization bill</w:t>
      </w:r>
      <w:r w:rsidRPr="00875071">
        <w:rPr>
          <w:sz w:val="16"/>
        </w:rPr>
        <w:t xml:space="preserve">—was hailed as a victory by gay and lesbian rights advocates. The </w:t>
      </w:r>
      <w:r w:rsidRPr="00875071">
        <w:rPr>
          <w:rStyle w:val="StyleUnderline"/>
        </w:rPr>
        <w:t>bill set aside the highest amount of money ever provided to the Department of Defense in U.S. history</w:t>
      </w:r>
      <w:r w:rsidRPr="00875071">
        <w:rPr>
          <w:sz w:val="16"/>
        </w:rPr>
        <w:t xml:space="preserve">.39 </w:t>
      </w:r>
      <w:r w:rsidRPr="00875071">
        <w:rPr>
          <w:rStyle w:val="StyleUnderline"/>
        </w:rPr>
        <w:t>The increase in funding to the Department was made to cover the expense of Obama’s 100,000- person troop surge in Afghanistan</w:t>
      </w:r>
      <w:r w:rsidRPr="00875071">
        <w:rPr>
          <w:sz w:val="16"/>
        </w:rPr>
        <w:t xml:space="preserve">.40 Chandan Reddy has described the attachment of the hate crimes bill to the NDAA as “an act of genius” on the part of Congressional Democrats. Tying the federal LGBT hate crime legislation to a bill that raised military spending to its highest level in U.S. history brought Republican support needed to pass the hate crime law, since Republicans would favor the military expansion, and helped provide cover from attacks from the left on the military spending.41 </w:t>
      </w:r>
      <w:r w:rsidRPr="00875071">
        <w:rPr>
          <w:rStyle w:val="StyleUnderline"/>
        </w:rPr>
        <w:t>The attachment of the hate crime bill to the military spending hike is a literal illustration of the broader operation of anti-homophobic justifications for quieting critiques of the growing military and police apparatuses</w:t>
      </w:r>
      <w:r w:rsidRPr="00875071">
        <w:rPr>
          <w:sz w:val="16"/>
        </w:rPr>
        <w:t xml:space="preserve">.42 </w:t>
      </w:r>
      <w:r w:rsidRPr="00875071">
        <w:rPr>
          <w:rStyle w:val="StyleUnderline"/>
        </w:rPr>
        <w:t>Just as rightwing rhetoric about “family values” and backlash against feminism has helped critiques of marriage virtually disappear from American culture, the “War on Terror” context of heightened security rationales and feverish war-making has dimmed critical frameworks about defense spending and enabled new levels of secrecy in military actions to be justified and legitimized in U.S. culture and media.</w:t>
      </w:r>
      <w:r w:rsidRPr="00875071">
        <w:rPr>
          <w:sz w:val="16"/>
        </w:rPr>
        <w:t xml:space="preserve">43 In this environment, </w:t>
      </w:r>
      <w:r w:rsidRPr="00875071">
        <w:rPr>
          <w:rStyle w:val="StyleUnderline"/>
        </w:rPr>
        <w:t>romantic narratives about desire to serve in the U.S. military</w:t>
      </w:r>
      <w:r w:rsidRPr="00875071">
        <w:rPr>
          <w:sz w:val="16"/>
        </w:rPr>
        <w:t xml:space="preserve"> appear to be sufficiently stirred by the Don’t Ask, Don’t Tell (“DADT”) controversy, aided by ubiquitous imagery of gay soldiers kissing in uniform, to </w:t>
      </w:r>
      <w:r w:rsidRPr="00875071">
        <w:rPr>
          <w:rStyle w:val="StyleUnderline"/>
        </w:rPr>
        <w:t>obscure the current realities of U.S. military imperialism. More and more information circulates about heightening military violence, uses of torture, profit-based reasons for military occupations and the looting of U.S. tax dollars in those operations.</w:t>
      </w:r>
      <w:r w:rsidRPr="00875071">
        <w:rPr>
          <w:sz w:val="16"/>
        </w:rPr>
        <w:t xml:space="preserve"> Meanwhile </w:t>
      </w:r>
      <w:r w:rsidRPr="00875071">
        <w:rPr>
          <w:rStyle w:val="StyleUnderline"/>
        </w:rPr>
        <w:t>the loud drumbeat of anti-Muslim racism combines with the sentimental lovesongs of gay and lesbian military pride to drown out critiques of war and militarism</w:t>
      </w:r>
      <w:r w:rsidRPr="00875071">
        <w:rPr>
          <w:sz w:val="16"/>
        </w:rPr>
        <w:t>. Anti-homophobia operates as a fresh talking point in the portrayal of a U.S. military that brings “equality” and “democracy” to the Arab world. Similarly, long-term left critiques of marriage have been silenced by the combination of relentless right wing family values rhetoric and the articulation of the desirability of marriage by same-sex marriage advocacy. Messages long contested by feminists and anti-racists—such as that children benefit from being raised by married parents, that married people are healthier and contribute more to society, or that marriage recognizes the most important relationship people can have—are now mobilized by same-sex marriage advocates and judges writing decisions that are victories for same-sex marriage advocacy. These promarriage messages are now articulated as anti-homophobic statements in the arguments for same-sex marriage.</w:t>
      </w:r>
    </w:p>
    <w:p xmlns:wp14="http://schemas.microsoft.com/office/word/2010/wordml" w:rsidRPr="00D222E0" w:rsidR="008263E8" w:rsidP="008263E8" w:rsidRDefault="008263E8" w14:paraId="11CAE659" wp14:textId="77777777">
      <w:pPr>
        <w:rPr>
          <w:rStyle w:val="Style13ptBold"/>
        </w:rPr>
      </w:pPr>
      <w:r>
        <w:rPr>
          <w:rStyle w:val="Style13ptBold"/>
        </w:rPr>
        <w:t xml:space="preserve">Spade continues . . . </w:t>
      </w:r>
    </w:p>
    <w:p xmlns:wp14="http://schemas.microsoft.com/office/word/2010/wordml" w:rsidRPr="00F96C33" w:rsidR="008263E8" w:rsidP="008263E8" w:rsidRDefault="008263E8" w14:paraId="052385B8" wp14:textId="77777777">
      <w:pPr>
        <w:rPr>
          <w:rStyle w:val="StyleUnderline"/>
        </w:rPr>
      </w:pPr>
      <w:r w:rsidRPr="00D222E0">
        <w:rPr>
          <w:sz w:val="16"/>
        </w:rPr>
        <w:t xml:space="preserve">IV. CRITICAL QUEER AND TRANS POLITICS While the divides within queer and trans politics are not new, particularly between white gay and lesbian rights politics and racial justice centered queer and trans politics, </w:t>
      </w:r>
      <w:r w:rsidRPr="0022520C">
        <w:rPr>
          <w:rStyle w:val="StyleUnderline"/>
        </w:rPr>
        <w:t xml:space="preserve">the increasing use of the </w:t>
      </w:r>
      <w:r w:rsidRPr="0022520C">
        <w:rPr>
          <w:rStyle w:val="StyleUnderline"/>
        </w:rPr>
        <w:lastRenderedPageBreak/>
        <w:t>claim of gay-friendliness to obscure, justify and legitimize systems of racial and colonial violence are sharpening discernment in U.S. queer and trans politics regarding legal inclusion campaigns. As such campaigns have grown</w:t>
      </w:r>
      <w:r w:rsidRPr="00D222E0">
        <w:rPr>
          <w:sz w:val="16"/>
        </w:rPr>
        <w:t xml:space="preserve">, primarily focusing on marriage, military service, and hate crimes legislation, </w:t>
      </w:r>
      <w:r w:rsidRPr="0022520C">
        <w:rPr>
          <w:rStyle w:val="StyleUnderline"/>
        </w:rPr>
        <w:t>so has</w:t>
      </w:r>
      <w:r w:rsidRPr="00D222E0">
        <w:rPr>
          <w:sz w:val="16"/>
        </w:rPr>
        <w:t xml:space="preserve"> the critical scholarship examining the pitfalls of these strategies, as well as th</w:t>
      </w:r>
      <w:r w:rsidRPr="0022520C">
        <w:rPr>
          <w:rStyle w:val="StyleUnderline"/>
        </w:rPr>
        <w:t xml:space="preserve">e infrastructure of activist organizations and groups formed to pursue strategies that directly attack state violence against queer and trans people and that seek to </w:t>
      </w:r>
      <w:r w:rsidRPr="00FB2D65">
        <w:rPr>
          <w:rStyle w:val="StyleUnderline"/>
        </w:rPr>
        <w:t>dismantle, rather than join, institutions primarily responsible for such violence.</w:t>
      </w:r>
      <w:r w:rsidRPr="00D222E0">
        <w:rPr>
          <w:sz w:val="16"/>
        </w:rPr>
        <w:t xml:space="preserve"> </w:t>
      </w:r>
      <w:r w:rsidRPr="0022520C">
        <w:rPr>
          <w:rStyle w:val="StyleUnderline"/>
        </w:rPr>
        <w:t xml:space="preserve">These scholars and activists </w:t>
      </w:r>
      <w:r w:rsidRPr="00FB2D65">
        <w:rPr>
          <w:rStyle w:val="StyleUnderline"/>
        </w:rPr>
        <w:t>are suspicious of reforming institutions that are central nodes of racialized-gendered social control</w:t>
      </w:r>
      <w:r w:rsidRPr="00D222E0">
        <w:rPr>
          <w:sz w:val="16"/>
        </w:rPr>
        <w:t xml:space="preserve">. </w:t>
      </w:r>
      <w:r w:rsidRPr="00FB2D65">
        <w:rPr>
          <w:rStyle w:val="StyleUnderline"/>
        </w:rPr>
        <w:t>They ask questions about the nature of the institutions themselves, rather than believing that wrapping those things—police, prison cells, tanks, bulldozers, checkpoints, or family formation norms that determine immigration and health care access—in rainbow flags redeems them.</w:t>
      </w:r>
      <w:r w:rsidRPr="00D222E0">
        <w:rPr>
          <w:sz w:val="16"/>
        </w:rPr>
        <w:t xml:space="preserve"> The movement for Boycott, Divestment and Sanctions against Israel (which Israel has criminalized55) has worked to promote an understanding of Israel as an apartheid state often making comparisons to apartheid South Africa.56 This framework has helped many in the U.S. think more critically about Israeli institutions like Israeli marriage law that maintain separate tracks based on religious, ethnic and national identity. </w:t>
      </w:r>
      <w:r w:rsidRPr="0022520C">
        <w:rPr>
          <w:rStyle w:val="StyleUnderline"/>
        </w:rPr>
        <w:t>The idea that “good” policies about gay and lesbian rights in Israel and/or the U.S. are clear victories is increasingly contested</w:t>
      </w:r>
      <w:r w:rsidRPr="00D222E0">
        <w:rPr>
          <w:sz w:val="16"/>
        </w:rPr>
        <w:t xml:space="preserve">. Critics argue that the </w:t>
      </w:r>
      <w:r w:rsidRPr="0022520C">
        <w:rPr>
          <w:rStyle w:val="StyleUnderline"/>
        </w:rPr>
        <w:t>purported progress on these fronts has failed to actually address the ongoing harms queer and trans people face and the broader systems of gender and sexual normalization that make queer and trans life precarious</w:t>
      </w:r>
      <w:r w:rsidRPr="00D222E0">
        <w:rPr>
          <w:sz w:val="16"/>
        </w:rPr>
        <w:t xml:space="preserve">. Instead, </w:t>
      </w:r>
      <w:r w:rsidRPr="0022520C">
        <w:rPr>
          <w:rStyle w:val="StyleUnderline"/>
        </w:rPr>
        <w:t>the reforms advocated for primarily by white elites have offered symbolic change, or change that is only beneficial or most beneficial to elites, and/or have actually expanded or deepened technologies of control and violence.</w:t>
      </w:r>
      <w:r w:rsidRPr="00D222E0">
        <w:rPr>
          <w:sz w:val="16"/>
        </w:rPr>
        <w:t xml:space="preserve">57 </w:t>
      </w:r>
      <w:r w:rsidRPr="0022520C">
        <w:rPr>
          <w:rStyle w:val="StyleUnderline"/>
        </w:rPr>
        <w:t>As material conditions continue to worsen, including the maldistribution of wealth, environmental degradation and climate change, rising rates of criminalization and deportation, growing aggression toward Iran, continuing U.S. drone strikes and Obama’s embrace of austerity and preventive detention practices, continuing imprisonment and intermittent bombing of the population of Gaza, and theft of Palestinian land and water, the U.S. and Israel are heightening the use of gay and lesbian rights as a screen for conditions that are far from democratic or humane.</w:t>
      </w:r>
      <w:r w:rsidRPr="00D222E0">
        <w:rPr>
          <w:sz w:val="16"/>
        </w:rPr>
        <w:t xml:space="preserve"> Now more than ever, queer and trans people and others who care about dismantling violent gender, sexuality and family formation norms need to understand that the supposed privileges and indicators of human dignity being offered to select gay and lesbian citizens may be less desirable than the mystification of romantic love, military uniforms, and police protection make them appear to some. In fact, </w:t>
      </w:r>
      <w:r w:rsidRPr="0022520C">
        <w:rPr>
          <w:rStyle w:val="StyleUnderline"/>
        </w:rPr>
        <w:t xml:space="preserve">our imagination of a world without coercive and violent gender, sexuality, and family formation norms requires </w:t>
      </w:r>
      <w:r w:rsidRPr="00FB2D65">
        <w:rPr>
          <w:rStyle w:val="StyleUnderline"/>
        </w:rPr>
        <w:t>the elimination of militaries, borders, prisons, and civil marriage.</w:t>
      </w:r>
      <w:r w:rsidRPr="0022520C">
        <w:rPr>
          <w:rStyle w:val="StyleUnderline"/>
        </w:rPr>
        <w:t xml:space="preserve"> It is more important than</w:t>
      </w:r>
      <w:r w:rsidRPr="00D222E0">
        <w:rPr>
          <w:sz w:val="16"/>
        </w:rPr>
        <w:t xml:space="preserve"> ever for queer and trans people in the U.S. to see through the mystique around marriage practiced by the Perry v. Brown court, </w:t>
      </w:r>
      <w:r w:rsidRPr="0022520C">
        <w:rPr>
          <w:rStyle w:val="StyleUnderline"/>
        </w:rPr>
        <w:t>to think about the material conditions that are matters of survival for queer and trans people and everyone</w:t>
      </w:r>
      <w:r w:rsidRPr="00D222E0">
        <w:rPr>
          <w:sz w:val="16"/>
        </w:rPr>
        <w:t xml:space="preserve">, and imagine resistance that actually addresses those needs. Fighting oil wars, taking on wedding debt only to find that neither you nor your new spouse have a pension or wealth to share and that other government programs you hoped to benefit from have been gutted by austerity measures, or living under criminal punishment statutes that will in no way prevent you from being harmed but that continue to fill the prisons in your town is unlikely to satisfy our urgent need for change. </w:t>
      </w:r>
      <w:r w:rsidRPr="003C7405">
        <w:rPr>
          <w:rStyle w:val="StyleUnderline"/>
        </w:rPr>
        <w:t xml:space="preserve">The contemporary gay rights agenda is not satisfying, but it has on its side more </w:t>
      </w:r>
      <w:r w:rsidRPr="00FB2D65">
        <w:rPr>
          <w:rStyle w:val="StyleUnderline"/>
        </w:rPr>
        <w:t>advertising dollars,</w:t>
      </w:r>
      <w:r w:rsidRPr="003C7405">
        <w:rPr>
          <w:rStyle w:val="StyleUnderline"/>
        </w:rPr>
        <w:t xml:space="preserve"> closer connections to existing government institutions, the support of the wealthiest, whitest gay and lesbian people who have the least to complain about in the current system, and </w:t>
      </w:r>
      <w:r w:rsidRPr="00FB2D65">
        <w:rPr>
          <w:rStyle w:val="StyleUnderline"/>
        </w:rPr>
        <w:t>deeply racist and sexist national mythology</w:t>
      </w:r>
      <w:r w:rsidRPr="003C7405">
        <w:rPr>
          <w:rStyle w:val="StyleUnderline"/>
        </w:rPr>
        <w:t xml:space="preserve">. As its </w:t>
      </w:r>
      <w:r w:rsidRPr="00FB2D65">
        <w:rPr>
          <w:rStyle w:val="StyleUnderline"/>
        </w:rPr>
        <w:t>alignment with settler colonialism, militarism, and criminalization</w:t>
      </w:r>
      <w:r w:rsidRPr="003C7405">
        <w:rPr>
          <w:rStyle w:val="StyleUnderline"/>
        </w:rPr>
        <w:t xml:space="preserve"> continue to be revealed </w:t>
      </w:r>
      <w:r w:rsidRPr="00D222E0">
        <w:rPr>
          <w:sz w:val="16"/>
        </w:rPr>
        <w:t xml:space="preserve">in sharp definition by the actions of U.S. and Israeli leaders, </w:t>
      </w:r>
      <w:r w:rsidRPr="00D222E0">
        <w:rPr>
          <w:rStyle w:val="StyleUnderline"/>
        </w:rPr>
        <w:t>the nature of marriage and the military become more pressing areas for analysis and discernment for queer and trans politics.</w:t>
      </w:r>
    </w:p>
    <w:p xmlns:wp14="http://schemas.microsoft.com/office/word/2010/wordml" w:rsidRPr="00FB3079" w:rsidR="008263E8" w:rsidP="008263E8" w:rsidRDefault="008263E8" w14:paraId="2C05D838" wp14:textId="77777777">
      <w:pPr>
        <w:pStyle w:val="Heading4"/>
      </w:pPr>
      <w:r w:rsidRPr="00FB3079">
        <w:lastRenderedPageBreak/>
        <w:t xml:space="preserve">The promise of liberal state action functions through a libidinal economy of benevolence that necessitates a nonpromise and only seeks to produce more enemies and expand the empires reach. Only through absolute refusal of such structures can insurgent political action be made </w:t>
      </w:r>
    </w:p>
    <w:p xmlns:wp14="http://schemas.microsoft.com/office/word/2010/wordml" w:rsidRPr="00FB3079" w:rsidR="008263E8" w:rsidP="008263E8" w:rsidRDefault="008263E8" w14:paraId="69ABF3AB" wp14:textId="77777777">
      <w:r w:rsidRPr="00FB3079">
        <w:rPr>
          <w:rStyle w:val="Style13ptBold"/>
        </w:rPr>
        <w:t>Agathangelou, et al ‘08</w:t>
      </w:r>
      <w:r w:rsidRPr="00FB3079">
        <w:t xml:space="preserve">  [Anna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Pg. 137-139]</w:t>
      </w:r>
    </w:p>
    <w:p xmlns:wp14="http://schemas.microsoft.com/office/word/2010/wordml" w:rsidRPr="00F96C33" w:rsidR="008263E8" w:rsidP="008263E8" w:rsidRDefault="008263E8" w14:paraId="3F4A4C63" wp14:textId="77777777">
      <w:pPr>
        <w:rPr>
          <w:rStyle w:val="StyleUnderline"/>
        </w:rPr>
      </w:pPr>
      <w:r w:rsidRPr="00F96C33">
        <w:rPr>
          <w:rStyle w:val="StyleUnderline"/>
        </w:rPr>
        <w:t xml:space="preserve">Global lockdown thus functions as one of the looming underbellies and con- ditions of possibility of the (un)freedoms and (non)futures being promised by neo-liberal empire. Consigning the collective traumas of slavery and colonization to a remote and irrelevant past while drawing on their logics to instantiate its rule, global lockdown shows itself to be neither cruel and unusual nor exceptional, but rather as foundational. </w:t>
      </w:r>
      <w:r w:rsidRPr="006C71B6">
        <w:rPr>
          <w:rFonts w:cs="Calibri"/>
        </w:rPr>
        <w:t>Importantly, these (un)freedoms and (non)futures carry very different promises and pleasures depending on our relationship to the human surplus motor-ing the global political economy</w:t>
      </w:r>
      <w:r w:rsidRPr="00F96C33">
        <w:rPr>
          <w:rStyle w:val="StyleUnderline"/>
        </w:rPr>
        <w:t xml:space="preserve">. Global lockdown, then, is not simply the newest outside, but quite literally the material redefining off what life can even mean in the wake of so much “necessary” death. </w:t>
      </w:r>
    </w:p>
    <w:p xmlns:wp14="http://schemas.microsoft.com/office/word/2010/wordml" w:rsidRPr="00F96C33" w:rsidR="008263E8" w:rsidP="008263E8" w:rsidRDefault="008263E8" w14:paraId="3F932ABF" wp14:textId="77777777">
      <w:pPr>
        <w:rPr>
          <w:rStyle w:val="StyleUnderline"/>
        </w:rPr>
      </w:pPr>
      <w:r w:rsidRPr="006C71B6">
        <w:rPr>
          <w:rFonts w:cs="Calibri"/>
        </w:rPr>
        <w:t xml:space="preserve">Toward an Intimate Politics of Decolonizing Abolitionism We have thus far argued that across diffuse spaces and moments — </w:t>
      </w:r>
      <w:r w:rsidRPr="00F96C33">
        <w:rPr>
          <w:rStyle w:val="StyleUnderline"/>
        </w:rPr>
        <w:t>the homonormative turn, the neoliberalization of the economy, the war on terror, and global lockdown — we see different dimensions of a promise project, which is also a project forever seeking to (re)consolidate empire</w:t>
      </w:r>
      <w:r w:rsidRPr="006C71B6">
        <w:rPr>
          <w:rFonts w:cs="Calibri"/>
        </w:rPr>
        <w:t xml:space="preserve">. </w:t>
      </w:r>
      <w:r w:rsidRPr="00F96C33">
        <w:rPr>
          <w:rStyle w:val="StyleUnderline"/>
        </w:rPr>
        <w:t>On the one hand, there are those for whom subjectivity, capital, and satiating pleasures and rights are being forever promised. This occurs, we argue, at the expense of compliance with, or perhaps distraction from, the larger structural underpinnings of social relations and processes</w:t>
      </w:r>
      <w:r w:rsidRPr="006C71B6">
        <w:rPr>
          <w:rFonts w:cs="Calibri"/>
        </w:rPr>
        <w:t xml:space="preserve">. On the other hand, there are the (non)subjects for whom the same promise has not been issued, the abject(s) whose lives and </w:t>
      </w:r>
      <w:r w:rsidRPr="00F96C33">
        <w:rPr>
          <w:rStyle w:val="StyleUnderline"/>
        </w:rPr>
        <w:t>deaths</w:t>
      </w:r>
      <w:r w:rsidRPr="006C71B6">
        <w:rPr>
          <w:rFonts w:cs="Calibri"/>
        </w:rPr>
        <w:t xml:space="preserve"> are completely nonspectacular within the dominant imaginations. </w:t>
      </w:r>
      <w:r w:rsidRPr="00F96C33">
        <w:rPr>
          <w:rStyle w:val="StyleUnderline"/>
        </w:rPr>
        <w:t>Adding to this contradiction is the dimension that even the promises themselves are tenuous: indeed, as elite queers privilege homonormativity over more radical political and economic praxes, neoconservative forces continue to criminalize queerness</w:t>
      </w:r>
      <w:r w:rsidRPr="006C71B6">
        <w:rPr>
          <w:rFonts w:cs="Calibri"/>
        </w:rPr>
        <w:t xml:space="preserve">. </w:t>
      </w:r>
      <w:r w:rsidRPr="00F96C33">
        <w:rPr>
          <w:rStyle w:val="StyleUnderline"/>
        </w:rPr>
        <w:t>While first and foremost queers outside this elite or national racial strata are produced as exterminable sodomites</w:t>
      </w:r>
      <w:r w:rsidRPr="006C71B6">
        <w:rPr>
          <w:rFonts w:cs="Calibri"/>
        </w:rPr>
        <w:t xml:space="preserve">, the category of the abject and killable always threatens even elite queers in first world spaces. This is part of the politico-economic and affective logics that have fueled a frenzied search for an end to pain: continue imperial soldiering in exchange for a mirage of security, or spend your energies fighting other queers for a prized space as most radical. </w:t>
      </w:r>
      <w:r w:rsidRPr="00F96C33">
        <w:rPr>
          <w:rStyle w:val="StyleUnderline"/>
        </w:rPr>
        <w:t xml:space="preserve">With such a paucity of choices, our energies are directed away from building solidarities and exhausted by fixing on individualized solutions and fueling the (re)production of neoliberal, neoconservative, homonormative, and ultimately heteronormative worlds. </w:t>
      </w:r>
      <w:r w:rsidRPr="006C71B6">
        <w:rPr>
          <w:rFonts w:cs="Calibri"/>
        </w:rPr>
        <w:t xml:space="preserve">If the neoliberal turn has been part of a larger strategy of counterinsurgency mobilized in the wake of revolutionary decolonization movements threatening capitalism, (hetero)sexism, and white supremacy, </w:t>
      </w:r>
      <w:r w:rsidRPr="00F96C33">
        <w:rPr>
          <w:rStyle w:val="StyleUnderline"/>
        </w:rPr>
        <w:t>it is important to pause on some of the impacts of that (counter)mobilization.</w:t>
      </w:r>
      <w:r w:rsidRPr="006C71B6">
        <w:rPr>
          <w:rFonts w:cs="Calibri"/>
        </w:rPr>
        <w:t xml:space="preserve"> In this paper we have worked to foreground the affective logics that function on the level of feeling and desire in the service of a neoliberal project of a world remade. </w:t>
      </w:r>
      <w:r w:rsidRPr="00F96C33">
        <w:rPr>
          <w:rStyle w:val="StyleUnderline"/>
        </w:rPr>
        <w:t xml:space="preserve">To begin to articulate the ways in which our most ‘intimate’ </w:t>
      </w:r>
      <w:r w:rsidRPr="00F96C33">
        <w:rPr>
          <w:rStyle w:val="StyleUnderline"/>
        </w:rPr>
        <w:lastRenderedPageBreak/>
        <w:t>sensibilities — our fears, desires, mourning, and yearning — are being mobilized by a regime of global lockdown is to make urgent the production of solidarities not premised upon exploitation, profit, or death</w:t>
      </w:r>
      <w:r w:rsidRPr="006C71B6">
        <w:rPr>
          <w:rFonts w:cs="Calibri"/>
        </w:rPr>
        <w:t xml:space="preserve">. For those engaged in movements dismantling the prison industrial complex and any form of imperial violence, </w:t>
      </w:r>
      <w:r w:rsidRPr="00F96C33">
        <w:rPr>
          <w:rStyle w:val="StyleUnderline"/>
        </w:rPr>
        <w:t>it is precisely these affective economies to which we must be attentive</w:t>
      </w:r>
      <w:r w:rsidRPr="006C71B6">
        <w:rPr>
          <w:rFonts w:cs="Calibri"/>
        </w:rPr>
        <w:t xml:space="preserve">. </w:t>
      </w:r>
      <w:r w:rsidRPr="00F96C33">
        <w:rPr>
          <w:rStyle w:val="StyleUnderline"/>
        </w:rPr>
        <w:t>If we do not work to articulate the ways in which we become libidinally and erotically invested in the status quo of mass lockdown — in effect, the various promises that the prison issues—we run the risk of reproducing the racialized and sexualized economies of benevolence and exploitation that fortify so much of conservative, liberal, and even radical praxis.</w:t>
      </w:r>
      <w:r w:rsidRPr="006C71B6">
        <w:rPr>
          <w:rFonts w:cs="Calibri"/>
        </w:rPr>
        <w:t xml:space="preserve"> However, as we have sought to argue, the price of such dismissals is nothing less than participation in imperial violence that, ultimately, impacts us all. Amidst the many affective callings and seductive offerings we are issued, we must continue the work of imagining alternative ways to feel, be, and love in this moment of intensified empire-building. </w:t>
      </w:r>
      <w:r w:rsidRPr="00F96C33">
        <w:rPr>
          <w:rStyle w:val="StyleUnderline"/>
        </w:rPr>
        <w:t>To become completely drawn into challenging homonormativization without attention to the larger structural underpinnings of social relations and processes may ultimately prove unproductive as it misses the larger imperial logics that may be embodied differentially in other sites. Moreover, it becomes impossible to discern the relationship between our own struggles and the set of promises and nonpromises offered to other others.</w:t>
      </w:r>
      <w:r w:rsidRPr="006C71B6">
        <w:rPr>
          <w:rFonts w:cs="Calibri"/>
        </w:rPr>
        <w:t xml:space="preserve"> Foreclosing potential and increasingly crucial solidarities, we are drawn into our own corners and ultimately diverted from the possibilities of massive, cross-bordered mobilizations, movements and revolutionary projects. </w:t>
      </w:r>
      <w:r w:rsidRPr="00F96C33">
        <w:rPr>
          <w:rStyle w:val="StyleUnderline"/>
        </w:rPr>
        <w:t xml:space="preserve">In the place of this vision, </w:t>
      </w:r>
      <w:r w:rsidRPr="006C71B6">
        <w:rPr>
          <w:rFonts w:cs="Calibri"/>
          <w:b/>
          <w:u w:val="single"/>
        </w:rPr>
        <w:t>we offer first and foremost a disruption of complicity, a refusal of empire’s promise project</w:t>
      </w:r>
      <w:r w:rsidRPr="006C71B6">
        <w:rPr>
          <w:rFonts w:cs="Calibri"/>
        </w:rPr>
        <w:t xml:space="preserve">. The series of wars in which empire asks us to participate are utterly genocidal, rather than constituting processes that enable our security and healing. As members of different and overlapping communities and struggles, the authors have each grappled personally with this process. As activists and intellectuals who are engaged in struggles around war, migration and traficking, labor and homelessness, mass imprisonment, and state violence against queer and transgender communities, we are confronted with the seductive — yet ultimately murderous — promises that are described in this essay. Moreover, as members of the academy at different levels (undergraduate student, graduate student, and faculty member), we have witnessed how the strategies of promise and nonpromise projects have worked to fragment, divide, and conquer people of color, working-class people, queers, transgender people, postcolonial subjects, and others within powerful academic zones of knowledge production. </w:t>
      </w:r>
      <w:r w:rsidRPr="00F96C33">
        <w:rPr>
          <w:rStyle w:val="StyleUnderline"/>
        </w:rPr>
        <w:t>Recognizing that we can never be outside empire’s seductive offerings, we engage these questions out of rage, hope, and the desire to form life-sustaining solidarities and intimacies. We strive with others toward a politics that enables intimacies as both means and ends, as a strategy of movement-building in which relationships are formed not to instantiate empire’s incessant production of internal and external enemies, but to disrupt it</w:t>
      </w:r>
      <w:r w:rsidRPr="006C71B6">
        <w:rPr>
          <w:rFonts w:cs="Calibri"/>
        </w:rPr>
        <w:t xml:space="preserve">. </w:t>
      </w:r>
      <w:r w:rsidRPr="00F96C33">
        <w:rPr>
          <w:rStyle w:val="StyleUnderline"/>
        </w:rPr>
        <w:t xml:space="preserve">This is a politics that would challenge histories that dichotomize and fragment our worlds, and instead offer praxes of erotic resistance in which we might be able to glimpse a breathing space for reconstituting connections and relations based in collectivity and healing. </w:t>
      </w:r>
      <w:r w:rsidRPr="006C71B6">
        <w:rPr>
          <w:rFonts w:cs="Calibri"/>
        </w:rPr>
        <w:t xml:space="preserve">With this analysis in mind, all attempts to separate and make discrete strug- gles for social justice and transformation — those working for prison abolition, sexual and gender freedom, decolonization, and the end to war, for example — prove unsuc- cessful. They are always already imbricated in one another. When one struggles to resist coercive sexual or gender regimes — heternormativization as well as homonor- mativization — one is already engaging in a politics deeply implicated in the wars on terror, poverty, and drugs, and in the (neo)slaveries of the prison industrial complex. This is true not </w:t>
      </w:r>
      <w:r w:rsidRPr="006C71B6">
        <w:rPr>
          <w:rFonts w:cs="Calibri"/>
        </w:rPr>
        <w:lastRenderedPageBreak/>
        <w:t xml:space="preserve">only because of the devastating impacts these wars have had on queer communities and sexually aberrant (non)subjects locked away, and because of the ways in which a racializing “sodomoti cation” is drawn on to produce the crimi- nal and the terrorist. </w:t>
      </w:r>
      <w:r w:rsidRPr="00F96C33">
        <w:rPr>
          <w:rStyle w:val="StyleUnderline"/>
        </w:rPr>
        <w:t>Indeed, the violence and death that we authorize and face operate through and within our libidinal, erotic, and affective investments, investments that we must engage directly and rigorously if we are to disrupt the seductive workings of power in their most intimate dimensions.</w:t>
      </w:r>
      <w:r w:rsidRPr="006C71B6">
        <w:rPr>
          <w:rFonts w:cs="Calibri"/>
        </w:rPr>
        <w:t xml:space="preserve"> If, then, all queer politics are already organizing around and implicated in the buildup of global lockdown and imperialist war, the question is not if a praxis of decolonization and abolitionism is pertinent to queer struggles, but how and why it is. </w:t>
      </w:r>
      <w:r w:rsidRPr="00F96C33">
        <w:rPr>
          <w:rStyle w:val="StyleUnderline"/>
        </w:rPr>
        <w:t xml:space="preserve">If it is true that our deepest desires, feelings, and arousals are tapped into for imperial production, it also becomes crucial to ask how we might organize, mobilize, and form alternative intimacies and desires. These alternatives, which continue to be nurtured in radical and revolutionary movements and collectivities, are forged as a disruption to individualized, consumptive, and privatized erotics in the name of broader collective projects of freedom and transformation that cultivate the plea- sures of substantial connection and the production of more egalitarian relations. </w:t>
      </w:r>
      <w:r w:rsidRPr="006C71B6">
        <w:rPr>
          <w:rFonts w:cs="Calibri"/>
        </w:rPr>
        <w:t xml:space="preserve">These are the intimacies that form the core of decolonizing imaginaries, those that understand sexual freedom only through collective self-determination. </w:t>
      </w:r>
      <w:r w:rsidRPr="00F96C33">
        <w:rPr>
          <w:rStyle w:val="StyleUnderline"/>
        </w:rPr>
        <w:t xml:space="preserve">It is only when we engage the traumas as well as the yearnings of our pasts and our futures that we might be able to seize the possibilities increasingly foreclosed by empire’s seductive promises. </w:t>
      </w:r>
    </w:p>
    <w:p xmlns:wp14="http://schemas.microsoft.com/office/word/2010/wordml" w:rsidRPr="00BA002A" w:rsidR="008263E8" w:rsidP="008263E8" w:rsidRDefault="008263E8" w14:paraId="16052750" wp14:textId="77777777">
      <w:pPr>
        <w:pStyle w:val="Heading4"/>
        <w:rPr>
          <w:rFonts w:cs="Calibri"/>
        </w:rPr>
      </w:pPr>
      <w:r>
        <w:rPr>
          <w:rFonts w:cs="Calibri"/>
        </w:rPr>
        <w:t>Q</w:t>
      </w:r>
      <w:r w:rsidRPr="006C71B6">
        <w:rPr>
          <w:rFonts w:cs="Calibri"/>
        </w:rPr>
        <w:t xml:space="preserve">ueerness </w:t>
      </w:r>
      <w:r>
        <w:rPr>
          <w:rFonts w:cs="Calibri"/>
        </w:rPr>
        <w:t>has become</w:t>
      </w:r>
      <w:r w:rsidRPr="006C71B6">
        <w:rPr>
          <w:rFonts w:cs="Calibri"/>
        </w:rPr>
        <w:t xml:space="preserve"> </w:t>
      </w:r>
      <w:r>
        <w:rPr>
          <w:rFonts w:cs="Calibri"/>
        </w:rPr>
        <w:t>synonymous</w:t>
      </w:r>
      <w:r w:rsidRPr="006C71B6">
        <w:rPr>
          <w:rFonts w:cs="Calibri"/>
        </w:rPr>
        <w:t xml:space="preserve"> with American, and the production of the “other” is at the heart of the homonational American project. We are forced to forget the past in place of a more “tolerant” future, a promise replaced by a (non)promise just as sweet. Desire is mobilized to fuel the war on terror and sexuality is privatized so as to limit the opportunity for the queer subject to </w:t>
      </w:r>
      <w:r>
        <w:rPr>
          <w:rFonts w:cs="Calibri"/>
        </w:rPr>
        <w:t>intervene</w:t>
      </w:r>
      <w:r w:rsidRPr="006C71B6">
        <w:rPr>
          <w:rFonts w:cs="Calibri"/>
        </w:rPr>
        <w:t xml:space="preserve"> with the nations necropolitical death machine</w:t>
      </w:r>
      <w:r>
        <w:rPr>
          <w:rFonts w:cs="Calibri"/>
        </w:rPr>
        <w:t xml:space="preserve">. Framework </w:t>
      </w:r>
      <w:r>
        <w:rPr>
          <w:rFonts w:cs="Calibri"/>
          <w:u w:val="single"/>
        </w:rPr>
        <w:t>is</w:t>
      </w:r>
      <w:r>
        <w:rPr>
          <w:rFonts w:cs="Calibri"/>
        </w:rPr>
        <w:t xml:space="preserve"> the nonpromise of the nation-state in that it offers us entrance across the border into the US nation-state.</w:t>
      </w:r>
    </w:p>
    <w:p xmlns:wp14="http://schemas.microsoft.com/office/word/2010/wordml" w:rsidR="008263E8" w:rsidP="008263E8" w:rsidRDefault="008263E8" w14:paraId="614D4B00" wp14:textId="77777777">
      <w:pPr>
        <w:spacing w:after="0" w:line="240" w:lineRule="auto"/>
        <w:rPr>
          <w:rFonts w:cs="Calibri"/>
          <w:sz w:val="16"/>
          <w:szCs w:val="26"/>
        </w:rPr>
      </w:pPr>
      <w:r w:rsidRPr="00BA002A">
        <w:rPr>
          <w:rStyle w:val="Style13ptBold"/>
          <w:rFonts w:cs="Calibri"/>
          <w:szCs w:val="26"/>
        </w:rPr>
        <w:t>Agathaneglou 8</w:t>
      </w:r>
      <w:r w:rsidRPr="00F96C33">
        <w:rPr>
          <w:sz w:val="16"/>
        </w:rPr>
        <w:t xml:space="preserve"> (</w:t>
      </w:r>
      <w:r w:rsidRPr="00F96C33">
        <w:rPr>
          <w:rFonts w:cs="Calibri"/>
          <w:sz w:val="16"/>
          <w:szCs w:val="26"/>
        </w:rPr>
        <w:t>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Pages 128-134 //Starboy)</w:t>
      </w:r>
    </w:p>
    <w:p xmlns:wp14="http://schemas.microsoft.com/office/word/2010/wordml" w:rsidRPr="00BA002A" w:rsidR="008263E8" w:rsidP="008263E8" w:rsidRDefault="008263E8" w14:paraId="65F9C3DC" wp14:textId="77777777">
      <w:pPr>
        <w:spacing w:after="0" w:line="240" w:lineRule="auto"/>
        <w:rPr>
          <w:rStyle w:val="Style13ptBold"/>
          <w:rFonts w:cs="Calibri"/>
          <w:szCs w:val="26"/>
        </w:rPr>
      </w:pPr>
    </w:p>
    <w:p xmlns:wp14="http://schemas.microsoft.com/office/word/2010/wordml" w:rsidRPr="006C71B6" w:rsidR="008263E8" w:rsidP="008263E8" w:rsidRDefault="008263E8" w14:paraId="3BE33E71" wp14:textId="77777777">
      <w:pPr>
        <w:spacing w:after="0" w:line="240" w:lineRule="auto"/>
        <w:rPr>
          <w:rFonts w:eastAsia="Times New Roman" w:cs="Calibri"/>
          <w:sz w:val="16"/>
        </w:rPr>
      </w:pPr>
      <w:r w:rsidRPr="006C71B6">
        <w:rPr>
          <w:rFonts w:eastAsia="Times New Roman" w:cs="Calibri"/>
          <w:sz w:val="16"/>
        </w:rPr>
        <w:t xml:space="preserve">With this in mind, we might return to the HRC advertisement to consider the process of nation- and empire-building operating through the practice of enemy production and the mobilization of desire. Looking more closely at the visual economies on which the advertisement draws, it is clear that the image of a white gay man holding a picture of his dead lover harkens back to other moments of mourning and loss within collective queer memory, especially those of the HIV/AIDS epidemic.25 The photograph invokes an earlier moment of mass death (which, evidently, has shifted its target since the rise of the epidemic in predominately white gay communities in the late 1980s). </w:t>
      </w:r>
      <w:r w:rsidRPr="006C71B6">
        <w:rPr>
          <w:rStyle w:val="StyleUnderline"/>
          <w:rFonts w:cs="Calibri"/>
        </w:rPr>
        <w:t>The reader, constructed as queer or queer friendly, is meant to breathe a sigh of relief: this is not a death caused by egregious neglect and disavowal on the part of the state, the medical establishment, or our own families. Nor shall this particular death be blamed on poverty, discrimination, or the lack of any substantial welfare state or safety net to care for the working poor. Rather, in a swift and powerful reversal, the enemy is no longer the establishment but rather the “terrorist.” Killed or left to die not because he is queer but because he is American, Bradkowski’s lover’s death constitutes a neoliberal replay of queer mourning that solicits racist, xenophobic protection as the only way to redress the pain, insecurity, and even homo- and queerphobia that is left intact throughout this process.</w:t>
      </w:r>
      <w:r w:rsidRPr="006C71B6">
        <w:rPr>
          <w:rFonts w:eastAsia="Times New Roman" w:cs="Calibri"/>
          <w:sz w:val="16"/>
        </w:rPr>
        <w:t xml:space="preserve"> Consigned now to the “past” is the ever-ravaging pandemic that continues to steal the lives of millions of poor and working-class people and people of color worldwide. Thinly covered over as well is the threat of death, the ongoing pain, despair, and grief that Bradkowski and his generation, race, and class </w:t>
      </w:r>
      <w:r w:rsidRPr="006C71B6">
        <w:rPr>
          <w:rFonts w:eastAsia="Times New Roman" w:cs="Calibri"/>
          <w:sz w:val="16"/>
        </w:rPr>
        <w:lastRenderedPageBreak/>
        <w:t xml:space="preserve">of queers faced two decades ago. As we discuss, these </w:t>
      </w:r>
      <w:r w:rsidRPr="006C71B6">
        <w:rPr>
          <w:rStyle w:val="StyleUnderline"/>
          <w:rFonts w:cs="Calibri"/>
        </w:rPr>
        <w:t>forceful forgettings and re-memberings of life lost and discarded are vital strategies for the consolidation of the new world order</w:t>
      </w:r>
      <w:r w:rsidRPr="006C71B6">
        <w:rPr>
          <w:rFonts w:eastAsia="Times New Roman" w:cs="Calibri"/>
          <w:sz w:val="16"/>
        </w:rPr>
        <w:t xml:space="preserve">. With this analysis in mind, we argue that </w:t>
      </w:r>
      <w:r w:rsidRPr="006C71B6">
        <w:rPr>
          <w:rStyle w:val="StyleUnderline"/>
          <w:rFonts w:cs="Calibri"/>
        </w:rPr>
        <w:t>the homonormative turn must be located within a larger imperial project of promises and nonpromises that, while contingent on incitements to fantasy and the mobilization of desire, cannot be confined to questions of “queer politics” as such.</w:t>
      </w:r>
      <w:r w:rsidRPr="006C71B6">
        <w:rPr>
          <w:rFonts w:eastAsia="Times New Roman" w:cs="Calibri"/>
          <w:sz w:val="16"/>
        </w:rPr>
        <w:t xml:space="preserve"> It is thus critical to connect various forms of homonormativization that fall outside of what is commonly identified as “the homonormative”—or even “the sexual”—to expose how this strategy of seduction as an affective calling is issued in varied and contradictory sites. For instance, </w:t>
      </w:r>
      <w:r w:rsidRPr="006C71B6">
        <w:rPr>
          <w:rStyle w:val="StyleUnderline"/>
          <w:rFonts w:cs="Calibri"/>
        </w:rPr>
        <w:t>as critical postcolonial and women of color feminists have pointed out, many social movements in the process of acquiring funds have “NGOinized”</w:t>
      </w:r>
      <w:r w:rsidRPr="006C71B6">
        <w:rPr>
          <w:rFonts w:eastAsia="Times New Roman" w:cs="Calibri"/>
          <w:sz w:val="16"/>
        </w:rPr>
        <w:t xml:space="preserve"> themselves, albeit contradictorily, </w:t>
      </w:r>
      <w:r w:rsidRPr="006C71B6">
        <w:rPr>
          <w:rStyle w:val="StyleUnderline"/>
          <w:rFonts w:cs="Calibri"/>
        </w:rPr>
        <w:t>as a “non-profit-industrial-complex” has been built up</w:t>
      </w:r>
      <w:r w:rsidRPr="006C71B6">
        <w:rPr>
          <w:rFonts w:eastAsia="Times New Roman" w:cs="Calibri"/>
          <w:sz w:val="16"/>
        </w:rPr>
        <w:t xml:space="preserve">. In exchange for funding, this critique argues, </w:t>
      </w:r>
      <w:r w:rsidRPr="006C71B6">
        <w:rPr>
          <w:rStyle w:val="StyleUnderline"/>
          <w:rFonts w:cs="Calibri"/>
        </w:rPr>
        <w:t>NGOization has served to reroute radical political goals to desires for legitimacy, professionalization, and (relative) power. Thus it is not only queers in the first world context whose intimate desires, feelings, needs, and hopes are sites of value for empire and neoliberal capitalism to draw into their fold, but all of us</w:t>
      </w:r>
      <w:r w:rsidRPr="006C71B6">
        <w:rPr>
          <w:rFonts w:eastAsia="Times New Roman" w:cs="Calibri"/>
          <w:sz w:val="16"/>
        </w:rPr>
        <w:t xml:space="preserve">. In these instances, </w:t>
      </w:r>
      <w:r w:rsidRPr="006C71B6">
        <w:rPr>
          <w:rStyle w:val="StyleUnderline"/>
          <w:rFonts w:cs="Calibri"/>
        </w:rPr>
        <w:t>seduction toward something better promises subjects an end to pain, marginalization, and violence in exchange for being recognized as legitimate subjects who can potentially participate in global capitalist relations and its futures—collusion becomes the cost of belonging. Lest we slip (back) into the realm of the hated, the despised, the killable, and the disposable (that is, if we ever had a chance to leave), we must actively support and often embody the threat of force that lies on the other side of this tenuous promise, or so the logic goes</w:t>
      </w:r>
      <w:r w:rsidRPr="006C71B6">
        <w:rPr>
          <w:rFonts w:eastAsia="Times New Roman" w:cs="Calibri"/>
          <w:sz w:val="16"/>
        </w:rPr>
        <w:t xml:space="preserve">. Stressing this politico-economic context, it becomes possible to read many of the contradictions of the homonormative moment alongside and within the recent intensification of the war on terror and of global lockdown. One could argue that it is not a coincidence that the Supreme Court reversed its decision on sodomy during the period in which the United States penetrated Afghanistan and Iraq. One may wonder what is at stake in these simultaneous modes of power relations: war and death, on the one hand, and the reinsertion of the constitutional rights of “sodomites,” on the other. </w:t>
      </w:r>
      <w:r w:rsidRPr="006C71B6">
        <w:rPr>
          <w:rStyle w:val="StyleUnderline"/>
          <w:rFonts w:cs="Calibri"/>
        </w:rPr>
        <w:t>If, for a second, we read the granting of constitutional rights to queer subjects as the moment at which a war becomes deployed on the bodies of Afghanis and Iraqis, then we may wonder what is at stake with regard to the imperial order and its necessary subjects</w:t>
      </w:r>
      <w:r w:rsidRPr="006C71B6">
        <w:rPr>
          <w:rFonts w:eastAsia="Times New Roman" w:cs="Calibri"/>
          <w:sz w:val="16"/>
        </w:rPr>
        <w:t xml:space="preserve">. Are the imperial order and its necessary subjects in crisis? Do these become strategies of reinserting a particular order and granting legitimacy to specific subjects, or do these become strategies of discipline and control within defined borders while anarchy and death are unleashed on others? First, we must contextualize the Lawrence and Garner v. State of Texas decision. It is important to note that while Chief Justice John Roberts called for the support of the U.S. queers rights, he simultaneously called for the Guantánamo Bay detainees’ loss of rights in the United States Court of Appeals, for the District of Columbia Circuit, on July 15, 2005. </w:t>
      </w:r>
      <w:r w:rsidRPr="006C71B6">
        <w:rPr>
          <w:rStyle w:val="StyleUnderline"/>
          <w:rFonts w:cs="Calibri"/>
        </w:rPr>
        <w:t>What, then, does it mean to endorse queer rights within the borders of the United States while simultaneously justifying the nonspectacular “(non)scenes” of torture on other others?29 We argue that these are not incidental or nonconnected moves, but form part of a continuous episteme: the privatization of the freedom of the queer subject enshrines a culture of loss of rights for non-U.S. citizens while naturalizing the backdrop of (specifically black) (non) subjects within the United States whose civically dead or dying status has rarely been assigned rights to lose</w:t>
      </w:r>
      <w:r w:rsidRPr="006C71B6">
        <w:rPr>
          <w:rFonts w:eastAsia="Times New Roman" w:cs="Calibri"/>
          <w:sz w:val="16"/>
        </w:rPr>
        <w:t xml:space="preserve">. </w:t>
      </w:r>
      <w:r w:rsidRPr="006C71B6">
        <w:rPr>
          <w:rStyle w:val="StyleUnderline"/>
          <w:rFonts w:cs="Calibri"/>
        </w:rPr>
        <w:t>The violence and torture of the detainee comprises the raw material on which the privatized, territorially contained (and also national) freedom of the U.S. queer is articulated.</w:t>
      </w:r>
      <w:r w:rsidRPr="006C71B6">
        <w:rPr>
          <w:rFonts w:eastAsia="Times New Roman" w:cs="Calibri"/>
          <w:sz w:val="16"/>
        </w:rPr>
        <w:t xml:space="preserve"> Here we see how the support of queer rights in Lawrence and Garner v. State of Texas becomes a stage for both the playing out as well as the masking of racial, class, and national contestations. In taking a close look at the Salim Ahmed Hamdan, Appellee v. Donald H. Rumsfeld, United States Secretary of Defense, et al. case that Chief Justice Roberts supported twice in his appellate courts, we read: Afghani militia forces captured Salim Ahmed Hamdan in Afghanistan in late November 2001. Hamdan’s captors turned him over to the American military, which transported him to the Guantanamo Bay Naval Base in Cuba. The military initially kept him in the general detention facility, known as Camp Delta. On July 3, 2003, the President determined “that there is reason to believe that [Hamdan] was a member of al Qaeda or was otherwise involved in terrorism directed against the United States.” This finding brought Hamdan within the compass of the President’s November 13, 2001, Order concerning the Detention, Treatment, and Trial of Certain Non-Citizens in the War Against Terrorism, 66 Fed. Reg. 57,833. Accordingly, Hamdan was designated for trial before a military commission This case essentially grants to the president all power to make decisions regarding the future of those deemed terrorists. In this case, Hamdan, considered a member of al-Qaeda, had no rights to make any claims in U.S. or international courts, but rather had to be tried before military commissions. While his appellate court was considering this case, Roberts met with officials in the White House and was interviewed by George W. Bush to become the next judge on the Supreme Court. He ended up supporting twice the Bush administration’s desire to legally acquire the presidential power to “try battlefield captives and foreign terror suspects before military commissions.”32 As Bob Egelko writes, “In the 3–0 decision, written by another judge and joined by Roberts, the court allowed </w:t>
      </w:r>
      <w:r w:rsidRPr="006C71B6">
        <w:rPr>
          <w:rFonts w:eastAsia="Times New Roman" w:cs="Calibri"/>
          <w:sz w:val="16"/>
        </w:rPr>
        <w:lastRenderedPageBreak/>
        <w:t xml:space="preserve">Hamdan’s military trial to proceed and said that the U.S. courts cannot enforce the Geneva Conventions on behalf of individual detainees. On another issue, the court ruled 2 – 1—with Roberts in the majority—that the Geneva Conventions apply only to nations and not to alleged combatants for terrorist groups.” Of course, we may argue, along with many legal scholars, that he “was not required to remove himself from all government cases, but this was no ordinary case—Bush himself was a defendant, and the issues were crucial to his claims of presidential power.”33 Roberts’s support of Bush’s presidential power here ends up assuming and hierarchizing the episteme that claims and assumes the power of the legal sovereignty of states in world politics thereby voiding individuals of any legal claims especially through the Geneva Conventions. A reading territorialized and constrained to the United States might suggest that Roberts’s position indicates a “liberal” or pro-queer stance. Moving away from such U.S.-centric readings, however, much more is revealed. In juxtaposing these two decisions, we come to recognize some of the tensions that emerge in the consolidation of the “new world order.” Roberts’s position in the sodomy case is informed by liberal principles of power and social relations if the focus is only inside the United States. </w:t>
      </w:r>
      <w:r w:rsidRPr="006C71B6">
        <w:rPr>
          <w:rStyle w:val="StyleUnderline"/>
          <w:rFonts w:cs="Calibri"/>
        </w:rPr>
        <w:t>With Justice Antonin Scalia’s articulation of his position in the sodomy case we observe a shift from Roberts’s dichotomization of the world (a strategy nevertheless of power) into sovereign nation-states, internally ordered and organized and with anarchy outside them. Scalia’s position is based on moral grounds and seems to be informed by a neoconservative moment upholding as its basic normative subject a heteronormative one. In sum, both strategies enable the “re-privatization” of sexuality whether in the name of hetero- or homonormativity</w:t>
      </w:r>
      <w:r w:rsidRPr="006C71B6">
        <w:rPr>
          <w:rFonts w:eastAsia="Times New Roman" w:cs="Calibri"/>
          <w:sz w:val="16"/>
        </w:rPr>
        <w:t xml:space="preserve">.It is important to turn to Scalia’s narrative </w:t>
      </w:r>
      <w:r w:rsidRPr="006C71B6">
        <w:rPr>
          <w:rStyle w:val="StyleUnderline"/>
          <w:rFonts w:cs="Calibri"/>
        </w:rPr>
        <w:t>to understand the nuances of this homo-/heteronormative (re)production of imperial bodies as raw material in the making</w:t>
      </w:r>
      <w:r w:rsidRPr="006C71B6">
        <w:rPr>
          <w:rFonts w:eastAsia="Times New Roman" w:cs="Calibri"/>
          <w:sz w:val="16"/>
        </w:rPr>
        <w:t xml:space="preserve">. Scalia dissented, labeling the decision “a massive disruption of the current social order.” It is crucial to highlight that Scalia’s decision, while ostensibly on the other side of the fence, is also made possible through a set of similar epistemic assumptions of privatization and the production of a privatized subject. This </w:t>
      </w:r>
      <w:r w:rsidRPr="006C71B6">
        <w:rPr>
          <w:rStyle w:val="StyleUnderline"/>
          <w:rFonts w:cs="Calibri"/>
        </w:rPr>
        <w:t>(re) privatization of sexuality, that is, the constriction of sexual and affective ties through individual citizens, is given greater latitude within the democratic liberal context</w:t>
      </w:r>
      <w:r w:rsidRPr="006C71B6">
        <w:rPr>
          <w:rFonts w:eastAsia="Times New Roman" w:cs="Calibri"/>
          <w:sz w:val="16"/>
        </w:rPr>
        <w:t xml:space="preserve">. Take, for example, the first part of </w:t>
      </w:r>
      <w:r w:rsidRPr="006C71B6">
        <w:rPr>
          <w:rStyle w:val="StyleUnderline"/>
          <w:rFonts w:cs="Calibri"/>
        </w:rPr>
        <w:t>Scalia’s statement: “I have nothing against homosexuals or any other group, promoting their agenda through normal democratic means</w:t>
      </w:r>
      <w:r w:rsidRPr="006C71B6">
        <w:rPr>
          <w:rFonts w:eastAsia="Times New Roman" w:cs="Calibri"/>
          <w:sz w:val="16"/>
        </w:rPr>
        <w:t xml:space="preserve">.”34 </w:t>
      </w:r>
      <w:r w:rsidRPr="006C71B6">
        <w:rPr>
          <w:rStyle w:val="StyleUnderline"/>
          <w:rFonts w:cs="Calibri"/>
        </w:rPr>
        <w:t>This articulation is informed by the assumption that the liberal (capitalist, of course) democracy is the most productive site of regulating and mediating social relations. This (liberal capitalist) democracy comprises citizens that operate within very narrow confines of behavior and subjectivity</w:t>
      </w:r>
      <w:r w:rsidRPr="006C71B6">
        <w:rPr>
          <w:rFonts w:eastAsia="Times New Roman" w:cs="Calibri"/>
          <w:sz w:val="16"/>
        </w:rPr>
        <w:t xml:space="preserve">. The borders of these permissible modalities of existence and interaction are signaled by Scalia’s definition of “normal democratic means.” Indeed this </w:t>
      </w:r>
      <w:r w:rsidRPr="006C71B6">
        <w:rPr>
          <w:rStyle w:val="StyleUnderline"/>
          <w:rFonts w:cs="Calibri"/>
        </w:rPr>
        <w:t>“normalcy” becomes the sole space in which this new decriminalized (homo)sexuality can operate. Clear, then, is the tension between this unmarked liminal boundary that demarcates even this newly found (neo)liberal promise of freedom and the fantastical national manly subject of empire.</w:t>
      </w:r>
      <w:r w:rsidRPr="006C71B6">
        <w:rPr>
          <w:rFonts w:eastAsia="Times New Roman" w:cs="Calibri"/>
          <w:sz w:val="16"/>
        </w:rPr>
        <w:t xml:space="preserve"> The outside is always marked by the tension between the national (i.e., always bound to the territoriality of the state) and the transnational (i.e., flexible subjectivity not bound by anything).35 To (re)invoke earlier terms, freedom depends on the (re)founding of unfreedoms. Scalia continues: “Social perceptions of sexual and other morality change over time, and every group has the right to persuade its fellow citizens that its view of such matters is the best. . . . But persuading one’s fellow citizens is one thing, and imposing one’s views in absence of democratic majority will is something else.” Here we see </w:t>
      </w:r>
      <w:r w:rsidRPr="006C71B6">
        <w:rPr>
          <w:rStyle w:val="StyleUnderline"/>
          <w:rFonts w:cs="Calibri"/>
        </w:rPr>
        <w:t>the delimiting of legitimate forms of protest that once again reinscribe boundaries of the normal. As with, for example, critiques of NGOization and the so-called non-profit-industrial-complex, we see how certain forms of liberal protest are enabled precisely through the disenabling of others.</w:t>
      </w:r>
      <w:r w:rsidRPr="006C71B6">
        <w:rPr>
          <w:rFonts w:eastAsia="Times New Roman" w:cs="Calibri"/>
          <w:sz w:val="16"/>
        </w:rPr>
        <w:t xml:space="preserve"> For Scalia, imposing one’s views (i.e., protest, revolution, movement building, to name but three examples) is tantamount to criminal activity. </w:t>
      </w:r>
      <w:r w:rsidRPr="006C71B6">
        <w:rPr>
          <w:rStyle w:val="StyleUnderline"/>
          <w:rFonts w:cs="Calibri"/>
        </w:rPr>
        <w:t>What, one may wonder, constitutes such democratic citizens, and for what project? First, what we see through the decision is that granting rights to the sodomy subject becomes crucial toward the constitution of the heteronormative/imperial fantasy subject</w:t>
      </w:r>
      <w:r w:rsidRPr="006C71B6">
        <w:rPr>
          <w:rFonts w:eastAsia="Times New Roman" w:cs="Calibri"/>
          <w:sz w:val="16"/>
        </w:rPr>
        <w:t xml:space="preserve">. Scalia’s position on this decision gestures to the tensions that exist among negotiable interests (what we term here neoconservative and neoliberal). Along this liberal mode of deliberation, we see another strand of interest—that of the neoconservative position expressed by Clarence Thomas, who states, “Punishing someone for expressing his sexual preference through noncommercial consensual conduct with another adult does not appear to be a worthy way to expend valuable law enforcement resources. Notwithstanding this, I recognize that as a member of this court I am not empowered to help petitioners and others similarly situated.”36 What, exactly, is “noncommercial consensual conduct”? Embedded within this phrase is a market (and indeed, the interests of its agents must be protected) in which the democracy and the social order on which Scalia commented can only be envisioned. </w:t>
      </w:r>
      <w:r w:rsidRPr="006C71B6">
        <w:rPr>
          <w:rStyle w:val="StyleUnderline"/>
          <w:rFonts w:cs="Calibri"/>
        </w:rPr>
        <w:t xml:space="preserve">This noncommercial consensual conduct remaps the subject/being within a consent-force binary that cordons social protest, and alternative racial, sexual, class, and colonized positioning, to the terrain of the chaotic, unlawful, and hence killable zone. Such a construction of “noncommercial sex” effectively dichotomizes sex and the market, and, effectively, capitalist relations. </w:t>
      </w:r>
      <w:r w:rsidRPr="006C71B6">
        <w:rPr>
          <w:rFonts w:eastAsia="Times New Roman" w:cs="Calibri"/>
          <w:sz w:val="16"/>
        </w:rPr>
        <w:t xml:space="preserve">However, as women of color, Marxist, socialist, and materialist </w:t>
      </w:r>
      <w:r w:rsidRPr="006C71B6">
        <w:rPr>
          <w:rFonts w:eastAsia="Times New Roman" w:cs="Calibri"/>
          <w:sz w:val="16"/>
        </w:rPr>
        <w:lastRenderedPageBreak/>
        <w:t xml:space="preserve">feminists have argued for nearly three decades, </w:t>
      </w:r>
      <w:r w:rsidRPr="006C71B6">
        <w:rPr>
          <w:rStyle w:val="StyleUnderline"/>
          <w:rFonts w:cs="Calibri"/>
        </w:rPr>
        <w:t>sexual and economic relations are always already inscribed within one another. Forging such dichotomies between sex and the market hence silences the myriad interconnections aptly detailed by such thinkers regarding the imbrication of sexuality, the market, colonial, racial, and class relations</w:t>
      </w:r>
      <w:r w:rsidRPr="006C71B6">
        <w:rPr>
          <w:rFonts w:eastAsia="Times New Roman" w:cs="Calibri"/>
          <w:sz w:val="16"/>
        </w:rPr>
        <w:t xml:space="preserve">.37 In addition to eclipsing these connections, </w:t>
      </w:r>
      <w:r w:rsidRPr="006C71B6">
        <w:rPr>
          <w:rStyle w:val="StyleUnderline"/>
          <w:rFonts w:cs="Calibri"/>
        </w:rPr>
        <w:t>the marking of sex as outside of capitalism masks precisely how this homonormativization serves the interests of capital. Moreover, by silencing the sexualized dimension of the market, thwarted and covered over are multiple histories of struggle, such as feminist and anticolonial struggles that have long acknowledged how imperial and slave relations are gendered, sexualized, and racialized within the context of a capitalist patriarchy. More specifically, the move to privatize and contain intimacies and sexuality within the realm of the private is at the same time another facet of a neoliberal strategy that absolves collective accountability and public intervention</w:t>
      </w:r>
      <w:r w:rsidRPr="006C71B6">
        <w:rPr>
          <w:rFonts w:eastAsia="Times New Roman" w:cs="Calibri"/>
          <w:sz w:val="16"/>
        </w:rPr>
        <w:t xml:space="preserve">. Indeed, the state, as the defender of the primacy of the ontology of profits and resources needed to enable such accumulations and productions,39 refuses to perform particular services necessary for the reproduction of neoliberal capitalist relations. Thus, </w:t>
      </w:r>
      <w:r w:rsidRPr="006C71B6">
        <w:rPr>
          <w:rStyle w:val="StyleUnderline"/>
          <w:rFonts w:cs="Calibri"/>
        </w:rPr>
        <w:t>the disciplinary nature of this ruling, which effectively guarantees unfreedom to less flexible and upwardly mobile subjects, obfuscates power relations of violence and death</w:t>
      </w:r>
      <w:r w:rsidRPr="006C71B6">
        <w:rPr>
          <w:rFonts w:eastAsia="Times New Roman" w:cs="Calibri"/>
          <w:sz w:val="16"/>
        </w:rPr>
        <w:t xml:space="preserve">. Despite the reference to a noncommercial-conduct sodomite sex that is morally unacceptable, the true force of the market emerges in the next sentence. </w:t>
      </w:r>
      <w:r w:rsidRPr="006C71B6">
        <w:rPr>
          <w:rStyle w:val="StyleUnderline"/>
          <w:rFonts w:cs="Calibri"/>
        </w:rPr>
        <w:t>Stripping away the affective, erotic, and dangerous dimensions of sex, and particularly of queer or deviant sex, it is reduced to “conduct.” What demarcates the boundaries of this acceptable sex/relationality/being, of course, are the confines of profitability, expendability, and the “retention of law enforcement resources.”</w:t>
      </w:r>
      <w:r w:rsidRPr="006C71B6">
        <w:rPr>
          <w:rFonts w:eastAsia="Times New Roman" w:cs="Calibri"/>
          <w:sz w:val="16"/>
        </w:rPr>
        <w:t xml:space="preserve"> Thomas’s claim that if he were a member of the Texas legislature he would vote for the ruling also points to some disjunctures. He suggests that at the state level, he would relegate the decision-making capacity and power to the state because ultimately a state decision would benefit the individual (i.e., a more libertarian position here). </w:t>
      </w:r>
      <w:r w:rsidRPr="006C71B6">
        <w:rPr>
          <w:rStyle w:val="StyleUnderline"/>
          <w:rFonts w:cs="Calibri"/>
        </w:rPr>
        <w:t>What guarantees profitability of a different kind other than the flexible and the flexibility accorded to sex and intimacy by the U.S. Supreme Court</w:t>
      </w:r>
      <w:r w:rsidRPr="006C71B6">
        <w:rPr>
          <w:rFonts w:eastAsia="Times New Roman" w:cs="Calibri"/>
          <w:sz w:val="16"/>
        </w:rPr>
        <w:t xml:space="preserve">—a Texan lifestyle choice? </w:t>
      </w:r>
      <w:r w:rsidRPr="006C71B6">
        <w:rPr>
          <w:rStyle w:val="StyleUnderline"/>
          <w:rFonts w:cs="Calibri"/>
        </w:rPr>
        <w:t>This profitability is guaranteed by drawing on global lockdown to ensure and embody social relations of violence, exploitation, (non)safety, and/or (non)freedoms</w:t>
      </w:r>
      <w:r w:rsidRPr="006C71B6">
        <w:rPr>
          <w:rFonts w:eastAsia="Times New Roman" w:cs="Calibri"/>
          <w:sz w:val="16"/>
        </w:rPr>
        <w:t xml:space="preserve">. </w:t>
      </w:r>
    </w:p>
    <w:p xmlns:wp14="http://schemas.microsoft.com/office/word/2010/wordml" w:rsidR="008263E8" w:rsidP="008263E8" w:rsidRDefault="008263E8" w14:paraId="5023141B" wp14:textId="77777777"/>
    <w:p xmlns:wp14="http://schemas.microsoft.com/office/word/2010/wordml" w:rsidR="008263E8" w:rsidP="008263E8" w:rsidRDefault="008263E8" w14:paraId="73268812" wp14:textId="77777777">
      <w:pPr>
        <w:pStyle w:val="Heading4"/>
        <w:rPr>
          <w:rFonts w:cs="Calibri"/>
        </w:rPr>
      </w:pPr>
      <w:r>
        <w:rPr>
          <w:rFonts w:cs="Calibri"/>
        </w:rPr>
        <w:t>The</w:t>
      </w:r>
      <w:r w:rsidRPr="006C71B6">
        <w:rPr>
          <w:rFonts w:cs="Calibri"/>
        </w:rPr>
        <w:t xml:space="preserve"> only way to get into the country is by showing yourself as “the good queer immigrant” that will support and extend the neoliberal American dream, this not only sustains these institutions but propels them into the future.</w:t>
      </w:r>
      <w:r>
        <w:rPr>
          <w:rFonts w:cs="Calibri"/>
        </w:rPr>
        <w:t xml:space="preserve"> Frameworks asks us to become respectable, folding queer resistance into the imperial project of homonationalism.</w:t>
      </w:r>
      <w:r w:rsidRPr="006C71B6">
        <w:rPr>
          <w:rFonts w:cs="Calibri"/>
        </w:rPr>
        <w:t xml:space="preserve"> Through “incorporation and quarantining” the queer subject is libidinally invested in a nation that simultaneously exploits and expels it fuel the nation-states project</w:t>
      </w:r>
    </w:p>
    <w:p xmlns:wp14="http://schemas.microsoft.com/office/word/2010/wordml" w:rsidRPr="006C71B6" w:rsidR="008263E8" w:rsidP="008263E8" w:rsidRDefault="008263E8" w14:paraId="5C1CE997" wp14:textId="77777777">
      <w:pPr>
        <w:rPr>
          <w:rStyle w:val="Style13ptBold"/>
          <w:rFonts w:cs="Calibri"/>
        </w:rPr>
      </w:pPr>
      <w:r w:rsidRPr="006C71B6">
        <w:rPr>
          <w:rStyle w:val="Style13ptBold"/>
          <w:rFonts w:cs="Calibri"/>
        </w:rPr>
        <w:t>Agathangelou, et al 8</w:t>
      </w:r>
      <w:r w:rsidRPr="006C71B6">
        <w:rPr>
          <w:rFonts w:cs="Calibri"/>
          <w:sz w:val="15"/>
          <w:szCs w:val="15"/>
        </w:rPr>
        <w:t>(Anna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Pages 124-128 //Starboy</w:t>
      </w:r>
    </w:p>
    <w:p xmlns:wp14="http://schemas.microsoft.com/office/word/2010/wordml" w:rsidRPr="006C71B6" w:rsidR="008263E8" w:rsidP="008263E8" w:rsidRDefault="008263E8" w14:paraId="2F0FE775" wp14:textId="77777777">
      <w:pPr>
        <w:spacing w:after="0" w:line="240" w:lineRule="auto"/>
        <w:rPr>
          <w:rStyle w:val="StyleUnderline"/>
          <w:rFonts w:cs="Calibri"/>
        </w:rPr>
      </w:pPr>
      <w:r w:rsidRPr="006C71B6">
        <w:rPr>
          <w:rFonts w:eastAsia="Times New Roman" w:cs="Calibri"/>
          <w:sz w:val="16"/>
        </w:rPr>
        <w:t xml:space="preserve">One site where we might begin to explore how this process operates is a recent advertisement from the Human Rights Campaign’s (HRC) “Million for Marriage” campaign. The ad, partially reproduced on the next page, tells the story of Keith Bradkowski, a middle-aged white businessman, and his quest for state recognition of his relationship with his late partner, a flight attendant on the first plane that struck the World Trade Center on September 11, 2001 (see fig. 1).20 </w:t>
      </w:r>
      <w:r w:rsidRPr="006C71B6">
        <w:rPr>
          <w:rStyle w:val="StyleUnderline"/>
          <w:rFonts w:cs="Calibri"/>
        </w:rPr>
        <w:t xml:space="preserve">In stark black and white, the ad exudes a grave authority: a blurry American flag waves behind Bradkowski’s sharply framed head, his photograph flanked by a quotation from his testimony before the U.S. Senate. The quotation reads: “Terrorists killed people not because they were gay or straight—but because they were Americans.” The ad produces the prototypical good queer citizen: white, upwardly mobile, and willing to die in the battlefields to protect the </w:t>
      </w:r>
      <w:r w:rsidRPr="006C71B6">
        <w:rPr>
          <w:rStyle w:val="StyleUnderline"/>
          <w:rFonts w:cs="Calibri"/>
        </w:rPr>
        <w:lastRenderedPageBreak/>
        <w:t>security of the homeland, both within and outside of its borders.</w:t>
      </w:r>
      <w:r w:rsidRPr="006C71B6">
        <w:rPr>
          <w:rFonts w:eastAsia="Times New Roman" w:cs="Calibri"/>
          <w:sz w:val="16"/>
        </w:rPr>
        <w:t xml:space="preserve"> To proclaim that the terrorist attack was launched against a nation regardless of its citizens’ sexualities is </w:t>
      </w:r>
      <w:r w:rsidRPr="006C71B6">
        <w:rPr>
          <w:rStyle w:val="StyleUnderline"/>
          <w:rFonts w:cs="Calibri"/>
        </w:rPr>
        <w:t>to unite an imagined community of Americans in their common victimhood at the hands of foreign others. Through this move, the good queer citizen gains entrance into the nation through the displacement and explicit effacement of racial, sexual, and class antagonisms and inequities.</w:t>
      </w:r>
      <w:r w:rsidRPr="006C71B6">
        <w:rPr>
          <w:rFonts w:eastAsia="Times New Roman" w:cs="Calibri"/>
          <w:sz w:val="16"/>
        </w:rPr>
        <w:t xml:space="preserve"> Theories of </w:t>
      </w:r>
      <w:r w:rsidRPr="006C71B6">
        <w:rPr>
          <w:rStyle w:val="StyleUnderline"/>
          <w:rFonts w:cs="Calibri"/>
        </w:rPr>
        <w:t>homonormativization, in part, offer us some insight</w:t>
      </w:r>
      <w:r w:rsidRPr="006C71B6">
        <w:rPr>
          <w:rFonts w:eastAsia="Times New Roman" w:cs="Calibri"/>
          <w:sz w:val="16"/>
        </w:rPr>
        <w:t xml:space="preserve"> into the moves performed in this advertisement, </w:t>
      </w:r>
      <w:r w:rsidRPr="006C71B6">
        <w:rPr>
          <w:rStyle w:val="StyleUnderline"/>
          <w:rFonts w:cs="Calibri"/>
        </w:rPr>
        <w:t>highlighting the turn embodied in the image of a white gay male – turned – imperial gatekeeper in the competition for (apparently limited) marriage rights. As defined by Lisa Duggan, “homonormativity” refers to “a politics that does not contest dominant heteronormative assumptions and institutions, but upholds and sustains them, while promising the possibility of a demobilized gay constituency, and a gay culture anchored in domesticity and consumption.</w:t>
      </w:r>
      <w:r w:rsidRPr="006C71B6">
        <w:rPr>
          <w:rFonts w:eastAsia="Times New Roman" w:cs="Calibri"/>
          <w:sz w:val="16"/>
        </w:rPr>
        <w:t xml:space="preserve">”21 Through the stress on monogamy, devotion, and a relationship constrained within the bonds of privacy and propriety, the ad participates in the demonization of all other forms of sexual expression, practices, and relations—as per Duggan’s argument, </w:t>
      </w:r>
      <w:r w:rsidRPr="006C71B6">
        <w:rPr>
          <w:rStyle w:val="StyleUnderline"/>
          <w:rFonts w:cs="Calibri"/>
        </w:rPr>
        <w:t xml:space="preserve">heteronormative logics are refueled in the production of the good gay subject. His taxes paid and his tie tightened, Bradkowski is called up to declare his allegiance to the U.S. nation-state through a moral economy of value in which (normative) queerness might be offered incorporation into the parameters of citizenship in exchange for violence. </w:t>
      </w:r>
      <w:r w:rsidRPr="006C71B6">
        <w:rPr>
          <w:rFonts w:eastAsia="Times New Roman" w:cs="Calibri"/>
          <w:sz w:val="16"/>
        </w:rPr>
        <w:t xml:space="preserve">It is crucial to note that </w:t>
      </w:r>
      <w:r w:rsidRPr="006C71B6">
        <w:rPr>
          <w:rStyle w:val="StyleUnderline"/>
          <w:rFonts w:cs="Calibri"/>
        </w:rPr>
        <w:t>this is a bargain brokered in exchange for closing his eyes to other kinds of violence committed daily on bodies of other queers, indigenous, black, and other people of color, the terrorists, and members of the working class</w:t>
      </w:r>
      <w:r w:rsidRPr="006C71B6">
        <w:rPr>
          <w:rFonts w:eastAsia="Times New Roman" w:cs="Calibri"/>
          <w:sz w:val="16"/>
        </w:rPr>
        <w:t xml:space="preserve">. Moreover, the ad reveals the interpenetration of the state’s war-making agenda, the mandates of capitalist interests, and the officially declared gay and lesbian agenda. This convergence of agendas can only occur within an assumed economy of scarcity in which the white gay male competes with the imagined terrorist and with job-stealing immigrants for limited recognition. Also implicit within this ad is the veiling of legacies and ongoing processes of slavery, colonialism, and imperial plunder that have enabled capital accumulation. “Although we both always paid Social Security and other taxes,” Bradkowski laments, </w:t>
      </w:r>
      <w:r w:rsidRPr="006C71B6">
        <w:rPr>
          <w:rStyle w:val="StyleUnderline"/>
          <w:rFonts w:cs="Calibri"/>
        </w:rPr>
        <w:t>“I wasn’t eligible for the benefits offered to other spouses.” Recapitulating a narrative of the deserving versus the undeserving (non)citizen, Bradkowski places himself in the category of the rightfully entitled and legal citizen who deserves rights, resources, and recognition not because he is alive but because he pays his taxes.</w:t>
      </w:r>
      <w:r w:rsidRPr="006C71B6">
        <w:rPr>
          <w:rFonts w:eastAsia="Times New Roman" w:cs="Calibri"/>
          <w:sz w:val="16"/>
        </w:rPr>
        <w:t xml:space="preserve"> Many scholars who have taken up the homonormative to address the specifically racialized dimensions of neoliberal (re)structuring. Martin Manalansan, for example, has argued that a consolidating racist order is encoded within narratives of gay assimilationism and ascendancy in gentrifying neighborhoods in New York. Examining the gentrification that increasingly displaces queers of color through the criminalization of racially pathologized spaces, Manalansan shows how (certain) spaces of public queer sex and practice have become sites for the rounding up of immigrants and people of color in the ongoing war on terror. Juxtaposing this </w:t>
      </w:r>
      <w:r w:rsidRPr="006C71B6">
        <w:rPr>
          <w:rStyle w:val="StyleUnderline"/>
          <w:rFonts w:cs="Calibri"/>
        </w:rPr>
        <w:t>increased criminalization of queers and broader communities of color in the face of new elite gay spaces in gentrified neighborhoods</w:t>
      </w:r>
      <w:r w:rsidRPr="006C71B6">
        <w:rPr>
          <w:rFonts w:eastAsia="Times New Roman" w:cs="Calibri"/>
          <w:sz w:val="16"/>
        </w:rPr>
        <w:t xml:space="preserve">, Manalansan productively traces </w:t>
      </w:r>
      <w:r w:rsidRPr="006C71B6">
        <w:rPr>
          <w:rStyle w:val="StyleUnderline"/>
          <w:rFonts w:cs="Calibri"/>
        </w:rPr>
        <w:t>the collaboration of neoliberal urban restructuring and the politics of homonormativity</w:t>
      </w:r>
      <w:r w:rsidRPr="006C71B6">
        <w:rPr>
          <w:rFonts w:eastAsia="Times New Roman" w:cs="Calibri"/>
          <w:sz w:val="16"/>
        </w:rPr>
        <w:t>. Manalansan’s analysis of the production of people of color as terrorists and criminals is helpful in unraveling the process of enemy production performed in the advertisement</w:t>
      </w:r>
      <w:r w:rsidRPr="006C71B6">
        <w:rPr>
          <w:rStyle w:val="StyleUnderline"/>
          <w:rFonts w:cs="Calibri"/>
        </w:rPr>
        <w:t>. In exchange for begging for state rights and recognition, Bradkowski participates in the process of creating new outsiders and outsides, those whose racial, sexual, and economic aberrance bear the mark of counter-national, as decidedly un American difference</w:t>
      </w:r>
      <w:r w:rsidRPr="006C71B6">
        <w:rPr>
          <w:rFonts w:eastAsia="Times New Roman" w:cs="Calibri"/>
          <w:sz w:val="16"/>
        </w:rPr>
        <w:t xml:space="preserve">. The advertisement, then, operates as a homonormative revision of the </w:t>
      </w:r>
      <w:r w:rsidRPr="006C71B6">
        <w:rPr>
          <w:rStyle w:val="StyleUnderline"/>
          <w:rFonts w:cs="Calibri"/>
        </w:rPr>
        <w:t>“heteronormative patriotism”</w:t>
      </w:r>
      <w:r w:rsidRPr="006C71B6">
        <w:rPr>
          <w:rFonts w:eastAsia="Times New Roman" w:cs="Calibri"/>
          <w:sz w:val="16"/>
        </w:rPr>
        <w:t xml:space="preserve"> that Jasbir Puar and Amit Rai articulate in their essay, “Monster, Terrorist, Fag.” For Puar and Rai, the collaboration between </w:t>
      </w:r>
      <w:r w:rsidRPr="006C71B6">
        <w:rPr>
          <w:rStyle w:val="StyleUnderline"/>
          <w:rFonts w:cs="Calibri"/>
        </w:rPr>
        <w:t>heteronormativity and patriotism allows for certain forms of queerness (or sexual “deviance”) to be incorporated into the project of national reproduction while others are rendered continually abject, unworthy or unable to be assimilated into either hetero – or homonormative citizenship</w:t>
      </w:r>
      <w:r w:rsidRPr="006C71B6">
        <w:rPr>
          <w:rFonts w:eastAsia="Times New Roman" w:cs="Calibri"/>
          <w:sz w:val="16"/>
        </w:rPr>
        <w:t xml:space="preserve">. They call this a “dual process of incorporation and quarantining,” whereby </w:t>
      </w:r>
      <w:r w:rsidRPr="006C71B6">
        <w:rPr>
          <w:rStyle w:val="StyleUnderline"/>
          <w:rFonts w:cs="Calibri"/>
        </w:rPr>
        <w:t>those sexualities and embodiments that fall outside of white heteronormativity must be contained and banished for the sake of national sexualities, even queer ones.</w:t>
      </w:r>
      <w:r w:rsidRPr="006C71B6">
        <w:rPr>
          <w:rFonts w:eastAsia="Times New Roman" w:cs="Calibri"/>
          <w:sz w:val="16"/>
        </w:rPr>
        <w:t xml:space="preserve"> </w:t>
      </w:r>
      <w:r w:rsidRPr="006C71B6">
        <w:rPr>
          <w:rStyle w:val="StyleUnderline"/>
          <w:rFonts w:cs="Calibri"/>
        </w:rPr>
        <w:t>The</w:t>
      </w:r>
      <w:r w:rsidRPr="006C71B6">
        <w:rPr>
          <w:rFonts w:eastAsia="Times New Roman" w:cs="Calibri"/>
          <w:sz w:val="16"/>
        </w:rPr>
        <w:t xml:space="preserve"> HRC </w:t>
      </w:r>
      <w:r w:rsidRPr="006C71B6">
        <w:rPr>
          <w:rStyle w:val="StyleUnderline"/>
          <w:rFonts w:cs="Calibri"/>
        </w:rPr>
        <w:t>ad dramatizes this dual process by allowing white, middle-class lesbian, and gay sexualities to enter citizenship while simultaneously participating in the policing and criminalizing of racially pathologized sexualities seen as threatening to the nation: the terrorist, the inmate, the “welfare queen,” the illegal alien</w:t>
      </w:r>
      <w:r w:rsidRPr="006C71B6">
        <w:rPr>
          <w:rFonts w:eastAsia="Times New Roman" w:cs="Calibri"/>
          <w:sz w:val="16"/>
        </w:rPr>
        <w:t xml:space="preserve">. Importantly, </w:t>
      </w:r>
      <w:r w:rsidRPr="006C71B6">
        <w:rPr>
          <w:rStyle w:val="StyleUnderline"/>
          <w:rFonts w:cs="Calibri"/>
        </w:rPr>
        <w:t xml:space="preserve">as this process of creating </w:t>
      </w:r>
      <w:r w:rsidRPr="006C71B6">
        <w:rPr>
          <w:rStyle w:val="StyleUnderline"/>
          <w:rFonts w:cs="Calibri"/>
        </w:rPr>
        <w:lastRenderedPageBreak/>
        <w:t>spectacularized or exceptional enemies unfolds, there is always a simultaneous production of nonspectacular others, those whose lives and deaths do not even register within this moral econom</w:t>
      </w:r>
      <w:r w:rsidRPr="006C71B6">
        <w:rPr>
          <w:rFonts w:eastAsia="Times New Roman" w:cs="Calibri"/>
          <w:sz w:val="16"/>
        </w:rPr>
        <w:t xml:space="preserve">y. These are the forms of predatory and pathological sexualization that must be marked and liquidated for good (queer) citizens to stage their entrance into the body politic. M. Jacqui Alexander has helped to articulate the ways in which this process of </w:t>
      </w:r>
      <w:r w:rsidRPr="006C71B6">
        <w:rPr>
          <w:rStyle w:val="StyleUnderline"/>
          <w:rFonts w:cs="Calibri"/>
        </w:rPr>
        <w:t>“incorporation and quarantining” is part of larger processes of “enemy production,” which are foundational to projects of nation- and empire-building.</w:t>
      </w:r>
      <w:r w:rsidRPr="006C71B6">
        <w:rPr>
          <w:rFonts w:eastAsia="Times New Roman" w:cs="Calibri"/>
          <w:sz w:val="16"/>
        </w:rPr>
        <w:t xml:space="preserve"> For Alexander, </w:t>
      </w:r>
      <w:r w:rsidRPr="006C71B6">
        <w:rPr>
          <w:rStyle w:val="StyleUnderline"/>
          <w:rFonts w:cs="Calibri"/>
        </w:rPr>
        <w:t xml:space="preserve">enemy production elicits the labor of gatekeepers in exchange for seductive promises of membership into the (so-called) new world order. </w:t>
      </w:r>
      <w:r w:rsidRPr="006C71B6">
        <w:rPr>
          <w:rFonts w:eastAsia="Times New Roman" w:cs="Calibri"/>
          <w:sz w:val="16"/>
        </w:rPr>
        <w:t xml:space="preserve">Turning to the 2001 and 2002 forms of the U.S. PATRIOT Act, as well as to the National Security Act of 2004, Alexander traces how such acts exemplify the logics of empire that rouse desire to “explicitly and simultaneously link the imperial project to militarization and nation building.” In this production, a certain mooring of desire and the production and mobilization of pleasure is summoned up in the affective calling toward “enemy production.” This process, she argues, is crucial in the ongoing solidification of the prison industrial complex as a (re)colonizing gesture. As she writes: </w:t>
      </w:r>
      <w:r w:rsidRPr="006C71B6">
        <w:rPr>
          <w:rStyle w:val="StyleUnderline"/>
          <w:rFonts w:cs="Calibri"/>
        </w:rPr>
        <w:t>Nation building can be . . . accurately understood as a form of hypernationalism with constituent parts: the manufacture of an outside enemy to rationalize military intervention, and secure the annexation of lands; the production of an internal enemy to rationalize criminalization and incarceration; the internal production of a new citizen patriot; the creation and maintenance of a permanent war economy, whose internal elements devolve on the militarization of the police and the resultant criminalization of immigrants, people of color, working class communities through the massive expansion of a punishment economy whose center is the prison industrial complex</w:t>
      </w:r>
      <w:r w:rsidRPr="006C71B6">
        <w:rPr>
          <w:rFonts w:eastAsia="Times New Roman" w:cs="Calibri"/>
          <w:sz w:val="16"/>
        </w:rPr>
        <w:t xml:space="preserve">. A populace increasingly willing to engage in this process must also participate in </w:t>
      </w:r>
      <w:r w:rsidRPr="006C71B6">
        <w:rPr>
          <w:rStyle w:val="StyleUnderline"/>
          <w:rFonts w:cs="Calibri"/>
        </w:rPr>
        <w:t>the production of an external enemy in the form of the “terrorist,” as well as the formation of an internal enemy in the form of the “criminal.</w:t>
      </w:r>
      <w:r w:rsidRPr="006C71B6">
        <w:rPr>
          <w:rFonts w:eastAsia="Times New Roman" w:cs="Calibri"/>
          <w:sz w:val="16"/>
        </w:rPr>
        <w:t xml:space="preserve">” Such simultaneous formations anchor a desire for safety and security to the violent work of colluding with the state and the market in producing enemies, </w:t>
      </w:r>
      <w:r w:rsidRPr="006C71B6">
        <w:rPr>
          <w:rStyle w:val="StyleUnderline"/>
          <w:rFonts w:cs="Calibri"/>
        </w:rPr>
        <w:t>in turn justifying nothing less than murder</w:t>
      </w:r>
      <w:r w:rsidRPr="006C71B6">
        <w:rPr>
          <w:rFonts w:eastAsia="Times New Roman" w:cs="Calibri"/>
          <w:sz w:val="16"/>
        </w:rPr>
        <w:t xml:space="preserve">. Stated otherwise, </w:t>
      </w:r>
      <w:r w:rsidRPr="006C71B6">
        <w:rPr>
          <w:rStyle w:val="StyleUnderline"/>
          <w:rFonts w:cs="Calibri"/>
        </w:rPr>
        <w:t>once such enemies and criminals are produced, their degradation and murder is ostensibly justified</w:t>
      </w:r>
      <w:r w:rsidRPr="006C71B6">
        <w:rPr>
          <w:rFonts w:eastAsia="Times New Roman" w:cs="Calibri"/>
          <w:sz w:val="16"/>
        </w:rPr>
        <w:t xml:space="preserve">. Furthermore, </w:t>
      </w:r>
      <w:r w:rsidRPr="006C71B6">
        <w:rPr>
          <w:rStyle w:val="StyleUnderline"/>
          <w:rFonts w:cs="Calibri"/>
        </w:rPr>
        <w:t>these formations depend on the mobilization of racialized psychic and libidinal economies: “It is [a] dark inside threat that must be cordoned off, imprisoned, expulsed and matched simultaneously with the extinction of the dark, external threat, in order that the borders of the fictive, originary nation be secured</w:t>
      </w:r>
    </w:p>
    <w:p xmlns:wp14="http://schemas.microsoft.com/office/word/2010/wordml" w:rsidR="008263E8" w:rsidP="008263E8" w:rsidRDefault="008263E8" w14:paraId="1F3B1409" wp14:textId="77777777"/>
    <w:p xmlns:wp14="http://schemas.microsoft.com/office/word/2010/wordml" w:rsidR="00E756EE" w:rsidP="00E04337" w:rsidRDefault="00E756EE" w14:paraId="759DB0E9" wp14:textId="77777777">
      <w:pPr>
        <w:pStyle w:val="Heading4"/>
      </w:pPr>
      <w:r>
        <w:t>The state weaponizes the discourse of family reunification in order to widen economic gaps in the Global South-- their reforms do not solve and produce international divisions grounded in monstrous economic disparities.</w:t>
      </w:r>
    </w:p>
    <w:p xmlns:wp14="http://schemas.microsoft.com/office/word/2010/wordml" w:rsidR="00E756EE" w:rsidP="00E756EE" w:rsidRDefault="00E756EE" w14:paraId="27C397FE" wp14:textId="77777777">
      <w:pPr>
        <w:rPr>
          <w:sz w:val="20"/>
          <w:szCs w:val="20"/>
        </w:rPr>
      </w:pPr>
      <w:r w:rsidRPr="00E04337">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174-175]</w:t>
      </w:r>
      <w:r>
        <w:rPr>
          <w:sz w:val="20"/>
          <w:szCs w:val="20"/>
        </w:rPr>
        <w:tab/>
      </w:r>
      <w:r>
        <w:rPr>
          <w:sz w:val="20"/>
          <w:szCs w:val="20"/>
        </w:rPr>
        <w:t xml:space="preserve"> </w:t>
      </w:r>
      <w:r>
        <w:rPr>
          <w:sz w:val="20"/>
          <w:szCs w:val="20"/>
        </w:rPr>
        <w:tab/>
      </w:r>
      <w:r>
        <w:rPr>
          <w:sz w:val="20"/>
          <w:szCs w:val="20"/>
        </w:rPr>
        <w:t xml:space="preserve"> </w:t>
      </w:r>
      <w:r>
        <w:rPr>
          <w:sz w:val="20"/>
          <w:szCs w:val="20"/>
        </w:rPr>
        <w:tab/>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E756EE" w:rsidP="00E756EE" w:rsidRDefault="00E756EE" w14:paraId="7C90F62F" wp14:textId="77777777">
      <w:pPr>
        <w:rPr>
          <w:sz w:val="20"/>
          <w:szCs w:val="20"/>
        </w:rPr>
      </w:pPr>
      <w:r>
        <w:rPr>
          <w:b/>
          <w:sz w:val="20"/>
          <w:szCs w:val="20"/>
          <w:u w:val="single"/>
        </w:rPr>
        <w:t>After the student movements, the Immigration Act of 1965, and the emergence of ethnic and postcolonial studies in the seventies, eighties, and nineties, political emancipation would name the process by which postcoloniality would be affirmed and managed to the benefit of dominant social relations, providing the conditions by which institutions of power would mediate the relationship between diasporic subjects and a new thing called "marginality."</w:t>
      </w:r>
      <w:r>
        <w:rPr>
          <w:sz w:val="20"/>
          <w:szCs w:val="20"/>
        </w:rPr>
        <w:t xml:space="preserve"> Political emancipation would become the spirit of hegemonic institutionalization-in which </w:t>
      </w:r>
      <w:r>
        <w:rPr>
          <w:b/>
          <w:sz w:val="20"/>
          <w:szCs w:val="20"/>
          <w:u w:val="single"/>
        </w:rPr>
        <w:t>modes of minority difference would be selectively incorporated, but not for the good of social redistribution</w:t>
      </w:r>
      <w:r>
        <w:rPr>
          <w:sz w:val="20"/>
          <w:szCs w:val="20"/>
        </w:rPr>
        <w:t xml:space="preserve">. Indeed, the selective incorporation of immigrant populations can be seen in the im- migration acts during and after the sixties. For instance, </w:t>
      </w:r>
      <w:r>
        <w:rPr>
          <w:sz w:val="20"/>
          <w:szCs w:val="20"/>
          <w:u w:val="single"/>
        </w:rPr>
        <w:t xml:space="preserve">while the 1965 act may have eased immigration policies, the Immigration and Nationality Act Amendments of 1976 and the Health Professionals Education Assistance Act of 1976 demanded that migrants and immigrant health-care providers demonstrate proof of employment before migrating, a move </w:t>
      </w:r>
      <w:r>
        <w:rPr>
          <w:sz w:val="20"/>
          <w:szCs w:val="20"/>
          <w:u w:val="single"/>
        </w:rPr>
        <w:lastRenderedPageBreak/>
        <w:t>that slowed down the immigration of technical professions</w:t>
      </w:r>
      <w:r>
        <w:rPr>
          <w:b/>
          <w:sz w:val="20"/>
          <w:szCs w:val="20"/>
          <w:u w:val="single"/>
        </w:rPr>
        <w:t>.</w:t>
      </w:r>
      <w:r>
        <w:rPr>
          <w:sz w:val="20"/>
          <w:szCs w:val="20"/>
        </w:rPr>
        <w:t xml:space="preserve"> At the same time, </w:t>
      </w:r>
      <w:r>
        <w:rPr>
          <w:b/>
          <w:sz w:val="20"/>
          <w:szCs w:val="20"/>
          <w:u w:val="single"/>
        </w:rPr>
        <w:t>the family reunification portion of the 1965 act remained active, producing a situation in which the number of family members who migrated to the United States increased while the number of technical professionals who migrated decreased.</w:t>
      </w:r>
      <w:r>
        <w:rPr>
          <w:sz w:val="20"/>
          <w:szCs w:val="20"/>
        </w:rPr>
        <w:t xml:space="preserve"> </w:t>
      </w:r>
      <w:r>
        <w:rPr>
          <w:b/>
          <w:sz w:val="20"/>
          <w:szCs w:val="20"/>
          <w:u w:val="single"/>
        </w:rPr>
        <w:t>The increase in family member migration would introduce increasing numbers of immigrants into the working and petit bourgeois classes, causing class stratification among immigrants to rise</w:t>
      </w:r>
      <w:r>
        <w:rPr>
          <w:sz w:val="20"/>
          <w:szCs w:val="20"/>
        </w:rPr>
        <w:t>.</w:t>
      </w:r>
      <w:r>
        <w:rPr>
          <w:sz w:val="16"/>
          <w:szCs w:val="16"/>
        </w:rPr>
        <w:t xml:space="preserve">58 </w:t>
      </w:r>
      <w:r>
        <w:rPr>
          <w:b/>
          <w:sz w:val="20"/>
          <w:szCs w:val="20"/>
          <w:u w:val="single"/>
        </w:rPr>
        <w:t xml:space="preserve">The selective affirmation and enhancement of some immigrants' lives would take place alongside the diminishment of other immigrants' circumstances, a process that would be part of a larger, "international division of humanity grounded </w:t>
      </w:r>
      <w:r>
        <w:rPr>
          <w:b/>
          <w:sz w:val="18"/>
          <w:szCs w:val="18"/>
          <w:u w:val="single"/>
        </w:rPr>
        <w:t xml:space="preserve">in </w:t>
      </w:r>
      <w:r>
        <w:rPr>
          <w:b/>
          <w:sz w:val="20"/>
          <w:szCs w:val="20"/>
          <w:u w:val="single"/>
        </w:rPr>
        <w:t>the capitalist reproduction of 'monstrous' economic disparities.</w:t>
      </w:r>
      <w:r>
        <w:rPr>
          <w:sz w:val="20"/>
          <w:szCs w:val="20"/>
        </w:rPr>
        <w:t xml:space="preserve">"59 </w:t>
      </w:r>
    </w:p>
    <w:p xmlns:wp14="http://schemas.microsoft.com/office/word/2010/wordml" w:rsidR="00E756EE" w:rsidP="00142CE7" w:rsidRDefault="00E756EE" w14:paraId="751E169D" wp14:textId="77777777">
      <w:pPr>
        <w:pStyle w:val="Heading4"/>
      </w:pPr>
      <w:r>
        <w:t>The will to institutionality overdetermines their belief in reform-- administrative forms are capable of incorporating immutable sexual difference-- their reformist politics merely include difference on the terms of power. The aff’s refusal to articulate sexuality as an immutable difference makes it impossible for power to negotiate the socialities produced by the aff, making the TVA merely a domestication of the radical potential that queer poses against institutions.</w:t>
      </w:r>
    </w:p>
    <w:p xmlns:wp14="http://schemas.microsoft.com/office/word/2010/wordml" w:rsidR="00E756EE" w:rsidP="00E756EE" w:rsidRDefault="00E756EE" w14:paraId="3098DBFA" wp14:textId="77777777">
      <w:pPr>
        <w:rPr>
          <w:sz w:val="20"/>
          <w:szCs w:val="20"/>
        </w:rPr>
      </w:pPr>
      <w:r w:rsidRPr="00142CE7">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213-215]</w:t>
      </w: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E756EE" w:rsidP="00E756EE" w:rsidRDefault="00E756EE" w14:paraId="7D1BD850" wp14:textId="77777777">
      <w:pPr>
        <w:rPr>
          <w:b/>
          <w:sz w:val="20"/>
          <w:szCs w:val="20"/>
          <w:u w:val="single"/>
        </w:rPr>
      </w:pPr>
      <w:r>
        <w:rPr>
          <w:sz w:val="18"/>
          <w:szCs w:val="18"/>
        </w:rPr>
        <w:t xml:space="preserve">As </w:t>
      </w:r>
      <w:r>
        <w:rPr>
          <w:sz w:val="20"/>
          <w:szCs w:val="20"/>
        </w:rPr>
        <w:t xml:space="preserve">the chapters leading up to this discussion suggest, </w:t>
      </w:r>
      <w:r>
        <w:rPr>
          <w:b/>
          <w:sz w:val="20"/>
          <w:szCs w:val="20"/>
          <w:u w:val="single"/>
        </w:rPr>
        <w:t>sexuality's relationship to administrative power lies in the historic incorporation of institutionally anterior forms of difference</w:t>
      </w:r>
      <w:r>
        <w:rPr>
          <w:sz w:val="20"/>
          <w:szCs w:val="20"/>
        </w:rPr>
        <w:t xml:space="preserve">. In a discussion of that history, Chandra Talpade Mohanty points out that black, ethnic, and women's studies pro-grams came about through various sociohistorical factors-oppositional social movements that contested race- and gender-based discrimination, increases in black student enrollment in colleges and universities, and "broad-based [calls] for a transformation of a racist, Eurocentric curricu-lum."l1 Mohanty notes that the university responded to those factors in the eighties and nineties by rendering race and gender as individualized mat- ters rather than as structural or institutional ones. If contemporary globalization, as Stuart Hall argues, incorporates dif- ferences as a way to neutralize any ruptural possibilities, we might say that the administrative university unmarks and reabsorbs difference, one of the familiar imprints of globalization. As preceding chapters have suggested, </w:t>
      </w:r>
      <w:r>
        <w:rPr>
          <w:b/>
          <w:sz w:val="20"/>
          <w:szCs w:val="20"/>
          <w:u w:val="single"/>
        </w:rPr>
        <w:t xml:space="preserve">we can think of this moment as unleashing a new mode of power, characterized generally by the commodification of difference as part of an emergent global capital, and denoted specifically through the university's own efforts to incorporate differences of race, disability, sexuality, and gender </w:t>
      </w:r>
      <w:r>
        <w:rPr>
          <w:b/>
          <w:sz w:val="18"/>
          <w:szCs w:val="18"/>
          <w:u w:val="single"/>
        </w:rPr>
        <w:t xml:space="preserve">as </w:t>
      </w:r>
      <w:r>
        <w:rPr>
          <w:b/>
          <w:sz w:val="20"/>
          <w:szCs w:val="20"/>
          <w:u w:val="single"/>
        </w:rPr>
        <w:t>objects of knowledge.</w:t>
      </w:r>
      <w:r>
        <w:rPr>
          <w:sz w:val="20"/>
          <w:szCs w:val="20"/>
        </w:rPr>
        <w:t xml:space="preserve"> </w:t>
      </w:r>
      <w:r>
        <w:rPr>
          <w:sz w:val="18"/>
          <w:szCs w:val="18"/>
        </w:rPr>
        <w:t xml:space="preserve">We </w:t>
      </w:r>
      <w:r>
        <w:rPr>
          <w:sz w:val="20"/>
          <w:szCs w:val="20"/>
        </w:rPr>
        <w:t xml:space="preserve">might even think of the institutional forma- tions that Mohanty discusses as part of the moment in which-to use Hall's words-contemporary capital tries to "get hold of and neutralize difference." </w:t>
      </w:r>
      <w:r>
        <w:t xml:space="preserve">If </w:t>
      </w:r>
      <w:r>
        <w:rPr>
          <w:sz w:val="20"/>
          <w:szCs w:val="20"/>
        </w:rPr>
        <w:t xml:space="preserve">neoliberalism, as Lisa Duggan defines it, represents the forcible curtailment of liberal, left-liberal, and leftist social movements of the sixties and seventies, then neoliberalism can be understood as part of those historic processes that attempt to "get hold of and neutralize differ- ence."12 Indeed, we might think of neoliberalism as the latest expression of contemporary globalization's effort to cannibalize difference and its poten- tial for rupture. It is important to remember, though, that </w:t>
      </w:r>
      <w:r>
        <w:rPr>
          <w:b/>
          <w:sz w:val="20"/>
          <w:szCs w:val="20"/>
          <w:u w:val="single"/>
        </w:rPr>
        <w:t>the precondition for this aspect of neoliberalism lies in the academy's transformation of minority cultures and differences into objects of institutional knowledge</w:t>
      </w:r>
      <w:r>
        <w:rPr>
          <w:sz w:val="20"/>
          <w:szCs w:val="20"/>
        </w:rPr>
        <w:t xml:space="preserve">. In such a context, differences that were often articulated as critiques of the presumed benevolence of political and economic institutions become absorbed within an administrative ethos that recast those differences as testaments to the progress of the university and the resuscitation of a com-mon national culture. </w:t>
      </w:r>
      <w:r>
        <w:rPr>
          <w:b/>
          <w:sz w:val="20"/>
          <w:szCs w:val="20"/>
          <w:u w:val="single"/>
        </w:rPr>
        <w:t xml:space="preserve">The historic arc that begins in the late 1960s signifies a profound change within modern institutions in the West. Administrative power had to restrict the collective, oppositional, and redistributive aims of difference at the same time that administrative power had </w:t>
      </w:r>
      <w:r>
        <w:rPr>
          <w:b/>
          <w:sz w:val="20"/>
          <w:szCs w:val="20"/>
          <w:u w:val="single"/>
        </w:rPr>
        <w:lastRenderedPageBreak/>
        <w:t>to affirm difference to demonstrate institutional protocols and progress</w:t>
      </w:r>
      <w:r>
        <w:rPr>
          <w:sz w:val="20"/>
          <w:szCs w:val="20"/>
        </w:rPr>
        <w:t xml:space="preserve">. </w:t>
      </w:r>
      <w:r>
        <w:rPr>
          <w:sz w:val="20"/>
          <w:szCs w:val="20"/>
          <w:u w:val="single"/>
        </w:rPr>
        <w:t>We must read this affirmation as not simply a moment of construction but a moment of subjection</w:t>
      </w:r>
      <w:r>
        <w:rPr>
          <w:sz w:val="20"/>
          <w:szCs w:val="20"/>
        </w:rPr>
        <w:t xml:space="preserve">. </w:t>
      </w:r>
      <w:r>
        <w:rPr>
          <w:b/>
          <w:sz w:val="18"/>
          <w:szCs w:val="18"/>
          <w:u w:val="single"/>
        </w:rPr>
        <w:t xml:space="preserve">As </w:t>
      </w:r>
      <w:r>
        <w:rPr>
          <w:b/>
          <w:sz w:val="20"/>
          <w:szCs w:val="20"/>
          <w:u w:val="single"/>
        </w:rPr>
        <w:t>power has negotiated and incorporated differences, it has also developed and deployed a calculus by which to determine the specific critical and ruptural capacities of those forms of difference.</w:t>
      </w:r>
      <w:r>
        <w:rPr>
          <w:sz w:val="20"/>
          <w:szCs w:val="20"/>
        </w:rPr>
        <w:t xml:space="preserve"> We may call this incorpo-ration of modes of difference and the calculus that seeks to determine the properties and functions of those modes </w:t>
      </w:r>
      <w:r>
        <w:rPr>
          <w:i/>
          <w:sz w:val="18"/>
          <w:szCs w:val="18"/>
        </w:rPr>
        <w:t xml:space="preserve">as a will to institutionality. </w:t>
      </w:r>
      <w:r>
        <w:rPr>
          <w:b/>
          <w:sz w:val="20"/>
          <w:szCs w:val="20"/>
          <w:u w:val="single"/>
        </w:rPr>
        <w:t xml:space="preserve">The will to institutionality not only absorbs institutions and modern subjects; it </w:t>
      </w:r>
      <w:r>
        <w:rPr>
          <w:b/>
          <w:sz w:val="18"/>
          <w:szCs w:val="18"/>
          <w:u w:val="single"/>
        </w:rPr>
        <w:t xml:space="preserve">is </w:t>
      </w:r>
      <w:r>
        <w:rPr>
          <w:b/>
          <w:sz w:val="20"/>
          <w:szCs w:val="20"/>
          <w:u w:val="single"/>
        </w:rPr>
        <w:t>itself a mode of subjection as well.</w:t>
      </w:r>
      <w:r>
        <w:rPr>
          <w:sz w:val="20"/>
          <w:szCs w:val="20"/>
        </w:rPr>
        <w:t xml:space="preserve"> We might consider this rumination on administrative power in relation to Judith Butler's observation in </w:t>
      </w:r>
      <w:r>
        <w:rPr>
          <w:i/>
          <w:sz w:val="18"/>
          <w:szCs w:val="18"/>
        </w:rPr>
        <w:t xml:space="preserve">The Psychic Life </w:t>
      </w:r>
      <w:r>
        <w:rPr>
          <w:i/>
          <w:sz w:val="20"/>
          <w:szCs w:val="20"/>
        </w:rPr>
        <w:t xml:space="preserve">o f </w:t>
      </w:r>
      <w:r>
        <w:rPr>
          <w:i/>
          <w:sz w:val="18"/>
          <w:szCs w:val="18"/>
        </w:rPr>
        <w:t xml:space="preserve">Power </w:t>
      </w:r>
      <w:r>
        <w:rPr>
          <w:sz w:val="20"/>
          <w:szCs w:val="20"/>
        </w:rPr>
        <w:t xml:space="preserve">that '''Subjection' signifies the process of becoming subordinated by power as well as the process of becoming a subject."13 Foucault discusses sexuality as a complex apparatus of truth-seeking and truth-producing practices: nearly one hundred and </w:t>
      </w:r>
      <w:r>
        <w:rPr>
          <w:sz w:val="18"/>
          <w:szCs w:val="18"/>
        </w:rPr>
        <w:t xml:space="preserve">fifty </w:t>
      </w:r>
      <w:r>
        <w:rPr>
          <w:sz w:val="20"/>
          <w:szCs w:val="20"/>
        </w:rPr>
        <w:t xml:space="preserve">years have gone into the making of a com- plex machinery for producing true discourses on sex: a deployment that spans a wide segment of history in that it connects the ancient injunc- tion of confession to clinical listening methods. </w:t>
      </w:r>
      <w:r>
        <w:rPr>
          <w:b/>
          <w:sz w:val="20"/>
          <w:szCs w:val="20"/>
          <w:u w:val="single"/>
        </w:rPr>
        <w:t xml:space="preserve">It </w:t>
      </w:r>
      <w:r>
        <w:rPr>
          <w:b/>
          <w:sz w:val="18"/>
          <w:szCs w:val="18"/>
          <w:u w:val="single"/>
        </w:rPr>
        <w:t xml:space="preserve">is </w:t>
      </w:r>
      <w:r>
        <w:rPr>
          <w:b/>
          <w:sz w:val="20"/>
          <w:szCs w:val="20"/>
          <w:u w:val="single"/>
        </w:rPr>
        <w:t>this deployment that enables something called "sexuality" to embody the truth of sex</w:t>
      </w:r>
      <w:r>
        <w:rPr>
          <w:sz w:val="20"/>
          <w:szCs w:val="20"/>
        </w:rPr>
        <w:t xml:space="preserve">. </w:t>
      </w:r>
      <w:r>
        <w:rPr>
          <w:sz w:val="18"/>
          <w:szCs w:val="18"/>
          <w:u w:val="single"/>
        </w:rPr>
        <w:t xml:space="preserve">As </w:t>
      </w:r>
      <w:r>
        <w:rPr>
          <w:sz w:val="20"/>
          <w:szCs w:val="20"/>
          <w:u w:val="single"/>
        </w:rPr>
        <w:t xml:space="preserve">part of that "complex machinery for producing true discourses on sex," sexuality </w:t>
      </w:r>
      <w:r>
        <w:rPr>
          <w:sz w:val="18"/>
          <w:szCs w:val="18"/>
          <w:u w:val="single"/>
        </w:rPr>
        <w:t xml:space="preserve">is </w:t>
      </w:r>
      <w:r>
        <w:rPr>
          <w:sz w:val="20"/>
          <w:szCs w:val="20"/>
          <w:u w:val="single"/>
        </w:rPr>
        <w:t>thus a discursive effect</w:t>
      </w:r>
      <w:r>
        <w:rPr>
          <w:sz w:val="20"/>
          <w:szCs w:val="20"/>
        </w:rPr>
        <w:t xml:space="preserve">. </w:t>
      </w:r>
      <w:r>
        <w:rPr>
          <w:sz w:val="18"/>
          <w:szCs w:val="18"/>
        </w:rPr>
        <w:t xml:space="preserve">As </w:t>
      </w:r>
      <w:r>
        <w:rPr>
          <w:sz w:val="20"/>
          <w:szCs w:val="20"/>
        </w:rPr>
        <w:t xml:space="preserve">the linchpin between "ancient injunc- tions of confession" and "clinical listening methods," </w:t>
      </w:r>
      <w:r>
        <w:rPr>
          <w:b/>
          <w:sz w:val="20"/>
          <w:szCs w:val="20"/>
          <w:u w:val="single"/>
        </w:rPr>
        <w:t xml:space="preserve">sexuality accounts for the discursive outlines of practices geared toward extracting the truth </w:t>
      </w:r>
      <w:r>
        <w:rPr>
          <w:b/>
          <w:sz w:val="18"/>
          <w:szCs w:val="18"/>
          <w:u w:val="single"/>
        </w:rPr>
        <w:t xml:space="preserve">of </w:t>
      </w:r>
      <w:r>
        <w:rPr>
          <w:b/>
          <w:sz w:val="20"/>
          <w:szCs w:val="20"/>
          <w:u w:val="single"/>
        </w:rPr>
        <w:t>sex and gauging the pleasures presumably embodied in it</w:t>
      </w:r>
      <w:r>
        <w:rPr>
          <w:sz w:val="20"/>
          <w:szCs w:val="20"/>
        </w:rPr>
        <w:t xml:space="preserve">. In other words, Foucault's revision of power exposes its affirmative rather than repressive itineraries. As such, </w:t>
      </w:r>
      <w:r>
        <w:rPr>
          <w:b/>
          <w:sz w:val="20"/>
          <w:szCs w:val="20"/>
          <w:u w:val="single"/>
        </w:rPr>
        <w:t xml:space="preserve">this revision accounts not only for sexuality's embodi- ment in truth but its realization in institutionality and administration as well. </w:t>
      </w:r>
    </w:p>
    <w:p xmlns:wp14="http://schemas.microsoft.com/office/word/2010/wordml" w:rsidR="00E756EE" w:rsidP="00E756EE" w:rsidRDefault="00E756EE" w14:paraId="562C75D1" wp14:textId="77777777">
      <w:r>
        <w:rPr>
          <w:sz w:val="20"/>
          <w:szCs w:val="20"/>
        </w:rPr>
        <w:tab/>
      </w:r>
      <w:r>
        <w:rPr>
          <w:sz w:val="20"/>
          <w:szCs w:val="20"/>
        </w:rPr>
        <w:tab/>
      </w:r>
    </w:p>
    <w:p xmlns:wp14="http://schemas.microsoft.com/office/word/2010/wordml" w:rsidR="00E756EE" w:rsidP="00E756EE" w:rsidRDefault="00E756EE" w14:paraId="63353F7A" wp14:textId="77777777">
      <w:pPr>
        <w:pStyle w:val="Heading4"/>
      </w:pPr>
      <w:r>
        <w:t>The will to institutionality attempts to incorporate queerness into institutional schemas through a reliance upon bureaucratic management strategies that make institutionality itself pleasurable-- rather than uncritical belief in institutions, we are in a moment where we must critically interrogate the incorporation of sexuality through the will to institutionality and its administrative ethos.</w:t>
      </w:r>
    </w:p>
    <w:p xmlns:wp14="http://schemas.microsoft.com/office/word/2010/wordml" w:rsidR="00E756EE" w:rsidP="00E756EE" w:rsidRDefault="00E756EE" w14:paraId="781554D4" wp14:textId="77777777">
      <w:pPr>
        <w:rPr>
          <w:sz w:val="20"/>
          <w:szCs w:val="20"/>
        </w:rPr>
      </w:pPr>
      <w:r w:rsidRPr="00E756EE">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223-224]</w:t>
      </w:r>
      <w:r>
        <w:rPr>
          <w:sz w:val="20"/>
          <w:szCs w:val="20"/>
        </w:rPr>
        <w:tab/>
      </w:r>
      <w:r>
        <w:rPr>
          <w:sz w:val="20"/>
          <w:szCs w:val="20"/>
        </w:rPr>
        <w:t xml:space="preserve"> </w:t>
      </w:r>
      <w:r>
        <w:rPr>
          <w:sz w:val="20"/>
          <w:szCs w:val="20"/>
        </w:rPr>
        <w:tab/>
      </w:r>
      <w:r>
        <w:rPr>
          <w:sz w:val="20"/>
          <w:szCs w:val="20"/>
        </w:rPr>
        <w:t xml:space="preserve"> </w:t>
      </w:r>
      <w:r>
        <w:rPr>
          <w:sz w:val="20"/>
          <w:szCs w:val="20"/>
        </w:rPr>
        <w:tab/>
      </w:r>
      <w:r>
        <w:rPr>
          <w:sz w:val="20"/>
          <w:szCs w:val="20"/>
        </w:rPr>
        <w:t xml:space="preserve"> </w:t>
      </w:r>
      <w:r>
        <w:rPr>
          <w:sz w:val="20"/>
          <w:szCs w:val="20"/>
        </w:rPr>
        <w:tab/>
      </w:r>
      <w:r>
        <w:rPr>
          <w:sz w:val="20"/>
          <w:szCs w:val="20"/>
        </w:rPr>
        <w:tab/>
      </w:r>
    </w:p>
    <w:p xmlns:wp14="http://schemas.microsoft.com/office/word/2010/wordml" w:rsidR="00E756EE" w:rsidP="00E756EE" w:rsidRDefault="00E756EE" w14:paraId="188B3380" wp14:textId="77777777">
      <w:pPr>
        <w:rPr>
          <w:b/>
          <w:sz w:val="20"/>
          <w:szCs w:val="20"/>
          <w:u w:val="single"/>
        </w:rPr>
      </w:pPr>
      <w:r>
        <w:rPr>
          <w:b/>
          <w:sz w:val="18"/>
          <w:szCs w:val="18"/>
          <w:u w:val="single"/>
        </w:rPr>
        <w:t xml:space="preserve">To </w:t>
      </w:r>
      <w:r>
        <w:rPr>
          <w:b/>
          <w:sz w:val="20"/>
          <w:szCs w:val="20"/>
          <w:u w:val="single"/>
        </w:rPr>
        <w:t>conceptualize sexuality as an institutional and administrative operation means that sexuality partakes in encounters that we have yet to theorize.</w:t>
      </w:r>
      <w:r>
        <w:rPr>
          <w:sz w:val="20"/>
          <w:szCs w:val="20"/>
        </w:rPr>
        <w:t xml:space="preserve"> In its performative stipulations, for instance, the memo resembles not so much the genre of the confession as the terms of the psychoanalytic en-counter between analyst and analysand. Like these two encounters theo- rized in the first volume of </w:t>
      </w:r>
      <w:r>
        <w:rPr>
          <w:i/>
          <w:sz w:val="20"/>
          <w:szCs w:val="20"/>
        </w:rPr>
        <w:t xml:space="preserve">The History of Sexuality, </w:t>
      </w:r>
      <w:r>
        <w:rPr>
          <w:sz w:val="20"/>
          <w:szCs w:val="20"/>
        </w:rPr>
        <w:t xml:space="preserve">the Atkinson memo </w:t>
      </w:r>
      <w:r>
        <w:rPr>
          <w:sz w:val="18"/>
          <w:szCs w:val="18"/>
        </w:rPr>
        <w:t xml:space="preserve">is </w:t>
      </w:r>
      <w:r>
        <w:rPr>
          <w:sz w:val="20"/>
          <w:szCs w:val="20"/>
        </w:rPr>
        <w:t xml:space="preserve">a procedure for telling the "truth" of sexuality. But, unlike the confes- sion and the psychoanalytic encounter, this declaration is not necessarily for the production of a </w:t>
      </w:r>
      <w:r>
        <w:rPr>
          <w:i/>
          <w:sz w:val="20"/>
          <w:szCs w:val="20"/>
        </w:rPr>
        <w:t xml:space="preserve">scientia sexualis </w:t>
      </w:r>
      <w:r>
        <w:rPr>
          <w:sz w:val="20"/>
          <w:szCs w:val="20"/>
        </w:rPr>
        <w:t xml:space="preserve">"geared to a form of knowledge/ power" but for an </w:t>
      </w:r>
      <w:r>
        <w:rPr>
          <w:i/>
          <w:sz w:val="20"/>
          <w:szCs w:val="20"/>
        </w:rPr>
        <w:t xml:space="preserve">administrative sexualis </w:t>
      </w:r>
      <w:r>
        <w:rPr>
          <w:sz w:val="20"/>
          <w:szCs w:val="20"/>
        </w:rPr>
        <w:t xml:space="preserve">geared to a form of institution- ality/power. </w:t>
      </w:r>
      <w:r>
        <w:rPr>
          <w:b/>
          <w:sz w:val="20"/>
          <w:szCs w:val="20"/>
          <w:u w:val="single"/>
        </w:rPr>
        <w:t>This will to institutionality names the processes by which sexuality becomes claimed by administrative realms and protocols. Such a claim is just one instantiation of contemporary globalization's ingestion of forms of difference.</w:t>
      </w:r>
      <w:r>
        <w:rPr>
          <w:sz w:val="20"/>
          <w:szCs w:val="20"/>
        </w:rPr>
        <w:t xml:space="preserve"> Again, as Stuart Hall argues, </w:t>
      </w:r>
      <w:r>
        <w:rPr>
          <w:sz w:val="20"/>
          <w:szCs w:val="20"/>
          <w:u w:val="single"/>
        </w:rPr>
        <w:t>contemporary globalization cannot simply be grasped as a purely economic phenomenon but indeed as one that attempts to rule through culture and difference</w:t>
      </w:r>
      <w:r>
        <w:rPr>
          <w:sz w:val="20"/>
          <w:szCs w:val="20"/>
        </w:rPr>
        <w:t xml:space="preserve">. </w:t>
      </w:r>
      <w:r>
        <w:rPr>
          <w:sz w:val="18"/>
          <w:szCs w:val="18"/>
        </w:rPr>
        <w:t xml:space="preserve">As </w:t>
      </w:r>
      <w:r>
        <w:rPr>
          <w:sz w:val="20"/>
          <w:szCs w:val="20"/>
        </w:rPr>
        <w:t xml:space="preserve">Hall and Chandra Talpade Mohanty suggest, </w:t>
      </w:r>
      <w:r>
        <w:rPr>
          <w:sz w:val="20"/>
          <w:szCs w:val="20"/>
          <w:u w:val="single"/>
        </w:rPr>
        <w:t>we can also think of the historical moment in which difference became a commodity of capital and of the university as the moment in which a new type of academic subject came into being, one that spoke in terms of the institutionalization of difference. The reasons for that institutionalization varied, but most often it hinged on the promise of permanence.</w:t>
      </w:r>
      <w:r>
        <w:rPr>
          <w:sz w:val="20"/>
          <w:szCs w:val="20"/>
        </w:rPr>
        <w:t xml:space="preserve"> </w:t>
      </w:r>
      <w:r>
        <w:rPr>
          <w:sz w:val="20"/>
          <w:szCs w:val="20"/>
          <w:u w:val="single"/>
        </w:rPr>
        <w:t xml:space="preserve">Modes of inquiry and histories of difference that were once threatened with extinction, existing only as ephemera, would now enjoy the consistency and reliability that </w:t>
      </w:r>
      <w:r>
        <w:rPr>
          <w:sz w:val="20"/>
          <w:szCs w:val="20"/>
          <w:u w:val="single"/>
        </w:rPr>
        <w:lastRenderedPageBreak/>
        <w:t>the institutional form could presumably offer.</w:t>
      </w:r>
      <w:r>
        <w:rPr>
          <w:sz w:val="20"/>
          <w:szCs w:val="20"/>
        </w:rPr>
        <w:t xml:space="preserve"> The demand for the institutionalization of difference requires subjects that treat the administration as a matter of the libido. To paraphrase Nietzsche, </w:t>
      </w:r>
      <w:r>
        <w:rPr>
          <w:b/>
          <w:sz w:val="20"/>
          <w:szCs w:val="20"/>
          <w:u w:val="single"/>
        </w:rPr>
        <w:t xml:space="preserve">we might say that the desire for institutionality has been "transformed among </w:t>
      </w:r>
      <w:r>
        <w:rPr>
          <w:b/>
          <w:sz w:val="18"/>
          <w:szCs w:val="18"/>
          <w:u w:val="single"/>
        </w:rPr>
        <w:t xml:space="preserve">us </w:t>
      </w:r>
      <w:r>
        <w:rPr>
          <w:b/>
          <w:sz w:val="20"/>
          <w:szCs w:val="20"/>
          <w:u w:val="single"/>
        </w:rPr>
        <w:t xml:space="preserve">into a passion which fears no sacrifice, which fears nothing but its own extinction. </w:t>
      </w:r>
      <w:r>
        <w:rPr>
          <w:sz w:val="18"/>
          <w:szCs w:val="18"/>
        </w:rPr>
        <w:t xml:space="preserve">"34 </w:t>
      </w:r>
      <w:r>
        <w:rPr>
          <w:sz w:val="20"/>
          <w:szCs w:val="20"/>
          <w:u w:val="single"/>
        </w:rPr>
        <w:t xml:space="preserve">This subject's agency depends on the very administrative forms of power that manage and discipline forms of difference. </w:t>
      </w:r>
      <w:r>
        <w:rPr>
          <w:b/>
          <w:sz w:val="20"/>
          <w:szCs w:val="20"/>
          <w:u w:val="single"/>
        </w:rPr>
        <w:t xml:space="preserve">This </w:t>
      </w:r>
      <w:r>
        <w:rPr>
          <w:b/>
          <w:sz w:val="18"/>
          <w:szCs w:val="18"/>
          <w:u w:val="single"/>
        </w:rPr>
        <w:t xml:space="preserve">is </w:t>
      </w:r>
      <w:r>
        <w:rPr>
          <w:b/>
          <w:sz w:val="20"/>
          <w:szCs w:val="20"/>
          <w:u w:val="single"/>
        </w:rPr>
        <w:t xml:space="preserve">the historical, political, and ideological context in which queer-ness enters the landscape of modern academic institutions. The administrative university adapts to modes of difference by attempting to normalize them. </w:t>
      </w:r>
      <w:r>
        <w:rPr>
          <w:sz w:val="20"/>
          <w:szCs w:val="20"/>
        </w:rPr>
        <w:t xml:space="preserve">Inasmuch as the grammar for queerness's incorporation into the administrative university </w:t>
      </w:r>
      <w:r>
        <w:rPr>
          <w:sz w:val="18"/>
          <w:szCs w:val="18"/>
        </w:rPr>
        <w:t xml:space="preserve">is </w:t>
      </w:r>
      <w:r>
        <w:rPr>
          <w:sz w:val="20"/>
          <w:szCs w:val="20"/>
        </w:rPr>
        <w:t xml:space="preserve">derived from the university's incorporation of race and gender, </w:t>
      </w:r>
      <w:r>
        <w:rPr>
          <w:b/>
          <w:sz w:val="20"/>
          <w:szCs w:val="20"/>
          <w:u w:val="single"/>
        </w:rPr>
        <w:t xml:space="preserve">understanding the procedures by which queerness </w:t>
      </w:r>
      <w:r>
        <w:rPr>
          <w:b/>
          <w:sz w:val="18"/>
          <w:szCs w:val="18"/>
          <w:u w:val="single"/>
        </w:rPr>
        <w:t xml:space="preserve">is </w:t>
      </w:r>
      <w:r>
        <w:rPr>
          <w:b/>
          <w:sz w:val="20"/>
          <w:szCs w:val="20"/>
          <w:u w:val="single"/>
        </w:rPr>
        <w:t>brought into the administrative ethos means that we have to both comprehend the administrative management of race and gender and theorize the relation of those forms of difference to queerness as an administrative object.</w:t>
      </w:r>
      <w:r>
        <w:rPr>
          <w:sz w:val="20"/>
          <w:szCs w:val="20"/>
        </w:rPr>
        <w:t xml:space="preserve"> </w:t>
      </w:r>
      <w:r>
        <w:rPr>
          <w:b/>
          <w:sz w:val="20"/>
          <w:szCs w:val="20"/>
          <w:u w:val="single"/>
        </w:rPr>
        <w:t xml:space="preserve">This </w:t>
      </w:r>
      <w:r>
        <w:rPr>
          <w:b/>
          <w:sz w:val="18"/>
          <w:szCs w:val="18"/>
          <w:u w:val="single"/>
        </w:rPr>
        <w:t xml:space="preserve">is </w:t>
      </w:r>
      <w:r>
        <w:rPr>
          <w:b/>
          <w:sz w:val="20"/>
          <w:szCs w:val="20"/>
          <w:u w:val="single"/>
        </w:rPr>
        <w:t xml:space="preserve">the political economy that queerness--as a mode of embodiment and </w:t>
      </w:r>
      <w:r>
        <w:rPr>
          <w:b/>
          <w:sz w:val="18"/>
          <w:szCs w:val="18"/>
          <w:u w:val="single"/>
        </w:rPr>
        <w:t xml:space="preserve">as </w:t>
      </w:r>
      <w:r>
        <w:rPr>
          <w:b/>
          <w:sz w:val="20"/>
          <w:szCs w:val="20"/>
          <w:u w:val="single"/>
        </w:rPr>
        <w:t xml:space="preserve">a mode of critique--must negotiate. </w:t>
      </w:r>
      <w:r>
        <w:rPr>
          <w:b/>
          <w:sz w:val="18"/>
          <w:szCs w:val="18"/>
          <w:u w:val="single"/>
        </w:rPr>
        <w:t xml:space="preserve">We </w:t>
      </w:r>
      <w:r>
        <w:rPr>
          <w:b/>
          <w:sz w:val="20"/>
          <w:szCs w:val="20"/>
          <w:u w:val="single"/>
        </w:rPr>
        <w:t xml:space="preserve">are now in a moment in which </w:t>
      </w:r>
      <w:r>
        <w:rPr>
          <w:b/>
          <w:sz w:val="18"/>
          <w:szCs w:val="18"/>
          <w:u w:val="single"/>
        </w:rPr>
        <w:t xml:space="preserve">we </w:t>
      </w:r>
      <w:r>
        <w:rPr>
          <w:b/>
          <w:sz w:val="20"/>
          <w:szCs w:val="20"/>
          <w:u w:val="single"/>
        </w:rPr>
        <w:t>must analyze sexuality and other modes of difference as effects of a will to institutionality.</w:t>
      </w:r>
    </w:p>
    <w:p xmlns:wp14="http://schemas.microsoft.com/office/word/2010/wordml" w:rsidR="00E756EE" w:rsidP="008263E8" w:rsidRDefault="00E756EE" w14:paraId="664355AD" wp14:textId="77777777"/>
    <w:p xmlns:wp14="http://schemas.microsoft.com/office/word/2010/wordml" w:rsidR="008263E8" w:rsidP="008263E8" w:rsidRDefault="008263E8" w14:paraId="4DBF58A3" wp14:textId="77777777">
      <w:pPr>
        <w:pStyle w:val="Heading3"/>
      </w:pPr>
      <w:r>
        <w:lastRenderedPageBreak/>
        <w:t>Cap K--AFF is Pre-Req</w:t>
      </w:r>
    </w:p>
    <w:p xmlns:wp14="http://schemas.microsoft.com/office/word/2010/wordml" w:rsidRPr="004D6D06" w:rsidR="008263E8" w:rsidP="008263E8" w:rsidRDefault="008263E8" w14:paraId="4E030443" wp14:textId="77777777">
      <w:pPr>
        <w:pStyle w:val="Heading4"/>
      </w:pPr>
      <w:r w:rsidRPr="004D6D06">
        <w:t>Structures of capitalism and heteronormativity are deeply connected in that they are reliant on each other: the heterosexual nuclear family as necessary for the reproduction of the labor force leaves space for the white patriarchal workers to affirm distinct sexual communities. In response, the white consumer-queer affirms their own citizenship through a criminalization of those who do not meet the standard of white national homonormativity. Only through destructing the hetero- (or homo-) normative conceptualization of the family and its consumptive behavior can capitalism end.</w:t>
      </w:r>
    </w:p>
    <w:p xmlns:wp14="http://schemas.microsoft.com/office/word/2010/wordml" w:rsidRPr="004D6D06" w:rsidR="008263E8" w:rsidP="008263E8" w:rsidRDefault="008263E8" w14:paraId="7A68574F" wp14:textId="77777777">
      <w:r w:rsidRPr="004D6D06">
        <w:rPr>
          <w:rStyle w:val="Style13ptBold"/>
        </w:rPr>
        <w:t>Puar 17</w:t>
      </w:r>
      <w:r w:rsidRPr="004D6D06">
        <w:t xml:space="preserve"> (Jasbir K., Associate Professor of Women’s and Gender Studies at Rutgers University, received Ph.D in Ethnic Studies from the University of California Berkeley and M.A. in  Women’s Studies from the University of York, England, Terrorist Assemblages: Homonationalism in Queer Times, 26-36, Duke University Press, 2007) //jd</w:t>
      </w:r>
    </w:p>
    <w:p xmlns:wp14="http://schemas.microsoft.com/office/word/2010/wordml" w:rsidRPr="00E84F8E" w:rsidR="008263E8" w:rsidP="0673B170" w:rsidRDefault="008263E8" w14:paraId="12AF75E2" wp14:textId="77777777" wp14:noSpellErr="1">
      <w:pPr>
        <w:pStyle w:val="NormalWeb"/>
        <w:rPr>
          <w:rFonts w:ascii="Arial" w:hAnsi="Arial" w:eastAsia="Arial" w:cs="Arial"/>
          <w:sz w:val="22"/>
          <w:szCs w:val="22"/>
        </w:rPr>
      </w:pPr>
      <w:r w:rsidRPr="0673B170">
        <w:rPr>
          <w:rFonts w:ascii="Arial" w:hAnsi="Arial" w:eastAsia="Arial" w:cs="Arial"/>
          <w:sz w:val="22"/>
          <w:szCs w:val="22"/>
        </w:rPr>
        <w:t>The ascendancy of whiteness for Koshy, as for Chow, is ensconced in (neo)liberal ideologies of difference—market, cultural, and convergences of both—that correspond to ‘‘fitness-within-capitalism’’ and ultimately prom- ise ‘‘incorporation into the American Dream.’’</w:t>
      </w:r>
      <w:r w:rsidRPr="0673B170">
        <w:rPr>
          <w:rFonts w:ascii="Arial" w:hAnsi="Arial" w:eastAsia="Arial" w:cs="Arial"/>
          <w:position w:val="6"/>
          <w:sz w:val="22"/>
          <w:szCs w:val="22"/>
        </w:rPr>
        <w:t xml:space="preserve">∏≤ </w:t>
      </w:r>
      <w:r w:rsidRPr="0673B170">
        <w:rPr>
          <w:rFonts w:ascii="Arial" w:hAnsi="Arial" w:eastAsia="Arial" w:cs="Arial"/>
          <w:sz w:val="22"/>
          <w:szCs w:val="22"/>
        </w:rPr>
        <w:t xml:space="preserve">That this promise always appears almost on the verge of fulfillment, but is never quite satisfied, is what Sara Ahmed alludes to in her claim that ‘‘love may be especially crucial in the event of the failure of the nation to deliver its promise for the good life.’’ </w:t>
      </w:r>
      <w:r w:rsidRPr="0673B170">
        <w:rPr>
          <w:rStyle w:val="StyleUnderline"/>
          <w:rFonts w:ascii="Arial" w:hAnsi="Arial" w:eastAsia="Arial" w:cs="Arial"/>
        </w:rPr>
        <w:t>For Ahmed, national love is a form of waiting, a lingering that registers a ‘‘stigma of inferiority’’ that epitomizes the inner workings of multicultural- ism.</w:t>
      </w:r>
      <w:r w:rsidRPr="0673B170">
        <w:rPr>
          <w:rFonts w:ascii="Arial" w:hAnsi="Arial" w:eastAsia="Arial" w:cs="Arial"/>
          <w:position w:val="6"/>
          <w:sz w:val="22"/>
          <w:szCs w:val="22"/>
          <w:u w:val="single"/>
        </w:rPr>
        <w:t xml:space="preserve">∏≥ </w:t>
      </w:r>
      <w:r w:rsidRPr="0673B170">
        <w:rPr>
          <w:rStyle w:val="StyleUnderline"/>
          <w:rFonts w:ascii="Arial" w:hAnsi="Arial" w:eastAsia="Arial" w:cs="Arial"/>
        </w:rPr>
        <w:t>Unrequited love keeps multicultural (and also homonormative) sub- jects in the folds of nationalism, while xenophobic and homophobic ideolo- gies and policies fester. Through this dynamic the benevolence of the state (and also of the market) can appear boundless while still committed to the anti–gay marriage amendment and the usa patriot Act, as just two exam- ples. Furthermore, the market is a foil for the state, producing consumer subjects (as well as highly skilled laborers) that simulate (and experience simulated) affective modes of belonging to the state, modes that assuage the angst of unrequited love. Thus the nation-state maintains its homophobic and xenophobic stances while capitalizing on its untarnished image of inclu- sion, diversity, and tolerance. Concomitantly, multicultural (and homonor- mative) subjects reorient their loyalty to the nation through market priv- ileges, a remasculinization that Heidi Nast terms ‘‘market virility,’’</w:t>
      </w:r>
      <w:r w:rsidRPr="0673B170">
        <w:rPr>
          <w:rFonts w:ascii="Arial" w:hAnsi="Arial" w:eastAsia="Arial" w:cs="Arial"/>
          <w:position w:val="6"/>
          <w:sz w:val="22"/>
          <w:szCs w:val="22"/>
          <w:u w:val="single"/>
        </w:rPr>
        <w:t>∏</w:t>
      </w:r>
      <w:r w:rsidRPr="0673B170">
        <w:rPr>
          <w:rFonts w:ascii="Arial" w:hAnsi="Arial" w:eastAsia="Arial" w:cs="Arial"/>
          <w:position w:val="6"/>
          <w:sz w:val="22"/>
          <w:szCs w:val="22"/>
        </w:rPr>
        <w:t>∂</w:t>
      </w:r>
      <w:r w:rsidRPr="0673B170">
        <w:rPr>
          <w:rFonts w:ascii="Arial" w:hAnsi="Arial" w:eastAsia="Arial" w:cs="Arial"/>
          <w:position w:val="6"/>
          <w:sz w:val="22"/>
          <w:szCs w:val="22"/>
          <w:u w:val="single"/>
        </w:rPr>
        <w:t xml:space="preserve"> </w:t>
      </w:r>
      <w:r w:rsidRPr="0673B170">
        <w:rPr>
          <w:rStyle w:val="StyleUnderline"/>
          <w:rFonts w:ascii="Arial" w:hAnsi="Arial" w:eastAsia="Arial" w:cs="Arial"/>
        </w:rPr>
        <w:t>that masquerade as forms of belonging to the nation and mediate the humiliation of waiting for national love. Multiculturalism is the accomplice to the ascen- dancy of whiteness, reproducing the biopolitical mandate to live through the proper population statistics; channeled through the optics of gender and class are their attendant attributes and valuations of longevity, illness, health, environment, fertility, and so on.</w:t>
      </w:r>
      <w:r w:rsidRPr="0673B170">
        <w:rPr>
          <w:rFonts w:ascii="Arial" w:hAnsi="Arial" w:eastAsia="Arial" w:cs="Arial"/>
          <w:sz w:val="22"/>
          <w:szCs w:val="22"/>
        </w:rPr>
        <w:t xml:space="preserve"> Through the pining for national love, the temporality of multicultural model minority discourses is one of futurity, an endlessly deferred or deflected gratification, mirroring bio- power’s constant march forward, away from death, where the securitization for today funnels back through guarantees of the quality of life for tomorrow. This requires gender and sexual normativity and the reproduction of the hybrid multicultural body politic in exchange for lucrative possibilities within the global economy. </w:t>
      </w:r>
      <w:r w:rsidRPr="0673B170">
        <w:rPr>
          <w:rStyle w:val="StyleUnderline"/>
          <w:rFonts w:ascii="Arial" w:hAnsi="Arial" w:eastAsia="Arial" w:cs="Arial"/>
        </w:rPr>
        <w:t xml:space="preserve">But is multiculturalization unequivocally heteronormativization? What are the stakes in rigid sexual and gendered dynamics of this multicultural- ism, for those who can sustain this </w:t>
      </w:r>
      <w:r w:rsidRPr="0673B170">
        <w:rPr>
          <w:rStyle w:val="StyleUnderline"/>
          <w:rFonts w:ascii="Arial" w:hAnsi="Arial" w:eastAsia="Arial" w:cs="Arial"/>
        </w:rPr>
        <w:lastRenderedPageBreak/>
        <w:t>unrequited love, and for those who cannot, dare not, begin to imagine its possibility? A foregone conclusion might be that multiculturalism as heteronormativization works to police sexual and gender relations and embodiments similar to its classist gate- keeping logic. But the history of capitalist developments and kinship forms (the move from subsistence labor to waged labor in the late 1800s and early 1900s that allowed for gay male urban subcultures) intimates that capital- ism is ambivalent:</w:t>
      </w:r>
      <w:r w:rsidRPr="0673B170">
        <w:rPr>
          <w:rFonts w:ascii="Arial" w:hAnsi="Arial" w:eastAsia="Arial" w:cs="Arial"/>
          <w:sz w:val="22"/>
          <w:szCs w:val="22"/>
        </w:rPr>
        <w:t xml:space="preserve"> </w:t>
      </w:r>
      <w:r w:rsidRPr="0673B170">
        <w:rPr>
          <w:rStyle w:val="StyleUnderline"/>
          <w:rFonts w:ascii="Arial" w:hAnsi="Arial" w:eastAsia="Arial" w:cs="Arial"/>
        </w:rPr>
        <w:t xml:space="preserve">the very workings of capital that instantiate the hetero- sexual nuclear family as pivotal for the reproduction of the labor force, the relegation of women to free labor in the house or as underwaged surplus workers, and the family as the basic social unit of intimacy that mediates the brutalities of the working world are factors that have freed (predomi- nantly white male) workers to form alternative sexual and kinship commu- nities and networks.∏∑ Both consolidation and rupturing of traditional het- erosexual family forms are possible, but in our present-day global economy the prerequisite mobility is, as it was before, constrained by race, ethnicity, gender, class, and citizenship. As Ann Pelligrini writes, ‘‘The invention of homosexuality was also, then, the invention of heterosexuality, and family has shifted from site of production to site of consumption.’’∏∏ </w:t>
      </w:r>
      <w:r w:rsidRPr="0673B170">
        <w:rPr>
          <w:rFonts w:ascii="Arial" w:hAnsi="Arial" w:eastAsia="Arial" w:cs="Arial"/>
          <w:sz w:val="22"/>
          <w:szCs w:val="22"/>
        </w:rPr>
        <w:t>If we follow Koshy’s lead on the ‘‘political culture of market individual- ism,’’ access to capital—‘‘market virility’’—mediates national belonging and the folding into life for multicultural ethnic subjects, homonormative sub- jects, and possibly even some of those subjects positioned at the intersection of the two.</w:t>
      </w:r>
      <w:r w:rsidRPr="0673B170">
        <w:rPr>
          <w:rFonts w:ascii="Arial" w:hAnsi="Arial" w:eastAsia="Arial" w:cs="Arial"/>
          <w:position w:val="6"/>
          <w:sz w:val="22"/>
          <w:szCs w:val="22"/>
        </w:rPr>
        <w:t xml:space="preserve">∏π </w:t>
      </w:r>
      <w:r w:rsidRPr="0673B170">
        <w:rPr>
          <w:rStyle w:val="StyleUnderline"/>
          <w:rFonts w:ascii="Arial" w:hAnsi="Arial" w:eastAsia="Arial" w:cs="Arial"/>
        </w:rPr>
        <w:t>For the ethnic, heteronormativity is mandated by the nation-state yet negotiable through the market, that is, conspicuous consumption and high-skilled labor; for the homonormative, whiteness is mandated by the state but negotiable through the market, again both for labor and con- sumption</w:t>
      </w:r>
      <w:r w:rsidRPr="0673B170">
        <w:rPr>
          <w:rFonts w:ascii="Arial" w:hAnsi="Arial" w:eastAsia="Arial" w:cs="Arial"/>
          <w:sz w:val="22"/>
          <w:szCs w:val="22"/>
        </w:rPr>
        <w:t xml:space="preserve">. The figure of the queer or homonormative ethnic is crucial for the appearance of diversity in homonormative communities (arriving as the difference of culture rather than as the simulacra of capital) and tolerance in ethnic and racialized immigrant communities (marked as an entrance of alternative lifestyle rather than through the commonalities of capital). Iron- ically, the queer ethnic is also a marker of the homophobia (and the claim that homosexuality reflects the taint of the west) of his or her racial/ethnic/ immigrant community while in homonormative spaces, perhaps more so than a marker of the racism of homonormative communities while in one’s home community. (This might be so because the benevolent [U.S] state has to date made more concessions to the ethnics—a folding into life—than to the homos, at least in terms of civil rights and its historical trajectory.) </w:t>
      </w:r>
      <w:r w:rsidRPr="0673B170">
        <w:rPr>
          <w:rStyle w:val="StyleUnderline"/>
          <w:rFonts w:ascii="Arial" w:hAnsi="Arial" w:eastAsia="Arial" w:cs="Arial"/>
        </w:rPr>
        <w:t>The factioning, fractioning, and fractalizing of identity is a prime activity of societies of control, whereby subjects (the ethnic, the homonormative) orient themselves as subjects through their disassociation or disidentifica- tion from others disenfranchised in similar ways in favor of consolidation with axes of privilege. The queer or homonormative ethnic is a crucial fractal in the disaggregation of proper homosexual subjects, joining the ranks of an ascendant population of whiteness, from perversely sexualized populations. As with the class fraction that projects a model minority, we have here a class, race, and sexual fraction projected to the market as the homonormative gay or queer consumer. This is a consumer without kin, the best kind, projected to the state as a reproducer of heteronorms, where associations with white national hetero- and homonormative bodies trump the desire for queer alliances across class, race, and citizenship</w:t>
      </w:r>
      <w:r w:rsidRPr="0673B170">
        <w:rPr>
          <w:rFonts w:ascii="Arial" w:hAnsi="Arial" w:eastAsia="Arial" w:cs="Arial"/>
          <w:sz w:val="22"/>
          <w:szCs w:val="22"/>
        </w:rPr>
        <w:t>. But what of racialized immigrants or people of color who fall outside the class param- eters of the model minority ethnic, of the homonormative, or who inhabit the intersection of the two: the queer (immigrant) of color? As Lisa Duggan reminds us, neoliberalism’s privatizing agenda from the 1970s onward has dismantled an already minimal welfare state.</w:t>
      </w:r>
      <w:r w:rsidRPr="0673B170">
        <w:rPr>
          <w:rFonts w:ascii="Arial" w:hAnsi="Arial" w:eastAsia="Arial" w:cs="Arial"/>
          <w:position w:val="6"/>
          <w:sz w:val="22"/>
          <w:szCs w:val="22"/>
        </w:rPr>
        <w:t xml:space="preserve">∏∫ </w:t>
      </w:r>
      <w:r w:rsidRPr="0673B170">
        <w:rPr>
          <w:rFonts w:ascii="Arial" w:hAnsi="Arial" w:eastAsia="Arial" w:cs="Arial"/>
          <w:sz w:val="22"/>
          <w:szCs w:val="22"/>
        </w:rPr>
        <w:t xml:space="preserve">She notes that welfare downsizing nearly mandates heterosexual conjugal marriage; this downsiz- ing, epitomized by the 1996 Welfare Reform Act, also resulted in a number of policies that linked the promotion of heterosexual marriage through welfare reform as </w:t>
      </w:r>
      <w:r w:rsidRPr="0673B170">
        <w:rPr>
          <w:rFonts w:ascii="Arial" w:hAnsi="Arial" w:eastAsia="Arial" w:cs="Arial"/>
          <w:sz w:val="22"/>
          <w:szCs w:val="22"/>
        </w:rPr>
        <w:lastRenderedPageBreak/>
        <w:t>it sought to produce more stable traditional kinship con- figurations, the ‘‘politics of privatization’’ of heterosexual marriage.</w:t>
      </w:r>
      <w:r w:rsidRPr="0673B170">
        <w:rPr>
          <w:rFonts w:ascii="Arial" w:hAnsi="Arial" w:eastAsia="Arial" w:cs="Arial"/>
          <w:position w:val="6"/>
          <w:sz w:val="22"/>
          <w:szCs w:val="22"/>
        </w:rPr>
        <w:t xml:space="preserve">∏Ω </w:t>
      </w:r>
      <w:r w:rsidRPr="0673B170">
        <w:rPr>
          <w:rFonts w:ascii="Arial" w:hAnsi="Arial" w:eastAsia="Arial" w:cs="Arial"/>
          <w:sz w:val="22"/>
          <w:szCs w:val="22"/>
        </w:rPr>
        <w:t>Duggan argues that aside from the moralizing agendas of the ‘‘family values’’ cohort, there are obvious economic benefits for the state in pushing heterosexual marriage. Further, moralizing arguments, entrenched within the rubric of culture, obscure economic exploitation: ‘‘</w:t>
      </w:r>
      <w:r w:rsidRPr="0673B170">
        <w:rPr>
          <w:rStyle w:val="StyleUnderline"/>
          <w:rFonts w:ascii="Arial" w:hAnsi="Arial" w:eastAsia="Arial" w:cs="Arial"/>
        </w:rPr>
        <w:t>The effort to pro- mote marriage among low-income populations works at the rhetorical level to shift blame for economic hardship onto the marital practices of the poor rather than on the loss of jobs, employment benefits or government ser- vices,’’</w:t>
      </w:r>
      <w:r w:rsidRPr="0673B170">
        <w:rPr>
          <w:rFonts w:ascii="Arial" w:hAnsi="Arial" w:eastAsia="Arial" w:cs="Arial"/>
          <w:position w:val="6"/>
          <w:sz w:val="22"/>
          <w:szCs w:val="22"/>
          <w:u w:val="single"/>
        </w:rPr>
        <w:t xml:space="preserve">π≠ t</w:t>
      </w:r>
      <w:r w:rsidRPr="0673B170">
        <w:rPr>
          <w:rStyle w:val="StyleUnderline"/>
          <w:rFonts w:ascii="Arial" w:hAnsi="Arial" w:eastAsia="Arial" w:cs="Arial"/>
        </w:rPr>
        <w:t>hose marital practices coded as problematic cultural and racial anomalies (polygamy, matriarchy, gender segregation) or coded as failures due to cultural and racial attributes (black welfare queen). Likewise, immi- gration policies hinge on family reunification and sponsorship from family members, not to mention reliance on family for opportunities for employ- ment, housing, language, and vital community and religious networks that aid in acculturation and cushion against racist and classist state practices and everyday racism. We have here all the makings of the discourse attached to immigrant populations and communities of color about a more overt disapproval of homosexuality and a more deeply entrenched homophobia, this homo- phobia cast as properly conservative and traditional when it serves the political right and the state, cast as uncosmopolitan and hopelessly provin- cial when it can fuel anti-immigrant, counterterrorist, and antiwelfare dis- courses. But also, heteronormative multiculturalism and gay and lesbian liberation are frames that are indebted to the understanding of immigrant families and communities of color as more homophobic than white main- stream American families. The descriptor ‘‘homophobic culture’’ elides the workings of economic disparities and the differentiation between cosmo- politan ethnicity and pathological racialization, a feature of neoliberalism’s reproduction of the separation of economic justice from identity politics.π</w:t>
      </w:r>
      <w:r w:rsidRPr="0673B170">
        <w:rPr>
          <w:rFonts w:ascii="Arial" w:hAnsi="Arial" w:eastAsia="Arial" w:cs="Arial"/>
          <w:position w:val="6"/>
          <w:sz w:val="22"/>
          <w:szCs w:val="22"/>
          <w:u w:val="single"/>
        </w:rPr>
        <w:t xml:space="preserve">∞ W</w:t>
      </w:r>
      <w:r w:rsidRPr="0673B170">
        <w:rPr>
          <w:rStyle w:val="StyleUnderline"/>
          <w:rFonts w:ascii="Arial" w:hAnsi="Arial" w:eastAsia="Arial" w:cs="Arial"/>
        </w:rPr>
        <w:t>here it appears palpable or deemed locatable, empirically and experien- tially, the designation of homophobia produces a geopolitical mapping of neoliberal power relations in the guise of cultures of sexual expression and repression.</w:t>
      </w:r>
      <w:r w:rsidRPr="0673B170">
        <w:rPr>
          <w:rFonts w:ascii="Arial" w:hAnsi="Arial" w:eastAsia="Arial" w:cs="Arial"/>
          <w:sz w:val="22"/>
          <w:szCs w:val="22"/>
        </w:rPr>
        <w:t xml:space="preserve"> Debates regarding which communities, countries, cultures, or religions are more, less, equally, similarly, or differently homophobic miss a more critical assessment regarding the conditions of its possibility and im- possibility, conditions revolving around economic incentives, state policies on welfare and immigration, and racial hierarchy, rather than some ab- stracted or disengaged notion of culture per se. Gay marriage, for example, is not simply a demand for equality with heterosexual norms, but more impor- tantly a demand for reinstatement of white privileges and rights—rights of property and inheritance in particular —while for others, gay marriage and domestic partnership are driven by dire needs for health care. For George W. Bush during the 2004 election season, opposition to gay marriage spawned otherwise elusive photo ops in African American churches, supplementing right-wing forays into churches in communities of color.π</w:t>
      </w:r>
      <w:r w:rsidRPr="0673B170">
        <w:rPr>
          <w:rFonts w:ascii="Arial" w:hAnsi="Arial" w:eastAsia="Arial" w:cs="Arial"/>
          <w:position w:val="6"/>
          <w:sz w:val="22"/>
          <w:szCs w:val="22"/>
        </w:rPr>
        <w:t xml:space="preserve">≤ T</w:t>
      </w:r>
      <w:r w:rsidRPr="0673B170">
        <w:rPr>
          <w:rFonts w:ascii="Arial" w:hAnsi="Arial" w:eastAsia="Arial" w:cs="Arial"/>
          <w:sz w:val="22"/>
          <w:szCs w:val="22"/>
        </w:rPr>
        <w:t xml:space="preserve">he right wing relies on poor immigrant labor for its hegemonic ideological base—family values, faith-based initiatives, anti–gay marriage, anti–gay adoption rights, antichoice—and reproduces the economic and political conditions of compul- sory heterosexuality and thus is the breeding ground for homophobia. Most critiques of homonormative political formations observe the com- plicity of heteronorms of gender and kinship without noting their repro- duction of racial and national norms (if another norm is noticed, it is often class). T</w:t>
      </w:r>
      <w:r w:rsidRPr="0673B170">
        <w:rPr>
          <w:rStyle w:val="StyleUnderline"/>
          <w:rFonts w:ascii="Arial" w:hAnsi="Arial" w:eastAsia="Arial" w:cs="Arial"/>
        </w:rPr>
        <w:t>hrough the ascendancy of heteronormativity there are implicit and increasingly explicit interests in the ascendancy to whiteness and attendant citizenship privileges (gay marriage is the most pertinent example of this), a variant of which Heidi Nast terms ‘‘queer white patriarchy.’’π</w:t>
      </w:r>
      <w:r w:rsidRPr="0673B170">
        <w:rPr>
          <w:rFonts w:ascii="Arial" w:hAnsi="Arial" w:eastAsia="Arial" w:cs="Arial"/>
          <w:position w:val="6"/>
          <w:sz w:val="22"/>
          <w:szCs w:val="22"/>
          <w:u w:val="single"/>
        </w:rPr>
        <w:t xml:space="preserve">≥ I</w:t>
      </w:r>
      <w:r w:rsidRPr="0673B170">
        <w:rPr>
          <w:rStyle w:val="StyleUnderline"/>
          <w:rFonts w:ascii="Arial" w:hAnsi="Arial" w:eastAsia="Arial" w:cs="Arial"/>
        </w:rPr>
        <w:t xml:space="preserve">n a highly contentious essay, Nast maintains that ‘‘there is substantial room for discus- sion about white patriarchal privilege outside heterosexual confines.’’ She expounds on a trenchant point about the displacement of white heterosex- ual male beneficiaries of capitalism by white gay males w</w:t>
      </w:r>
      <w:r w:rsidRPr="0673B170">
        <w:rPr>
          <w:rStyle w:val="StyleUnderline"/>
          <w:rFonts w:ascii="Arial" w:hAnsi="Arial" w:eastAsia="Arial" w:cs="Arial"/>
        </w:rPr>
        <w:lastRenderedPageBreak/>
        <w:t>ho ‘‘hold a com- petitive edge: With no necessary ideological-material ties to biologically based house-holding and the attendant mobility frictions these entail, they share the potential for considerable, if ironic, patriarchal advantage that is relational and cuts across lines of class.</w:t>
      </w:r>
      <w:r w:rsidRPr="0673B170">
        <w:rPr>
          <w:rFonts w:ascii="Arial" w:hAnsi="Arial" w:eastAsia="Arial" w:cs="Arial"/>
          <w:sz w:val="22"/>
          <w:szCs w:val="22"/>
        </w:rPr>
        <w:t>’’π</w:t>
      </w:r>
      <w:r w:rsidRPr="0673B170">
        <w:rPr>
          <w:rFonts w:ascii="Arial" w:hAnsi="Arial" w:eastAsia="Arial" w:cs="Arial"/>
          <w:position w:val="6"/>
          <w:sz w:val="22"/>
          <w:szCs w:val="22"/>
        </w:rPr>
        <w:t xml:space="preserve">∂ W</w:t>
      </w:r>
      <w:r w:rsidRPr="0673B170">
        <w:rPr>
          <w:rFonts w:ascii="Arial" w:hAnsi="Arial" w:eastAsia="Arial" w:cs="Arial"/>
          <w:sz w:val="22"/>
          <w:szCs w:val="22"/>
        </w:rPr>
        <w:t>hile Lisa Duggan refuses the paralleling or equalizing of homonormativity to heteronormativity, point- ing out that dominant heteronormative social, political, and economic structures are ultimately impossible to trump regardless of homonormative privilege,π</w:t>
      </w:r>
      <w:r w:rsidRPr="0673B170">
        <w:rPr>
          <w:rFonts w:ascii="Arial" w:hAnsi="Arial" w:eastAsia="Arial" w:cs="Arial"/>
          <w:position w:val="6"/>
          <w:sz w:val="22"/>
          <w:szCs w:val="22"/>
        </w:rPr>
        <w:t xml:space="preserve">∑ f</w:t>
      </w:r>
      <w:r w:rsidRPr="0673B170">
        <w:rPr>
          <w:rFonts w:ascii="Arial" w:hAnsi="Arial" w:eastAsia="Arial" w:cs="Arial"/>
          <w:sz w:val="22"/>
          <w:szCs w:val="22"/>
        </w:rPr>
        <w:t>rom a neo-Marxist approach Nast marks the privileges of queer patriarchy through ‘‘market virility’’ and the paternal control of ‘‘the prod- ucts of reproduction.’’ Folded into life and reproducing life, an aspirant class of wealthy white gay males who can simulate the biopolitical mandate to reproduce and regenerate may actually have it better than their hetero counterparts, perhaps even significantly so.π</w:t>
      </w:r>
      <w:r w:rsidRPr="0673B170">
        <w:rPr>
          <w:rFonts w:ascii="Arial" w:hAnsi="Arial" w:eastAsia="Arial" w:cs="Arial"/>
          <w:position w:val="6"/>
          <w:sz w:val="22"/>
          <w:szCs w:val="22"/>
        </w:rPr>
        <w:t xml:space="preserve">∏ I</w:t>
      </w:r>
      <w:r w:rsidRPr="0673B170">
        <w:rPr>
          <w:rFonts w:ascii="Arial" w:hAnsi="Arial" w:eastAsia="Arial" w:cs="Arial"/>
          <w:sz w:val="22"/>
          <w:szCs w:val="22"/>
        </w:rPr>
        <w:t xml:space="preserve">mplicating white lesbians as part of this scenario (of paternity?) via the global circuits of transnational adoption, David Eng writes, ‘</w:t>
      </w:r>
      <w:r w:rsidRPr="0673B170">
        <w:rPr>
          <w:rStyle w:val="StyleUnderline"/>
          <w:rFonts w:ascii="Arial" w:hAnsi="Arial" w:eastAsia="Arial" w:cs="Arial"/>
        </w:rPr>
        <w:t xml:space="preserve">‘[Transnational adoption] is becoming a popular and viable option not only for heterosex- ual but also—and increasingly—for homosexual couples and singles seeking to (re)consolidate and (re)occupy conventional structures of family and kinship.’’ Noting a historical and political shift from discourses and prac- tices of disa≈liation from homophobic families to modes of assembling homosexual kinship norms, he states, ‘‘Gays and lesbians today are no longer eccentric to structures of family and kinship.’’ Further, through a reading of a John Hancock commercial featuring two white American les- bians at a major U.S. airport ushering their newly adopted Chinese baby girl through immigration and customs, Eng contends that white American les- bians with capital are ‘‘an emerging consumer niche group.’’ Querying the ‘‘ethics of multiculturalism,’’ not to mention flexible accumulation, global capital, and exploitation immanent to the contemporary emergence of the ‘‘new global family,’’ Eng ponders, ‘‘How is this respectable lesbian couple with money being positioned as the idealized inhabitants of an increasingly acceptable gay version of the nuclear family?’’ππ His argument intimates that Chinese adoptees (and other nationalities and ethnicities that are not black) have become, and need to be turned into, surrogate white children. </w:t>
      </w:r>
      <w:r w:rsidRPr="0673B170">
        <w:rPr>
          <w:rFonts w:ascii="Arial" w:hAnsi="Arial" w:eastAsia="Arial" w:cs="Arial"/>
          <w:sz w:val="22"/>
          <w:szCs w:val="22"/>
        </w:rPr>
        <w:t xml:space="preserve">Queer liberalism embraces these spaces of diversity through what Chow names the ‘‘white liberalist alibi.’’ Paraphrasing Robyn Wiegman, she writes of ‘‘the particular formation of the contemporary, politically correct white subject, who imagines that he has already successfully disaffiliated from his culture’s previous, more brutal forms of racism.’’π</w:t>
      </w:r>
      <w:r w:rsidRPr="0673B170">
        <w:rPr>
          <w:rFonts w:ascii="Arial" w:hAnsi="Arial" w:eastAsia="Arial" w:cs="Arial"/>
          <w:position w:val="6"/>
          <w:sz w:val="22"/>
          <w:szCs w:val="22"/>
        </w:rPr>
        <w:t xml:space="preserve">∫ T</w:t>
      </w:r>
      <w:r w:rsidRPr="0673B170">
        <w:rPr>
          <w:rFonts w:ascii="Arial" w:hAnsi="Arial" w:eastAsia="Arial" w:cs="Arial"/>
          <w:sz w:val="22"/>
          <w:szCs w:val="22"/>
        </w:rPr>
        <w:t>o be excused from a critique of one’s own power manipulations is the appeal of white liberalism, the underpinnings of the ascendancy of whiteness, which is not a conservative, racist formation bent on extermination, but rather an insid- ious liberal one proffering an innocuous inclusion into life.π</w:t>
      </w:r>
      <w:r w:rsidRPr="0673B170">
        <w:rPr>
          <w:rFonts w:ascii="Arial" w:hAnsi="Arial" w:eastAsia="Arial" w:cs="Arial"/>
          <w:position w:val="6"/>
          <w:sz w:val="22"/>
          <w:szCs w:val="22"/>
        </w:rPr>
        <w:t xml:space="preserve">Ω T</w:t>
      </w:r>
      <w:r w:rsidRPr="0673B170">
        <w:rPr>
          <w:rFonts w:ascii="Arial" w:hAnsi="Arial" w:eastAsia="Arial" w:cs="Arial"/>
          <w:sz w:val="22"/>
          <w:szCs w:val="22"/>
        </w:rPr>
        <w:t xml:space="preserve">hese two examples from Nast and Eng suggest that the capitalist reproductive econ- omy (in conjunction with technology: in vitro, sperm banks, cloning, sex selection, genetic testing) no longer exclusively demands heteronormativ- ity as an absolute; its simulation may do. T</w:t>
      </w:r>
      <w:r w:rsidRPr="0673B170">
        <w:rPr>
          <w:rStyle w:val="StyleUnderline"/>
          <w:rFonts w:ascii="Arial" w:hAnsi="Arial" w:eastAsia="Arial" w:cs="Arial"/>
        </w:rPr>
        <w:t xml:space="preserve">o summarize, the ascendancy of whiteness, rendering both disciplinary subjects and population norms, is not strictly delimited to white subjects, though it is bound to multiculturalism as defined and deployed by white- ness. The ethnic aids the project of whiteness through his or her participa- tion in global economic privileges that then fraction him or her away from racial alliances that would call for cross-class a≈nities even as the project of multiculturalism might make him or her seem truly and authentically rep- resentative of his or her ethnicity. Neither is the ascendancy of whiteness strictly bound to heterosexuality, though it is bound to heteronormativity. That is to say, we can indeed mark a specific historical shift: the project of whiteness is assisted and benefited by homosexual populations that partici- pate in the same identitarian and economic hegemonies as those hetero subjects complicit with this ascendancy. </w:t>
      </w:r>
      <w:r w:rsidRPr="0673B170">
        <w:rPr>
          <w:rFonts w:ascii="Arial" w:hAnsi="Arial" w:eastAsia="Arial" w:cs="Arial"/>
          <w:sz w:val="22"/>
          <w:szCs w:val="22"/>
        </w:rPr>
        <w:t xml:space="preserve">The homonormative aids the project of heteronormativity through the fractioning a</w:t>
      </w:r>
      <w:r w:rsidRPr="0673B170">
        <w:rPr>
          <w:rFonts w:ascii="Arial" w:hAnsi="Arial" w:eastAsia="Arial" w:cs="Arial"/>
          <w:sz w:val="22"/>
          <w:szCs w:val="22"/>
        </w:rPr>
        <w:lastRenderedPageBreak/>
        <w:t>way of queer alliances in favor of adherence to the reproduction of class, gender, and racial norms. The ascendancy of heteronormativity, therefore, is not tethered to hetero- sexuals; neither is it discretely delimited to white people, though it is bound to whiteness. This is where the good ethnic comes in. While the good (straight) ethnic has been a recipient of ‘‘measures of benevolence,’’∫</w:t>
      </w:r>
      <w:r w:rsidRPr="0673B170">
        <w:rPr>
          <w:rFonts w:ascii="Arial" w:hAnsi="Arial" w:eastAsia="Arial" w:cs="Arial"/>
          <w:position w:val="6"/>
          <w:sz w:val="22"/>
          <w:szCs w:val="22"/>
        </w:rPr>
        <w:t xml:space="preserve">≠ th</w:t>
      </w:r>
      <w:r w:rsidRPr="0673B170">
        <w:rPr>
          <w:rFonts w:ascii="Arial" w:hAnsi="Arial" w:eastAsia="Arial" w:cs="Arial"/>
          <w:sz w:val="22"/>
          <w:szCs w:val="22"/>
        </w:rPr>
        <w:t>at is, folded into life, for several decades now, the (white) homonormative is a more recent entrant of this benevolence (civil rights and market) that pro- duces affective be/longing that never fully rewards its captives yet nonethe- less fosters longing and yearning as a√ects of nationalism. I belabor these stiff emplotments, well aware of the dangerous communion of descriptive and prescriptive narrative, to elucidate the manufacture of figures (and communities) and their attendant mythologies. Taken together, these fig- ures play and are played o√ each other to cohere a pernicious binary that has emerged in the post–civil rights era in legislative, activist, and scholarly realms: the homosexual other is white, the racial other is straight. Queer Necropolitics In 1992, Judith Butler, faulting Foucault’s The History of Sexuality for his ‘‘wishful construction: death is effectively expelled from Western moder- nity, cast behind it as a historical possibility, surpassed or cast outside it as a non-Western phenomenon,’’ asks us to revaluate biopolitical investment in fostering life from the vantage point of homosexual bodies that have been historically cathected to death, specifically queer bodies afflicted with or threatened by the hiv pandemic.∫∞</w:t>
      </w:r>
      <w:r w:rsidRPr="0673B170">
        <w:rPr>
          <w:rFonts w:ascii="Arial" w:hAnsi="Arial" w:eastAsia="Arial" w:cs="Arial"/>
          <w:position w:val="6"/>
          <w:sz w:val="22"/>
          <w:szCs w:val="22"/>
        </w:rPr>
        <w:t xml:space="preserve"> Fo</w:t>
      </w:r>
      <w:r w:rsidRPr="0673B170">
        <w:rPr>
          <w:rFonts w:ascii="Arial" w:hAnsi="Arial" w:eastAsia="Arial" w:cs="Arial"/>
          <w:sz w:val="22"/>
          <w:szCs w:val="22"/>
        </w:rPr>
        <w:t xml:space="preserve">r Foucault, modern biopower, emerg- ing at the end of the eighteenth century, is the management of life—the distribution of risk, possibility, mortality, life chances, health, environ- ment, quality of living—the differential investment of and in the imperative to live. In biopower, propagating death is no longer the central concern of the state; staving o√ death is. Cultivating life is coextensive with the sov- ereign right to kill, and death becomes merely reflective, a byproduct, a secondary effect of the primary aim and efforts of those cultivating or being cultivated for life. Death is never a primary focus; it is a negative translation of the imperative to live, occurring only through the transit of fostering life. Death becomes a form of collateral damage in the pursuit of life. This distancing from death is a fallacy of modernity, a hallucination that allows for the unimpeded workings of biopolitics. In</w:t>
      </w:r>
      <w:r w:rsidRPr="0673B170">
        <w:rPr>
          <w:rStyle w:val="StyleUnderline"/>
          <w:rFonts w:ascii="Arial" w:hAnsi="Arial" w:eastAsia="Arial" w:cs="Arial"/>
        </w:rPr>
        <w:t xml:space="preserve"> ‘‘Society Must Be De- fended’’ Foucault avers, ‘‘Death was no longer something that suddenly swooped down on life, as in an epidemic. Death was now something perma- nent, something that slips into life, perpetually gnaws at it, diminishes it and weakens it.’’∫≤</w:t>
      </w:r>
      <w:r w:rsidRPr="0673B170">
        <w:rPr>
          <w:rFonts w:ascii="Arial" w:hAnsi="Arial" w:eastAsia="Arial" w:cs="Arial"/>
          <w:position w:val="6"/>
          <w:sz w:val="22"/>
          <w:szCs w:val="22"/>
          <w:u w:val="single"/>
        </w:rPr>
        <w:t xml:space="preserve"> Bu</w:t>
      </w:r>
      <w:r w:rsidRPr="0673B170">
        <w:rPr>
          <w:rStyle w:val="StyleUnderline"/>
          <w:rFonts w:ascii="Arial" w:hAnsi="Arial" w:eastAsia="Arial" w:cs="Arial"/>
        </w:rPr>
        <w:t>tler, transposing the historical frame of Foucault’s elaboration of biopower onto the context of contemporary politics of life and death, notes the irony of Foucault’s untimely death in 1984 due to causes related to aids, at that time an epidemic on the cusp of its exponen- tial detonation.∫≥</w:t>
      </w:r>
      <w:r w:rsidRPr="0673B170">
        <w:rPr>
          <w:rFonts w:ascii="Arial" w:hAnsi="Arial" w:eastAsia="Arial" w:cs="Arial"/>
          <w:position w:val="6"/>
          <w:sz w:val="22"/>
          <w:szCs w:val="22"/>
          <w:u w:val="single"/>
        </w:rPr>
        <w:t xml:space="preserve"> Th</w:t>
      </w:r>
      <w:r w:rsidRPr="0673B170">
        <w:rPr>
          <w:rStyle w:val="StyleUnderline"/>
          <w:rFonts w:ascii="Arial" w:hAnsi="Arial" w:eastAsia="Arial" w:cs="Arial"/>
        </w:rPr>
        <w:t>us, Butler’s 1992 analysis returns bodies to death, spe- cifically queer bodies afflicted with or threatened by the hiv virus.∫∂</w:t>
      </w:r>
      <w:r w:rsidRPr="0673B170">
        <w:rPr>
          <w:rFonts w:ascii="Arial" w:hAnsi="Arial" w:eastAsia="Arial" w:cs="Arial"/>
          <w:position w:val="6"/>
          <w:sz w:val="22"/>
          <w:szCs w:val="22"/>
          <w:u w:val="single"/>
        </w:rPr>
        <w:t xml:space="preserve"> </w:t>
      </w:r>
      <w:r w:rsidRPr="0673B170">
        <w:rPr>
          <w:rFonts w:ascii="Arial" w:hAnsi="Arial" w:eastAsia="Arial" w:cs="Arial"/>
          <w:position w:val="6"/>
          <w:sz w:val="22"/>
          <w:szCs w:val="22"/>
        </w:rPr>
        <w:t>W</w:t>
      </w:r>
      <w:r w:rsidRPr="0673B170">
        <w:rPr>
          <w:rFonts w:ascii="Arial" w:hAnsi="Arial" w:eastAsia="Arial" w:cs="Arial"/>
          <w:position w:val="6"/>
          <w:sz w:val="22"/>
          <w:szCs w:val="22"/>
          <w:u w:val="single"/>
        </w:rPr>
        <w:t xml:space="preserve">i</w:t>
      </w:r>
      <w:r w:rsidRPr="0673B170">
        <w:rPr>
          <w:rFonts w:ascii="Arial" w:hAnsi="Arial" w:eastAsia="Arial" w:cs="Arial"/>
          <w:sz w:val="22"/>
          <w:szCs w:val="22"/>
        </w:rPr>
        <w:t>th a similar complaint, albeit grounded in the seemingly incongruous plight of colonial and neocolonial occupations, Achille Mbembe redirects our attention from biopolitics to what he terms ‘‘necropolitics.’’ Mbembe’s analysis foregrounds death decoupled from the project of living—a direct relation to killing that renders impossible any subterfuge in a hallucinating disavowal of death in modernity—by asking, ‘‘Is the notion of biopower sufficient to account for the contemporary ways in which the political, under the guise of war, of resistance, or of the fight against terror, makes the murder of its enemy its primary and absolute objective?’’∫∑</w:t>
      </w:r>
      <w:r w:rsidRPr="0673B170">
        <w:rPr>
          <w:rFonts w:ascii="Arial" w:hAnsi="Arial" w:eastAsia="Arial" w:cs="Arial"/>
          <w:position w:val="6"/>
          <w:sz w:val="22"/>
          <w:szCs w:val="22"/>
        </w:rPr>
        <w:t xml:space="preserve"> Fo</w:t>
      </w:r>
      <w:r w:rsidRPr="0673B170">
        <w:rPr>
          <w:rFonts w:ascii="Arial" w:hAnsi="Arial" w:eastAsia="Arial" w:cs="Arial"/>
          <w:sz w:val="22"/>
          <w:szCs w:val="22"/>
        </w:rPr>
        <w:t>r Foucault, massacres are literally vital events;∫∏</w:t>
      </w:r>
      <w:r w:rsidRPr="0673B170">
        <w:rPr>
          <w:rFonts w:ascii="Arial" w:hAnsi="Arial" w:eastAsia="Arial" w:cs="Arial"/>
          <w:position w:val="6"/>
          <w:sz w:val="22"/>
          <w:szCs w:val="22"/>
        </w:rPr>
        <w:t xml:space="preserve"> fo</w:t>
      </w:r>
      <w:r w:rsidRPr="0673B170">
        <w:rPr>
          <w:rFonts w:ascii="Arial" w:hAnsi="Arial" w:eastAsia="Arial" w:cs="Arial"/>
          <w:sz w:val="22"/>
          <w:szCs w:val="22"/>
        </w:rPr>
        <w:t xml:space="preserve">r Mbembe, they are the evidence of the brutality of biopower’s incitement to life. For a millisecond, we have an odd conflation and complicity, rendering necropolitical death doubly displaced: first by biopolitical antennae of power, and second by the theorist who describes them. La</w:t>
      </w:r>
      <w:r w:rsidRPr="0673B170">
        <w:rPr>
          <w:rStyle w:val="StyleUnderline"/>
          <w:rFonts w:ascii="Arial" w:hAnsi="Arial" w:eastAsia="Arial" w:cs="Arial"/>
        </w:rPr>
        <w:t xml:space="preserve">boring in the service of rational politics of liberal democracy, biopolitical scopes of power deny death within itself and for itself; indeed, death is denied through its very sanction. In The History of Sexuality, Foucault, himself ensnared in the very workings of biopolitics, a disciplinary subject of bi</w:t>
      </w:r>
      <w:r w:rsidRPr="0673B170">
        <w:rPr>
          <w:rStyle w:val="StyleUnderline"/>
          <w:rFonts w:ascii="Arial" w:hAnsi="Arial" w:eastAsia="Arial" w:cs="Arial"/>
        </w:rPr>
        <w:lastRenderedPageBreak/>
        <w:t>opolitics, denies death within biopolitics too. However, in ‘‘Society Must be Defended,’’ he contends that the ‘‘gradual disqualification of death’’ in biopolitical regimes of living stigmatizes death as ‘‘something to be hidden away. It has become the most private and shameful thing of all (and ultimately, it is now not so much sex as death that is the object of a taboo).’’ This privatization of death, Foucault indicates, signals that in the quest to optimize life, ‘‘power no longer recognizes death. Power literally ignores death.’’∫π</w:t>
      </w:r>
      <w:r w:rsidRPr="0673B170">
        <w:rPr>
          <w:rFonts w:ascii="Arial" w:hAnsi="Arial" w:eastAsia="Arial" w:cs="Arial"/>
          <w:position w:val="6"/>
          <w:sz w:val="22"/>
          <w:szCs w:val="22"/>
          <w:u w:val="single"/>
        </w:rPr>
        <w:t xml:space="preserve"> Mb</w:t>
      </w:r>
      <w:r w:rsidRPr="0673B170">
        <w:rPr>
          <w:rFonts w:ascii="Arial" w:hAnsi="Arial" w:eastAsia="Arial" w:cs="Arial"/>
          <w:b w:val="1"/>
          <w:bCs w:val="1"/>
          <w:sz w:val="22"/>
          <w:szCs w:val="22"/>
          <w:u w:val="single"/>
        </w:rPr>
        <w:t>embe’s ‘‘death-worlds’’ of the ‘‘living dead,’’ on the other hand, may cohere through a totalizing narrative about the suffocation of life through the omnipotent forces of killing.∫∫</w:t>
      </w:r>
      <w:r w:rsidRPr="0673B170">
        <w:rPr>
          <w:rFonts w:ascii="Arial" w:hAnsi="Arial" w:eastAsia="Arial" w:cs="Arial"/>
          <w:b w:val="1"/>
          <w:bCs w:val="1"/>
          <w:position w:val="6"/>
          <w:sz w:val="22"/>
          <w:szCs w:val="22"/>
          <w:u w:val="single"/>
        </w:rPr>
        <w:t xml:space="preserve"> In</w:t>
      </w:r>
      <w:r w:rsidRPr="0673B170">
        <w:rPr>
          <w:rFonts w:ascii="Arial" w:hAnsi="Arial" w:eastAsia="Arial" w:cs="Arial"/>
          <w:b w:val="1"/>
          <w:bCs w:val="1"/>
          <w:sz w:val="22"/>
          <w:szCs w:val="22"/>
          <w:u w:val="single"/>
        </w:rPr>
        <w:t xml:space="preserve"> the face of daily necropolitical vio- lence, suffering, and death, the biopolitical will to live plows on, distributed and redistributed in the minutiae of quotidian affairs not only of the capac- ity of individual subjects but of the capacity of populations: health, hygiene, environment, medicine, reproduction and birthrates (and thus fertility, child care, education), mortality (stalling death, the elongation of life), illness (‘‘form, nature, extension, duration, and intensity of the illnesses prevalent in a population’’ in order to regulate labor production and pro- ductivity), insurance, security. T</w:t>
      </w:r>
      <w:r w:rsidRPr="0673B170">
        <w:rPr>
          <w:rFonts w:ascii="Arial" w:hAnsi="Arial" w:eastAsia="Arial" w:cs="Arial"/>
          <w:sz w:val="22"/>
          <w:szCs w:val="22"/>
        </w:rPr>
        <w:t xml:space="preserve">hese ‘‘technologies of security’’ function to promote a reassuring society, ‘‘an overall equilibrium that protects the se- curity of the whole from internal dangers,’’ and are thus implicated in the improvement of the race through purification, and the reignition and re- generation of one’s race.∫Ω</w:t>
      </w:r>
      <w:r w:rsidRPr="0673B170">
        <w:rPr>
          <w:rFonts w:ascii="Arial" w:hAnsi="Arial" w:eastAsia="Arial" w:cs="Arial"/>
          <w:position w:val="6"/>
          <w:sz w:val="22"/>
          <w:szCs w:val="22"/>
        </w:rPr>
        <w:t xml:space="preserve"> Wh</w:t>
      </w:r>
      <w:r w:rsidRPr="0673B170">
        <w:rPr>
          <w:rFonts w:ascii="Arial" w:hAnsi="Arial" w:eastAsia="Arial" w:cs="Arial"/>
          <w:sz w:val="22"/>
          <w:szCs w:val="22"/>
        </w:rPr>
        <w:t xml:space="preserve">ile questions of reproduction and regeneration are central to the study of biopolitics, queer scholars have been oddly averse to the Foucauldian frame of biopolitics, centralizing instead The History of Sexuality through a focus on the critique of psychoanalysis and the repressive hypothesis, im- plicitly and often explicitly delegating the study of race to the background. Re</w:t>
      </w:r>
      <w:r w:rsidRPr="0673B170">
        <w:rPr>
          <w:rStyle w:val="StyleUnderline"/>
          <w:rFonts w:ascii="Arial" w:hAnsi="Arial" w:eastAsia="Arial" w:cs="Arial"/>
        </w:rPr>
        <w:t>y Chow notes the general failure of scholars to read sexuality through biopower as symptomatic of modernist inclinations toward a narrow homo- sexual/heterosexual identitarian binary frame that favors ‘‘sexual inter- course, sex acts, and erotics’’ over ‘‘the entire problematic of the reproduc- tion of human life that is, in modern times, always racially and ethnically inflected.’’Ω≠</w:t>
      </w:r>
      <w:r w:rsidRPr="0673B170">
        <w:rPr>
          <w:rFonts w:ascii="Arial" w:hAnsi="Arial" w:eastAsia="Arial" w:cs="Arial"/>
          <w:position w:val="6"/>
          <w:sz w:val="22"/>
          <w:szCs w:val="22"/>
          <w:u w:val="single"/>
        </w:rPr>
        <w:t xml:space="preserve"> I w</w:t>
      </w:r>
      <w:r w:rsidRPr="0673B170">
        <w:rPr>
          <w:rStyle w:val="StyleUnderline"/>
          <w:rFonts w:ascii="Arial" w:hAnsi="Arial" w:eastAsia="Arial" w:cs="Arial"/>
        </w:rPr>
        <w:t>ould add to this observation that the rise of the centrality of The History of Sexuality in queer studies has been predominantly due to interest in Foucault’s disentanglement of the workings of the ‘‘repressive hypothesis’’ and his implicit challenge to Freudian psychoanalytic narra- tives that foreground sexual repression as the foundation of subjectivity. (In other words, we can trace the genealogic engagements of The History of Sexuality as a splitting: scholars of race and postcoloniality taking up biopoli- tics, while queer scholars work with dismantling the repressive hypothesis. Th</w:t>
      </w:r>
      <w:r w:rsidRPr="0673B170">
        <w:rPr>
          <w:rFonts w:ascii="Arial" w:hAnsi="Arial" w:eastAsia="Arial" w:cs="Arial"/>
          <w:sz w:val="22"/>
          <w:szCs w:val="22"/>
        </w:rPr>
        <w:t xml:space="preserve">ese are tendencies, not absolutes.)Ω∞ </w:t>
      </w:r>
      <w:r w:rsidRPr="0673B170">
        <w:rPr>
          <w:rFonts w:ascii="Arial" w:hAnsi="Arial" w:eastAsia="Arial" w:cs="Arial"/>
          <w:position w:val="6"/>
          <w:sz w:val="22"/>
          <w:szCs w:val="22"/>
        </w:rPr>
        <w:t xml:space="preserve">It </w:t>
      </w:r>
      <w:r w:rsidRPr="0673B170">
        <w:rPr>
          <w:rFonts w:ascii="Arial" w:hAnsi="Arial" w:eastAsia="Arial" w:cs="Arial"/>
          <w:sz w:val="22"/>
          <w:szCs w:val="22"/>
        </w:rPr>
        <w:t xml:space="preserve">is also the case, however, that scholars of race and postcoloniality, despite studying the intersections of race and sexuality, have only recently taken up questions of sexuality beyond the reproductive function of heterosexuality.Ω≤ </w:t>
      </w:r>
      <w:r w:rsidRPr="0673B170">
        <w:rPr>
          <w:rFonts w:ascii="Arial" w:hAnsi="Arial" w:eastAsia="Arial" w:cs="Arial"/>
          <w:position w:val="6"/>
          <w:sz w:val="22"/>
          <w:szCs w:val="22"/>
        </w:rPr>
        <w:t xml:space="preserve">Whi</w:t>
      </w:r>
      <w:r w:rsidRPr="0673B170">
        <w:rPr>
          <w:rFonts w:ascii="Arial" w:hAnsi="Arial" w:eastAsia="Arial" w:cs="Arial"/>
          <w:sz w:val="22"/>
          <w:szCs w:val="22"/>
        </w:rPr>
        <w:t xml:space="preserve">le Chow’s assessment of western proclivities toward myopic renditions of sexuality is persuasive, the relegation of the sexual purely to the realm of (heterosexual) reproduction seems ultimately unsatisfactory. In the case of Chow’s project, it allows her to omit any consideration of the heteronorms that insistently sculpt the parameters of acceptable ethnics. Moreover, nonnormative sexualities are rarely centered in efforts elaborating the workings of biopolitics, elided or deemed irrelevant despite the demarcation of perversion and deviance that is a key component of the very establishment of norms that drive biopolitical interests.Ω≥ </w:t>
      </w:r>
      <w:r w:rsidRPr="0673B170">
        <w:rPr>
          <w:rFonts w:ascii="Arial" w:hAnsi="Arial" w:eastAsia="Arial" w:cs="Arial"/>
          <w:position w:val="6"/>
          <w:sz w:val="22"/>
          <w:szCs w:val="22"/>
        </w:rPr>
        <w:t xml:space="preserve">Man</w:t>
      </w:r>
      <w:r w:rsidRPr="0673B170">
        <w:rPr>
          <w:rStyle w:val="StyleUnderline"/>
          <w:rFonts w:ascii="Arial" w:hAnsi="Arial" w:eastAsia="Arial" w:cs="Arial"/>
        </w:rPr>
        <w:t xml:space="preserve">y accounts of contemporary biopolitics thus foreground either race and state racism or, as Judith Butler does, the ramification of the emergence of the category of ‘‘sex,’’ but rarely the two together.Ω∂ In this endeavor I examine the process of disaggregating exceptional queer subjects from queer racialized populations in contemporary U.S. politics rather than prof- fer an overarching paradigm of biopolitical sexuality that resolves these dilemmas. By centering race and sexuality simultaneously in </w:t>
      </w:r>
      <w:r w:rsidRPr="0673B170">
        <w:rPr>
          <w:rStyle w:val="StyleUnderline"/>
          <w:rFonts w:ascii="Arial" w:hAnsi="Arial" w:eastAsia="Arial" w:cs="Arial"/>
        </w:rPr>
        <w:lastRenderedPageBreak/>
        <w:t>the reproduc- tion of relations of living and dying, I want to keep taut the tension between biopolitics and necropolitics. The latter makes its presence known at the limits and through the excess of the former; the former masks the multi- plicity of its relationships to death and killing in order to enable the pro- liferation of the latter. Th</w:t>
      </w:r>
      <w:r w:rsidRPr="0673B170">
        <w:rPr>
          <w:rFonts w:ascii="Arial" w:hAnsi="Arial" w:eastAsia="Arial" w:cs="Arial"/>
          <w:sz w:val="22"/>
          <w:szCs w:val="22"/>
        </w:rPr>
        <w:t xml:space="preserve">e distinction and its attendant tensions matter for two reasons. First, holding the two concepts together suggests a need to also attend to the multiple spaces of the deflection of death, whether it be in the service of the optimization of life or the mechanism by which sheer death is minimized. This bio-necro collaboration conceptually acknowl- edges biopower’s direct activity in death, while remaining bound to the optimization of life, and necropolitics’ nonchalance toward death even as it seeks out killing as a primary aim. Fol</w:t>
      </w:r>
      <w:r w:rsidRPr="0673B170">
        <w:rPr>
          <w:rStyle w:val="StyleUnderline"/>
          <w:rFonts w:ascii="Arial" w:hAnsi="Arial" w:eastAsia="Arial" w:cs="Arial"/>
        </w:rPr>
        <w:t>lowing Mbembe, who argues that necropolitics entails the increasingly anatomic, sensorial, and tactile sub- jugation of bodies—whether those of the detainees at Guantánamo Bay or the human waste of refugees, evacuees, the living dead, the dead living, the decaying living, those living slow deaths—it moves beyond identitarian and visibility frames of queerness to address questions of ontology and a√ect.Ω∑ Second, it is precisely within the interstices of life and death that we find the differences between queer subjects who are being folded (back) into life and the racialized queernesses that emerge through the naming of popula- tions, thus fueling the oscillation between the disciplining of subjects and the control of populations. Accountable to an array of deflected and deferred deaths, to detritus and decay, this deconstruction of the poles of bio- and necropolitics also foregrounds regeneration in relation to reproduction. We</w:t>
      </w:r>
      <w:r w:rsidRPr="0673B170">
        <w:rPr>
          <w:rFonts w:ascii="Arial" w:hAnsi="Arial" w:eastAsia="Arial" w:cs="Arial"/>
          <w:sz w:val="22"/>
          <w:szCs w:val="22"/>
        </w:rPr>
        <w:t xml:space="preserve"> can complicate, for instance, the centrality of biopolitical reproductive biol- ogism by expanding the terrain of who reproduces and what is reproduced, dislodging the always already implicit heterosexual frame, interrogating how the production of identity categories such as gay, lesbian, and even queer work in the service of the management, reproduction, and regeneration of life rather than being predominantly understood as implicitly or explicitly targeted for death. Pressing Butler on her focus on how queers have been left to die, it is time to ask: How do queers reproduce life, and Which queers are folded into life? How </w:t>
      </w:r>
    </w:p>
    <w:p xmlns:wp14="http://schemas.microsoft.com/office/word/2010/wordml" w:rsidRPr="006C71B6" w:rsidR="008263E8" w:rsidP="008263E8" w:rsidRDefault="008263E8" w14:paraId="14C110B2" wp14:textId="77777777">
      <w:pPr>
        <w:pStyle w:val="Heading4"/>
        <w:rPr>
          <w:rFonts w:cs="Calibri"/>
        </w:rPr>
      </w:pPr>
      <w:r w:rsidRPr="006C71B6">
        <w:rPr>
          <w:rFonts w:cs="Calibri"/>
        </w:rPr>
        <w:t>T</w:t>
      </w:r>
      <w:r>
        <w:rPr>
          <w:rFonts w:cs="Calibri"/>
        </w:rPr>
        <w:t>he more the nation-state otherizes certain migrants</w:t>
      </w:r>
      <w:r w:rsidRPr="006C71B6">
        <w:rPr>
          <w:rFonts w:cs="Calibri"/>
        </w:rPr>
        <w:t xml:space="preserve">, the more libidinally invested we become in </w:t>
      </w:r>
      <w:r>
        <w:rPr>
          <w:rFonts w:cs="Calibri"/>
        </w:rPr>
        <w:t>remaining on the “good” side of the border and citizenship</w:t>
      </w:r>
      <w:r w:rsidRPr="006C71B6">
        <w:rPr>
          <w:rFonts w:cs="Calibri"/>
        </w:rPr>
        <w:t>. We thus cling to bourgeois ideas of equality that prioritizes the securitization of neoliberal institutions before the queer body</w:t>
      </w:r>
    </w:p>
    <w:p xmlns:wp14="http://schemas.microsoft.com/office/word/2010/wordml" w:rsidRPr="006C71B6" w:rsidR="008263E8" w:rsidP="008263E8" w:rsidRDefault="008263E8" w14:paraId="654BF725" wp14:textId="77777777">
      <w:pPr>
        <w:spacing w:after="0" w:line="240" w:lineRule="auto"/>
        <w:rPr>
          <w:rFonts w:eastAsia="Times New Roman" w:cs="Calibri"/>
          <w:sz w:val="24"/>
        </w:rPr>
      </w:pPr>
      <w:r w:rsidRPr="006C71B6">
        <w:rPr>
          <w:rStyle w:val="Style13ptBold"/>
          <w:rFonts w:cs="Calibri"/>
        </w:rPr>
        <w:t>Aganthengelou, et al 8</w:t>
      </w:r>
      <w:r w:rsidRPr="006C71B6">
        <w:rPr>
          <w:rFonts w:eastAsia="Times New Roman" w:cs="Calibri"/>
          <w:sz w:val="24"/>
        </w:rPr>
        <w:t xml:space="preserve">  </w:t>
      </w:r>
      <w:r w:rsidRPr="006C71B6">
        <w:rPr>
          <w:rFonts w:cs="Calibri"/>
          <w:sz w:val="15"/>
          <w:szCs w:val="15"/>
        </w:rPr>
        <w:t>(Anna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Pages 123-124 //Starboy)</w:t>
      </w:r>
    </w:p>
    <w:p xmlns:wp14="http://schemas.microsoft.com/office/word/2010/wordml" w:rsidRPr="006C71B6" w:rsidR="008263E8" w:rsidP="008263E8" w:rsidRDefault="008263E8" w14:paraId="1A965116" wp14:textId="77777777">
      <w:pPr>
        <w:spacing w:after="0" w:line="240" w:lineRule="auto"/>
        <w:rPr>
          <w:rFonts w:eastAsia="Times New Roman" w:cs="Calibri"/>
          <w:sz w:val="24"/>
        </w:rPr>
      </w:pPr>
    </w:p>
    <w:p xmlns:wp14="http://schemas.microsoft.com/office/word/2010/wordml" w:rsidRPr="00BA002A" w:rsidR="008263E8" w:rsidP="008263E8" w:rsidRDefault="008263E8" w14:paraId="291274EB" wp14:textId="77777777">
      <w:pPr>
        <w:spacing w:after="0" w:line="240" w:lineRule="auto"/>
        <w:rPr>
          <w:rFonts w:eastAsia="Times New Roman" w:cs="Calibri"/>
          <w:sz w:val="16"/>
        </w:rPr>
      </w:pPr>
      <w:r w:rsidRPr="006C71B6">
        <w:rPr>
          <w:rStyle w:val="StyleUnderline"/>
          <w:rFonts w:cs="Calibri"/>
        </w:rPr>
        <w:t>To (re)consolidate itself, empire requires and solicits the production of certain ways of being, desiring, and knowing (while destroying others)</w:t>
      </w:r>
      <w:r w:rsidRPr="006C71B6">
        <w:rPr>
          <w:rFonts w:eastAsia="Times New Roman" w:cs="Calibri"/>
          <w:sz w:val="16"/>
        </w:rPr>
        <w:t xml:space="preserve"> that are appropriately malleable for what comes to be constituted as the so-called new world order. Just as the strategies of execution and criminalization are crucial to the practices of global war, including prisons, this strategy of creating and liquidating enemies is offered, quite importantly in the wake of trauma, as a solution for fear and insecurity. </w:t>
      </w:r>
      <w:r w:rsidRPr="006C71B6">
        <w:rPr>
          <w:rStyle w:val="StyleUnderline"/>
          <w:rFonts w:cs="Calibri"/>
        </w:rPr>
        <w:t>In other words, as the imperial hold grows all the more tenuous, more and more violence is required to maintain its virulent mirage.13 To deal with pain, fear, and insecurity, this logic tells us, the demonization and demolition of the racially and sexually aberrant other must be performed again and again.14 Moreover, within this imperial fantasy, this production, consumption, and murder of the other is to be performed with gusto and state-sanctioned pleasure, as a desire for witnessing executions becomes a performance of state loyalty.</w:t>
      </w:r>
      <w:r w:rsidRPr="006C71B6">
        <w:rPr>
          <w:rFonts w:eastAsia="Times New Roman" w:cs="Calibri"/>
          <w:sz w:val="16"/>
        </w:rPr>
        <w:t xml:space="preserve">15 Likewise, </w:t>
      </w:r>
      <w:r w:rsidRPr="006C71B6">
        <w:rPr>
          <w:rStyle w:val="StyleUnderline"/>
          <w:rFonts w:cs="Calibri"/>
        </w:rPr>
        <w:t xml:space="preserve">in the case of prisons, it is </w:t>
      </w:r>
      <w:r w:rsidRPr="006C71B6">
        <w:rPr>
          <w:rStyle w:val="StyleUnderline"/>
          <w:rFonts w:cs="Calibri"/>
        </w:rPr>
        <w:lastRenderedPageBreak/>
        <w:t>the continual and powerful mobilization of discourses of “protection,” “safety,” and “victim’s rights” that elicit support for what seems to be limitless prison expansion.</w:t>
      </w:r>
      <w:r w:rsidRPr="006C71B6">
        <w:rPr>
          <w:rFonts w:eastAsia="Times New Roman" w:cs="Calibri"/>
          <w:sz w:val="16"/>
        </w:rPr>
        <w:t xml:space="preserve">16 Lastly, it is our argument that this promise project is always reliant on a series of (non)promises to those on whom the entire production is staged. </w:t>
      </w:r>
      <w:r w:rsidRPr="006C71B6">
        <w:rPr>
          <w:rStyle w:val="StyleUnderline"/>
          <w:rFonts w:cs="Calibri"/>
        </w:rPr>
        <w:t>Offering certain classes of subjects a tenuous invitation into the folds of empire, there are always the bodies of (non)subjects that serve as the raw material for this process, those whose quotidian deaths become the grounding on which spectacularized murder becomes possible.</w:t>
      </w:r>
      <w:r w:rsidRPr="006C71B6">
        <w:rPr>
          <w:rFonts w:eastAsia="Times New Roman" w:cs="Calibri"/>
          <w:sz w:val="16"/>
        </w:rPr>
        <w:t xml:space="preserve"> Thus, while it is central to our thesis that the sexualized production of the racialized other holds together these ostensibly different moments, this is a variegated and heterogeneous process that simultaneously creates others as monolithic and draws up and exacerbates internal divisions within different communities. </w:t>
      </w:r>
      <w:r w:rsidRPr="006C71B6">
        <w:rPr>
          <w:rStyle w:val="StyleUnderline"/>
          <w:rFonts w:cs="Calibri"/>
        </w:rPr>
        <w:t>There are, thus, the “enemy Others” and the “other Others” whose life and death do not even merit mention or attention. Importantly, as we shall argue, we must locate what many have called “the homonormative turn” within this broader (heterogeneous) imperial logic: following the traumas of state-sanctioned repression of queer communities, the creation and obliteration of new outsides become the answer for ongoing pain and devastation</w:t>
      </w:r>
      <w:r w:rsidRPr="006C71B6">
        <w:rPr>
          <w:rFonts w:eastAsia="Times New Roman" w:cs="Calibri"/>
          <w:sz w:val="16"/>
        </w:rPr>
        <w:t>. As exemplified in the U.S. state-supported HIV/AIDS pandemic—and the broader war on the poor, people of color, and dissidents launched in the wake of the radical social movements of the 1960s and 1970s—</w:t>
      </w:r>
      <w:r w:rsidRPr="006C71B6">
        <w:rPr>
          <w:rStyle w:val="StyleUnderline"/>
          <w:rFonts w:cs="Calibri"/>
        </w:rPr>
        <w:t>we are told that only an insatiable appetite for annihilation could soothe the pains of our pasts. We would thus locate the mobilization of highly individualized narratives of bourgeois belonging and ascension within a larger promise project that offers to some the tenuous promise of mobility, freedom, and equality</w:t>
      </w:r>
      <w:r w:rsidRPr="006C71B6">
        <w:rPr>
          <w:rFonts w:eastAsia="Times New Roman" w:cs="Calibri"/>
          <w:sz w:val="16"/>
        </w:rPr>
        <w:t xml:space="preserve">.18 </w:t>
      </w:r>
      <w:r w:rsidRPr="006C71B6">
        <w:rPr>
          <w:rStyle w:val="StyleUnderline"/>
          <w:rFonts w:cs="Calibri"/>
        </w:rPr>
        <w:t>This strategy is picked up in a privatized, corporatized, and sanitized “gay agenda” that places, for example, gay marriage and penalty-enhancing hate crimes laws at the top of its priorities. This also helps us to understand the ways in which revolutionary and redistributive yearnings that would challenge the foundations of the U.S. state, capital, and racial relations have been systematically replaced with strategies for individualized incorporation into the U.S. moral and politico-economic order.</w:t>
      </w:r>
      <w:r w:rsidRPr="006C71B6">
        <w:rPr>
          <w:rFonts w:eastAsia="Times New Roman" w:cs="Calibri"/>
          <w:sz w:val="16"/>
        </w:rPr>
        <w:t xml:space="preserve"> It is this promise project that has been crucial in rerouting so much of queer politics and longing from “Stonewall to the suburbs.”19</w:t>
      </w:r>
    </w:p>
    <w:p xmlns:wp14="http://schemas.microsoft.com/office/word/2010/wordml" w:rsidRPr="00EC0B53" w:rsidR="008263E8" w:rsidP="008263E8" w:rsidRDefault="008263E8" w14:paraId="7DF4E37C" wp14:textId="77777777"/>
    <w:p xmlns:wp14="http://schemas.microsoft.com/office/word/2010/wordml" w:rsidRPr="006C71B6" w:rsidR="008263E8" w:rsidP="008263E8" w:rsidRDefault="008263E8" w14:paraId="4865CA9F" wp14:textId="77777777">
      <w:pPr>
        <w:pStyle w:val="Heading3"/>
        <w:rPr>
          <w:rFonts w:cs="Calibri"/>
        </w:rPr>
      </w:pPr>
      <w:r>
        <w:lastRenderedPageBreak/>
        <w:t>Cap K--</w:t>
      </w:r>
      <w:r>
        <w:rPr>
          <w:rFonts w:cs="Calibri"/>
        </w:rPr>
        <w:t>Permutation</w:t>
      </w:r>
    </w:p>
    <w:p xmlns:wp14="http://schemas.microsoft.com/office/word/2010/wordml" w:rsidRPr="00E84F8E" w:rsidR="008263E8" w:rsidP="008263E8" w:rsidRDefault="008263E8" w14:paraId="1085856D" wp14:textId="77777777">
      <w:pPr>
        <w:pStyle w:val="Heading4"/>
      </w:pPr>
      <w:r w:rsidRPr="00E84F8E">
        <w:t>Queer politics must resist the seductive promises of liberalism and remain imbricated movements against colonialism and for abolition; structures of neoliberalism have covertly arisen in response to insurgent movements against the heteronormative world, and the alternative seeks to destabilize movements like the aff through hyper-fragmentation.</w:t>
      </w:r>
    </w:p>
    <w:p xmlns:wp14="http://schemas.microsoft.com/office/word/2010/wordml" w:rsidRPr="006C71B6" w:rsidR="008263E8" w:rsidP="008263E8" w:rsidRDefault="008263E8" w14:paraId="242A13E4" wp14:textId="77777777">
      <w:pPr>
        <w:rPr>
          <w:rFonts w:cs="Calibri"/>
          <w:sz w:val="20"/>
        </w:rPr>
      </w:pPr>
      <w:r w:rsidRPr="006C71B6">
        <w:rPr>
          <w:rStyle w:val="Style13ptBold"/>
          <w:rFonts w:cs="Calibri"/>
        </w:rPr>
        <w:t>Agathangelou, et al ‘08</w:t>
      </w:r>
      <w:r w:rsidRPr="006C71B6">
        <w:rPr>
          <w:rFonts w:cs="Calibri"/>
        </w:rPr>
        <w:t xml:space="preserve"> </w:t>
      </w:r>
      <w:r w:rsidRPr="006C71B6">
        <w:rPr>
          <w:rFonts w:cs="Calibri"/>
          <w:sz w:val="20"/>
        </w:rPr>
        <w:t>[Anna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Pg. 137-139]</w:t>
      </w:r>
    </w:p>
    <w:p xmlns:wp14="http://schemas.microsoft.com/office/word/2010/wordml" w:rsidRPr="006C71B6" w:rsidR="008263E8" w:rsidP="008263E8" w:rsidRDefault="008263E8" w14:paraId="211D2FF0" wp14:textId="77777777">
      <w:pPr>
        <w:rPr>
          <w:rStyle w:val="StyleUnderline"/>
          <w:rFonts w:cs="Calibri"/>
        </w:rPr>
      </w:pPr>
      <w:r w:rsidRPr="006C71B6">
        <w:rPr>
          <w:rFonts w:cs="Calibri"/>
          <w:sz w:val="16"/>
        </w:rPr>
        <w:t xml:space="preserve">Global lockdown thus functions as one of the looming underbellies and con- ditions of possibility of the (un)freedoms and (non)futures being promised by neo-liberal empire. Consigning the collective traumas of slavery and colonization to a remote and irrelevant past while drawing on their logics to instantiate its rule, global lockdown shows itself to be neither cruel and unusual nor exceptional, but rather as foundational. Importantly, these (un)freedoms and (non)futures carry very different promises and pleasures depending on our relationship to the human surplus motor-ing the global political economy. Global lockdown, then, is not simply the newest outside, but quite literally the material redefining off what life can even mean in the wake of so much “necessary” death. Toward an Intimate Politics of Decolonizing Abolitionism We have thus far argued that across diffuse spaces and moments — the homonormative turn, the neoliberalization of the economy, the war on terror, and global lockdown — we see different dimensions of a promise project, which is also a project forever seeking to (re)consolidate empire. On the one hand, there are those for whom subjectivity, capital, and satiating pleasures and rights are being forever promised. This occurs, we argue, at the expense of compliance with, or perhaps distraction from, the larger structural underpinnings of social relations and processes. On the other hand, there are the (non)subjects for whom the same promise has not been issued, the abject(s) whose lives and deaths are completely nonspectacular within the dominant imaginations. Adding to this contradiction is the dimension that even the promises themselves are tenuous: indeed, as elite queers privilege homonormativity over more radical political and economic praxes, neoconservative forces continue to criminalize queerness. While first and foremost queers outside this elite or national racial strata are produced as exterminable sodomites, the category of the abject and killable always threatens even elite queers in first world spaces. This is part of the politico-economic and affective logics that have fueled a frenzied search for an end to pain: continue imperial soldiering in exchange for a mirage of security, or spend your energies fighting other queers for a prized space as most radical. With such a paucity of choices, our energies are directed away from building solidarities and exhausted by fixing on individualized solutions and fueling the (re)production of neoliberal, neoconservative, homonormative, and ultimately heteronormative worlds. If the neoliberal turn has been part of a larger strategy of counterinsurgency mobilized in the wake of revolutionary decolonization movements threatening capitalism, (hetero)sexism, and white supremacy, it is important to pause on some of the impacts of that (counter)mobilization. In this paper we have worked to foreground the affective logics that function on the level of feeling and desire in the service of a neoliberal project of a world remade. </w:t>
      </w:r>
      <w:r w:rsidRPr="006C71B6">
        <w:rPr>
          <w:rStyle w:val="StyleUnderline"/>
          <w:rFonts w:cs="Calibri"/>
        </w:rPr>
        <w:t>To begin to articulate the ways in which our most ‘intimate’ sensibilities — our fears, desires, mourning, and yearning — are being mobilized by a regime of global lockdown is to make urgent the production of solidarities not premised upon exploitation, profit, or death</w:t>
      </w:r>
      <w:r w:rsidRPr="006C71B6">
        <w:rPr>
          <w:rFonts w:cs="Calibri"/>
          <w:sz w:val="16"/>
        </w:rPr>
        <w:t xml:space="preserve">. For those engaged in movements dismantling the prison industrial complex and any form of imperial violence, it is precisely these affective economies to which we must be attentive. </w:t>
      </w:r>
      <w:r w:rsidRPr="006C71B6">
        <w:rPr>
          <w:rStyle w:val="StyleUnderline"/>
          <w:rFonts w:cs="Calibri"/>
        </w:rPr>
        <w:t>If we do not work to articulate the ways in which we become libidinally and erotically invested in the status quo of mass lockdown</w:t>
      </w:r>
      <w:r w:rsidRPr="006C71B6">
        <w:rPr>
          <w:rFonts w:cs="Calibri"/>
          <w:sz w:val="16"/>
        </w:rPr>
        <w:t xml:space="preserve"> — in effect, the various promises that the prison issues—</w:t>
      </w:r>
      <w:r w:rsidRPr="006C71B6">
        <w:rPr>
          <w:rStyle w:val="StyleUnderline"/>
          <w:rFonts w:cs="Calibri"/>
        </w:rPr>
        <w:t>we run the risk of reproducing the racialized and sexualized economies of benevolence and exploitation that fortify so much of conservative, liberal, and even radical praxis</w:t>
      </w:r>
      <w:r w:rsidRPr="006C71B6">
        <w:rPr>
          <w:rFonts w:cs="Calibri"/>
          <w:sz w:val="16"/>
        </w:rPr>
        <w:t xml:space="preserve">. However, as we have sought to argue, the price of such dismissals is nothing less than participation in imperial violence that, ultimately, impacts us all. </w:t>
      </w:r>
      <w:r w:rsidRPr="006C71B6">
        <w:rPr>
          <w:rStyle w:val="StyleUnderline"/>
          <w:rFonts w:cs="Calibri"/>
        </w:rPr>
        <w:t>Amidst the many affective callings and seductive offerings we are issued, we must continue the work of imagining alternative ways to feel, be, and love in this moment of intensified empire-building.</w:t>
      </w:r>
      <w:r w:rsidRPr="006C71B6">
        <w:rPr>
          <w:rFonts w:cs="Calibri"/>
          <w:sz w:val="16"/>
        </w:rPr>
        <w:t xml:space="preserve"> To become completely drawn into challenging homonormativization without attention to the larger structural underpinnings of social relations and processes may ultimately prove unproductive as it misses the larger imperial logics that may be embodied differentially in other sites. Moreover, it becomes impossible to discern the relationship between our own struggles and the set of promises and nonpromises offered to other others. Foreclosing potential and increasingly crucial solidarities, </w:t>
      </w:r>
      <w:r w:rsidRPr="006C71B6">
        <w:rPr>
          <w:rStyle w:val="StyleUnderline"/>
          <w:rFonts w:cs="Calibri"/>
        </w:rPr>
        <w:t xml:space="preserve">we are drawn into our own corners and ultimately diverted from the possibilities of massive, cross-bordered mobilizations, movements and </w:t>
      </w:r>
      <w:r w:rsidRPr="006C71B6">
        <w:rPr>
          <w:rStyle w:val="StyleUnderline"/>
          <w:rFonts w:cs="Calibri"/>
        </w:rPr>
        <w:lastRenderedPageBreak/>
        <w:t xml:space="preserve">revolutionary projects. </w:t>
      </w:r>
      <w:r w:rsidRPr="006C71B6">
        <w:rPr>
          <w:rFonts w:cs="Calibri"/>
          <w:sz w:val="16"/>
        </w:rPr>
        <w:t xml:space="preserve">In the place of this vision, </w:t>
      </w:r>
      <w:r w:rsidRPr="006C71B6">
        <w:rPr>
          <w:rStyle w:val="StyleUnderline"/>
          <w:rFonts w:cs="Calibri"/>
        </w:rPr>
        <w:t xml:space="preserve">we offer first and foremost </w:t>
      </w:r>
      <w:r w:rsidRPr="00FB2D65">
        <w:rPr>
          <w:rStyle w:val="StyleUnderline"/>
        </w:rPr>
        <w:t>a disruption of complicity, a refusal of empire’s promise project</w:t>
      </w:r>
      <w:r w:rsidRPr="006C71B6">
        <w:rPr>
          <w:rFonts w:cs="Calibri"/>
          <w:sz w:val="16"/>
        </w:rPr>
        <w:t xml:space="preserve">. </w:t>
      </w:r>
      <w:r w:rsidRPr="006C71B6">
        <w:rPr>
          <w:rStyle w:val="StyleUnderline"/>
          <w:rFonts w:cs="Calibri"/>
        </w:rPr>
        <w:t>The series of wars in which empire asks us to participate are utterly genocidal</w:t>
      </w:r>
      <w:r w:rsidRPr="006C71B6">
        <w:rPr>
          <w:rFonts w:cs="Calibri"/>
          <w:sz w:val="16"/>
        </w:rPr>
        <w:t xml:space="preserve">, rather than constituting processes that enable our security and healing. As members of different and overlapping communities and struggles, the authors have each grappled personally with this process. </w:t>
      </w:r>
      <w:r w:rsidRPr="006C71B6">
        <w:rPr>
          <w:rStyle w:val="StyleUnderline"/>
          <w:rFonts w:cs="Calibri"/>
        </w:rPr>
        <w:t>As activists and intellectuals who are engaged in struggles around war, migration and traficking, labor and homelessness, mass imprisonment, and state violence against queer and transgender communities, we are confronted with the seductive — yet ultimately murderous — promises</w:t>
      </w:r>
      <w:r w:rsidRPr="006C71B6">
        <w:rPr>
          <w:rFonts w:cs="Calibri"/>
          <w:sz w:val="16"/>
        </w:rPr>
        <w:t xml:space="preserve"> that are described in this essay. Moreover, as members of the academy at different levels (undergraduate student, graduate student, and faculty member), we have witnessed how the </w:t>
      </w:r>
      <w:r w:rsidRPr="006C71B6">
        <w:rPr>
          <w:rStyle w:val="StyleUnderline"/>
          <w:rFonts w:cs="Calibri"/>
        </w:rPr>
        <w:t>strategies of promise and nonpromise projects have worked to fragment, divide, and conquer people of color, working-class people, queers, transgender people, postcolonial subjects, and others within powerful academic zones of knowledge production</w:t>
      </w:r>
      <w:r w:rsidRPr="006C71B6">
        <w:rPr>
          <w:rFonts w:cs="Calibri"/>
          <w:sz w:val="16"/>
        </w:rPr>
        <w:t xml:space="preserve">. Recognizing that we can never be outside empire’s seductive offerings, </w:t>
      </w:r>
      <w:r w:rsidRPr="006C71B6">
        <w:rPr>
          <w:rStyle w:val="StyleUnderline"/>
          <w:rFonts w:cs="Calibri"/>
        </w:rPr>
        <w:t>we engage these questions out of rage, hope, and the desire to form life-sustaining solidarities and intimacies</w:t>
      </w:r>
      <w:r w:rsidRPr="006C71B6">
        <w:rPr>
          <w:rFonts w:cs="Calibri"/>
          <w:sz w:val="16"/>
        </w:rPr>
        <w:t xml:space="preserve">. </w:t>
      </w:r>
      <w:r w:rsidRPr="006C71B6">
        <w:rPr>
          <w:rStyle w:val="StyleUnderline"/>
          <w:rFonts w:cs="Calibri"/>
        </w:rPr>
        <w:t xml:space="preserve">We strive with others toward </w:t>
      </w:r>
      <w:r w:rsidRPr="00FB2D65">
        <w:rPr>
          <w:rStyle w:val="StyleUnderline"/>
        </w:rPr>
        <w:t>a politics that enables intimacies as both means and ends, as a strategy of movement-building in which relationships are formed not to instantiate empire’s incessant production of internal and external enemies, but to disrupt it.</w:t>
      </w:r>
      <w:r w:rsidRPr="006C71B6">
        <w:rPr>
          <w:rFonts w:cs="Calibri"/>
          <w:sz w:val="16"/>
        </w:rPr>
        <w:t xml:space="preserve"> </w:t>
      </w:r>
      <w:r w:rsidRPr="006C71B6">
        <w:rPr>
          <w:rStyle w:val="StyleUnderline"/>
          <w:rFonts w:cs="Calibri"/>
        </w:rPr>
        <w:t xml:space="preserve">This is a politics that would challenge histories that dichotomize and fragment our worlds, and instead offer </w:t>
      </w:r>
      <w:r w:rsidRPr="00FB2D65">
        <w:rPr>
          <w:rStyle w:val="StyleUnderline"/>
        </w:rPr>
        <w:t>praxes of erotic resistance</w:t>
      </w:r>
      <w:r w:rsidRPr="006C71B6">
        <w:rPr>
          <w:rStyle w:val="StyleUnderline"/>
          <w:rFonts w:cs="Calibri"/>
        </w:rPr>
        <w:t xml:space="preserve"> in which we might be able to glimpse a breathing space for reconstituting connections and relations based in </w:t>
      </w:r>
      <w:r w:rsidRPr="00FB2D65">
        <w:rPr>
          <w:rStyle w:val="StyleUnderline"/>
        </w:rPr>
        <w:t xml:space="preserve">collectivity and healing. </w:t>
      </w:r>
      <w:r w:rsidRPr="006C71B6">
        <w:rPr>
          <w:rFonts w:cs="Calibri"/>
          <w:sz w:val="16"/>
        </w:rPr>
        <w:t xml:space="preserve">With this analysis in mind, </w:t>
      </w:r>
      <w:r w:rsidRPr="006C71B6">
        <w:rPr>
          <w:rStyle w:val="StyleUnderline"/>
          <w:rFonts w:cs="Calibri"/>
        </w:rPr>
        <w:t>all attempts to separate and make discrete strug- gles for social justice and transformation</w:t>
      </w:r>
      <w:r w:rsidRPr="006C71B6">
        <w:rPr>
          <w:rFonts w:cs="Calibri"/>
          <w:sz w:val="16"/>
        </w:rPr>
        <w:t xml:space="preserve"> — those working for prison abolition, sexual and gender freedom, decolonization, and the end to war, for example — </w:t>
      </w:r>
      <w:r w:rsidRPr="006C71B6">
        <w:rPr>
          <w:rStyle w:val="StyleUnderline"/>
          <w:rFonts w:cs="Calibri"/>
        </w:rPr>
        <w:t>prove unsuc- cessful. They are always already imbricated in one another. When one struggles to resist coercive sexual or gender regimes —</w:t>
      </w:r>
      <w:r w:rsidRPr="006C71B6">
        <w:rPr>
          <w:rFonts w:cs="Calibri"/>
          <w:sz w:val="16"/>
        </w:rPr>
        <w:t xml:space="preserve"> heternormativization as well as homonor- mativization </w:t>
      </w:r>
      <w:r w:rsidRPr="006C71B6">
        <w:rPr>
          <w:rStyle w:val="StyleUnderline"/>
          <w:rFonts w:cs="Calibri"/>
        </w:rPr>
        <w:t>— one is already engaging in a politics deeply implicated in the wars on terror, poverty, and drugs, and in the (neo)slaveries of the prison industrial complex</w:t>
      </w:r>
      <w:r w:rsidRPr="006C71B6">
        <w:rPr>
          <w:rFonts w:cs="Calibri"/>
          <w:sz w:val="16"/>
        </w:rPr>
        <w:t xml:space="preserve">. This is true not only because of the devastating impacts these wars have had on queer communities and sexually aberrant (non)subjects locked away, and because of the ways in which a racializing “sodomoti cation” is drawn on to produce the crimi- nal and the terrorist. Indeed, </w:t>
      </w:r>
      <w:r w:rsidRPr="006C71B6">
        <w:rPr>
          <w:rStyle w:val="StyleUnderline"/>
          <w:rFonts w:cs="Calibri"/>
        </w:rPr>
        <w:t xml:space="preserve">the violence and death that we authorize and face operate through and within our libidinal, erotic, and affective investments, investments that we must engage directly and rigorously if we are to disrupt the seductive workings of power in their most intimate dimensions. </w:t>
      </w:r>
      <w:r w:rsidRPr="006C71B6">
        <w:rPr>
          <w:rFonts w:cs="Calibri"/>
          <w:sz w:val="16"/>
        </w:rPr>
        <w:t xml:space="preserve">If, then, all queer politics are already organizing around and implicated in the buildup of global lockdown and imperialist war, the question is not if </w:t>
      </w:r>
      <w:r w:rsidRPr="006C71B6">
        <w:rPr>
          <w:rStyle w:val="StyleUnderline"/>
          <w:rFonts w:cs="Calibri"/>
        </w:rPr>
        <w:t>a praxis of decolonization and abolitionism is pertinent to queer struggles</w:t>
      </w:r>
      <w:r w:rsidRPr="006C71B6">
        <w:rPr>
          <w:rFonts w:cs="Calibri"/>
          <w:sz w:val="16"/>
        </w:rPr>
        <w:t xml:space="preserve">, but how and why it is. If it is true that </w:t>
      </w:r>
      <w:r w:rsidRPr="006C71B6">
        <w:rPr>
          <w:rStyle w:val="StyleUnderline"/>
          <w:rFonts w:cs="Calibri"/>
        </w:rPr>
        <w:t>our deepest desires, feelings, and arousals are tapped into for imperial production,</w:t>
      </w:r>
      <w:r w:rsidRPr="006C71B6">
        <w:rPr>
          <w:rFonts w:cs="Calibri"/>
          <w:sz w:val="16"/>
        </w:rPr>
        <w:t xml:space="preserve"> </w:t>
      </w:r>
      <w:r w:rsidRPr="006C71B6">
        <w:rPr>
          <w:rStyle w:val="StyleUnderline"/>
          <w:rFonts w:cs="Calibri"/>
        </w:rPr>
        <w:t>it</w:t>
      </w:r>
      <w:r w:rsidRPr="006C71B6">
        <w:rPr>
          <w:rFonts w:cs="Calibri"/>
          <w:sz w:val="16"/>
        </w:rPr>
        <w:t xml:space="preserve"> also </w:t>
      </w:r>
      <w:r w:rsidRPr="006C71B6">
        <w:rPr>
          <w:rStyle w:val="StyleUnderline"/>
          <w:rFonts w:cs="Calibri"/>
        </w:rPr>
        <w:t>becomes crucial to ask how we might organize, mobilize, and form alternative intimacies and desires</w:t>
      </w:r>
      <w:r w:rsidRPr="006C71B6">
        <w:rPr>
          <w:rFonts w:cs="Calibri"/>
          <w:sz w:val="16"/>
        </w:rPr>
        <w:t xml:space="preserve">. </w:t>
      </w:r>
      <w:r w:rsidRPr="006C71B6">
        <w:rPr>
          <w:rStyle w:val="StyleUnderline"/>
          <w:rFonts w:cs="Calibri"/>
        </w:rPr>
        <w:t>These alternatives, which continue to be nurtured in radical and revolutionary movements and collectivities, are forged as a disruption to individualized, consumptive, and privatized erotics in the name of broader collective projects of freedom and transformation that cultivate the plea- sures of substantial connection and the production of more egalitarian relations</w:t>
      </w:r>
      <w:r w:rsidRPr="006C71B6">
        <w:rPr>
          <w:rFonts w:cs="Calibri"/>
          <w:sz w:val="16"/>
        </w:rPr>
        <w:t xml:space="preserve">. </w:t>
      </w:r>
      <w:r w:rsidRPr="006C71B6">
        <w:rPr>
          <w:rStyle w:val="StyleUnderline"/>
          <w:rFonts w:cs="Calibri"/>
        </w:rPr>
        <w:t xml:space="preserve">These are the intimacies that form the core of decolonizing imaginaries, those that understand sexual freedom only through collective self-determination. It is only when we engage the traumas as well as the yearnings of our pasts and our futures that we might be able to seize the possibilities increasingly foreclosed by empire’s seductive promises. </w:t>
      </w:r>
    </w:p>
    <w:p xmlns:wp14="http://schemas.microsoft.com/office/word/2010/wordml" w:rsidRPr="006C71B6" w:rsidR="008263E8" w:rsidP="008263E8" w:rsidRDefault="008263E8" w14:paraId="5A89B66C" wp14:textId="77777777">
      <w:pPr>
        <w:pStyle w:val="Heading3"/>
        <w:rPr>
          <w:rFonts w:cs="Calibri"/>
        </w:rPr>
      </w:pPr>
      <w:r>
        <w:lastRenderedPageBreak/>
        <w:t>Cap K--</w:t>
      </w:r>
      <w:r>
        <w:rPr>
          <w:rFonts w:cs="Calibri"/>
        </w:rPr>
        <w:t>Domestication DA</w:t>
      </w:r>
    </w:p>
    <w:p xmlns:wp14="http://schemas.microsoft.com/office/word/2010/wordml" w:rsidRPr="006C71B6" w:rsidR="008263E8" w:rsidP="008263E8" w:rsidRDefault="008263E8" w14:paraId="7EFB6CF2" wp14:textId="77777777">
      <w:pPr>
        <w:pStyle w:val="Heading4"/>
        <w:rPr>
          <w:rFonts w:cs="Calibri"/>
        </w:rPr>
      </w:pPr>
      <w:r w:rsidRPr="006C71B6">
        <w:rPr>
          <w:rFonts w:cs="Calibri"/>
        </w:rPr>
        <w:t xml:space="preserve">Marxist movements leave queers out in the cold. White straight males will get more out of their attempt to research fissures in cap than any other group </w:t>
      </w:r>
    </w:p>
    <w:p xmlns:wp14="http://schemas.microsoft.com/office/word/2010/wordml" w:rsidRPr="006C71B6" w:rsidR="008263E8" w:rsidP="008263E8" w:rsidRDefault="008263E8" w14:paraId="43192B06" wp14:textId="77777777">
      <w:pPr>
        <w:rPr>
          <w:rFonts w:cs="Calibri"/>
          <w:sz w:val="16"/>
          <w:szCs w:val="16"/>
        </w:rPr>
      </w:pPr>
      <w:r w:rsidRPr="00E23F40">
        <w:rPr>
          <w:rStyle w:val="Style13ptBold"/>
        </w:rPr>
        <w:t>Sears 05</w:t>
      </w:r>
      <w:r w:rsidRPr="006C71B6">
        <w:rPr>
          <w:rFonts w:cs="Calibri"/>
        </w:rPr>
        <w:t xml:space="preserve"> </w:t>
      </w:r>
      <w:r w:rsidRPr="006C71B6">
        <w:rPr>
          <w:rFonts w:cs="Calibri"/>
          <w:sz w:val="16"/>
          <w:szCs w:val="16"/>
        </w:rPr>
        <w:t xml:space="preserve">[ALAN SEARS, a queer activist, author, and professor of sociology at Ryerson University in Toronto. Sears is the author of, among other works, "Queer in a Lean World" and “Queer Anti-Capitalism: What's Left of Lesbian and Gay Liberation?” and co-author with James Cairns of The Democratic Imagination. Science &amp; Society, Vol. 69, No. 1, January 2005, 92–112, Queer Anti-Capitalism: What’s Left of Lesbian and Gay Liberation?, </w:t>
      </w:r>
      <w:hyperlink w:history="1" r:id="rId124">
        <w:r w:rsidRPr="006C71B6">
          <w:rPr>
            <w:rStyle w:val="Hyperlink"/>
            <w:rFonts w:cs="Calibri"/>
            <w:sz w:val="16"/>
            <w:szCs w:val="16"/>
          </w:rPr>
          <w:t>http://www.decolonize.org/wp-content/uploads/2015/06/queeranticap.pdf</w:t>
        </w:r>
      </w:hyperlink>
      <w:r w:rsidRPr="006C71B6">
        <w:rPr>
          <w:rFonts w:cs="Calibri"/>
          <w:sz w:val="16"/>
          <w:szCs w:val="16"/>
        </w:rPr>
        <w:t>] [JS]</w:t>
      </w:r>
    </w:p>
    <w:p xmlns:wp14="http://schemas.microsoft.com/office/word/2010/wordml" w:rsidR="008263E8" w:rsidP="008263E8" w:rsidRDefault="008263E8" w14:paraId="75B1DDC2" wp14:textId="77777777">
      <w:pPr>
        <w:rPr>
          <w:rFonts w:cs="Calibri"/>
          <w:sz w:val="16"/>
        </w:rPr>
      </w:pPr>
      <w:r w:rsidRPr="006C71B6">
        <w:rPr>
          <w:rFonts w:cs="Calibri"/>
          <w:sz w:val="16"/>
        </w:rPr>
        <w:t xml:space="preserve">We are seeing a significant depoliticization of the lesbian and gay milieu; </w:t>
      </w:r>
      <w:r w:rsidRPr="006C71B6">
        <w:rPr>
          <w:rStyle w:val="StyleUnderline"/>
          <w:rFonts w:cs="Calibri"/>
        </w:rPr>
        <w:t>yet we have fallen rather short of the ambitious goals of all-round sexual emancipation</w:t>
      </w:r>
      <w:r w:rsidRPr="006C71B6">
        <w:rPr>
          <w:rFonts w:cs="Calibri"/>
          <w:sz w:val="16"/>
        </w:rPr>
        <w:t xml:space="preserve"> set out by the radical movement for lesbian and gay liberation that emerged after the Stonewall riot of 1969. </w:t>
      </w:r>
      <w:r w:rsidRPr="006C71B6">
        <w:rPr>
          <w:rStyle w:val="StyleUnderline"/>
          <w:rFonts w:cs="Calibri"/>
        </w:rPr>
        <w:t>This demobilization is particularly important in the light of an emerging anticapitalist movement for global justice</w:t>
      </w:r>
      <w:r w:rsidRPr="006C71B6">
        <w:rPr>
          <w:rFonts w:cs="Calibri"/>
          <w:sz w:val="16"/>
        </w:rPr>
        <w:t xml:space="preserve"> and against poverty over the last few years </w:t>
      </w:r>
      <w:r w:rsidRPr="006C71B6">
        <w:rPr>
          <w:rStyle w:val="StyleUnderline"/>
          <w:rFonts w:cs="Calibri"/>
        </w:rPr>
        <w:t>that seems to be opening a new space for the politics of radical social transformation</w:t>
      </w:r>
      <w:r w:rsidRPr="006C71B6">
        <w:rPr>
          <w:rFonts w:cs="Calibri"/>
          <w:sz w:val="16"/>
        </w:rPr>
        <w:t>. It is important to consider the kinds of sexual liberation politics appropriate to this emerging political movement</w:t>
      </w:r>
      <w:r w:rsidRPr="006C71B6">
        <w:rPr>
          <w:rStyle w:val="StyleUnderline"/>
          <w:rFonts w:cs="Calibri"/>
        </w:rPr>
        <w:t xml:space="preserve">. This demobilization </w:t>
      </w:r>
      <w:r w:rsidRPr="00FB2D65">
        <w:rPr>
          <w:rStyle w:val="StyleUnderline"/>
        </w:rPr>
        <w:t>leaves</w:t>
      </w:r>
      <w:r w:rsidRPr="006C71B6">
        <w:rPr>
          <w:rFonts w:cs="Calibri"/>
          <w:sz w:val="16"/>
        </w:rPr>
        <w:t xml:space="preserve"> many </w:t>
      </w:r>
      <w:r w:rsidRPr="00FB2D65">
        <w:rPr>
          <w:rStyle w:val="StyleUnderline"/>
        </w:rPr>
        <w:t>queers out in the cold.</w:t>
      </w:r>
      <w:r w:rsidRPr="006C71B6">
        <w:rPr>
          <w:rFonts w:cs="Calibri"/>
          <w:sz w:val="16"/>
        </w:rPr>
        <w:t xml:space="preserve"> </w:t>
      </w:r>
      <w:r w:rsidRPr="006C71B6">
        <w:rPr>
          <w:rStyle w:val="StyleUnderline"/>
          <w:rFonts w:cs="Calibri"/>
        </w:rPr>
        <w:t>The consolidation of lesbian and gay civil rights has tended to benefit some more than others.</w:t>
      </w:r>
      <w:r w:rsidRPr="006C71B6">
        <w:rPr>
          <w:rFonts w:cs="Calibri"/>
          <w:sz w:val="16"/>
        </w:rPr>
        <w:t xml:space="preserve"> </w:t>
      </w:r>
      <w:r w:rsidRPr="006C71B6">
        <w:rPr>
          <w:rStyle w:val="StyleUnderline"/>
          <w:rFonts w:cs="Calibri"/>
        </w:rPr>
        <w:t>Those who have gained the most</w:t>
      </w:r>
      <w:r w:rsidRPr="006C71B6">
        <w:rPr>
          <w:rFonts w:cs="Calibri"/>
          <w:sz w:val="16"/>
        </w:rPr>
        <w:t xml:space="preserve"> </w:t>
      </w:r>
      <w:r w:rsidRPr="006C71B6">
        <w:rPr>
          <w:rStyle w:val="StyleUnderline"/>
          <w:rFonts w:cs="Calibri"/>
        </w:rPr>
        <w:t>are people living in committed couple relationships with good incomes and jobs, most often white and especially men.</w:t>
      </w:r>
      <w:r w:rsidRPr="006C71B6">
        <w:rPr>
          <w:rFonts w:cs="Calibri"/>
          <w:sz w:val="16"/>
        </w:rPr>
        <w:t xml:space="preserve"> </w:t>
      </w:r>
      <w:r w:rsidRPr="00FB2D65">
        <w:rPr>
          <w:rStyle w:val="StyleUnderline"/>
        </w:rPr>
        <w:t>At the same time</w:t>
      </w:r>
      <w:r w:rsidRPr="006C71B6">
        <w:rPr>
          <w:rFonts w:cs="Calibri"/>
          <w:sz w:val="16"/>
        </w:rPr>
        <w:t xml:space="preserve">, </w:t>
      </w:r>
      <w:r w:rsidRPr="006C71B6">
        <w:rPr>
          <w:rStyle w:val="StyleUnderline"/>
          <w:rFonts w:cs="Calibri"/>
        </w:rPr>
        <w:t>queer people of color,</w:t>
      </w:r>
      <w:r w:rsidRPr="006C71B6">
        <w:rPr>
          <w:rFonts w:cs="Calibri"/>
          <w:sz w:val="16"/>
        </w:rPr>
        <w:t xml:space="preserve"> street youth</w:t>
      </w:r>
      <w:r w:rsidRPr="006C71B6">
        <w:rPr>
          <w:rStyle w:val="StyleUnderline"/>
          <w:rFonts w:cs="Calibri"/>
        </w:rPr>
        <w:t>, people with limited incomes</w:t>
      </w:r>
      <w:r w:rsidRPr="006C71B6">
        <w:rPr>
          <w:rFonts w:cs="Calibri"/>
          <w:sz w:val="16"/>
        </w:rPr>
        <w:t xml:space="preserve">, </w:t>
      </w:r>
      <w:r w:rsidRPr="006C71B6">
        <w:rPr>
          <w:rStyle w:val="StyleUnderline"/>
          <w:rFonts w:cs="Calibri"/>
        </w:rPr>
        <w:t>women</w:t>
      </w:r>
      <w:r w:rsidRPr="006C71B6">
        <w:rPr>
          <w:rFonts w:cs="Calibri"/>
          <w:sz w:val="16"/>
        </w:rPr>
        <w:t xml:space="preserve">, </w:t>
      </w:r>
      <w:r w:rsidRPr="006C71B6">
        <w:rPr>
          <w:rStyle w:val="StyleUnderline"/>
          <w:rFonts w:cs="Calibri"/>
        </w:rPr>
        <w:t>people living with disabilities and transgendered people have gained less or in some cases even lost ground.</w:t>
      </w:r>
      <w:r w:rsidRPr="006C71B6">
        <w:rPr>
          <w:rFonts w:cs="Calibri"/>
          <w:sz w:val="16"/>
        </w:rPr>
        <w:t xml:space="preserve"> For example, the legal recognition of same sex relationships means that recipients of social assistance now find their eligibility for benefits contingent on their partner’s income. Street youth are now hustled out of queer areas by cops acting on behalf of gay or lesbian residents intent on creating comfortable middle-class neighborhoods. People with money (more often men than women) have privileged access to the commercialized spaces and consumer lifestyles that define visible queer “communities</w:t>
      </w:r>
      <w:r w:rsidRPr="006C71B6">
        <w:rPr>
          <w:rStyle w:val="StyleUnderline"/>
          <w:rFonts w:cs="Calibri"/>
        </w:rPr>
        <w:t>.” Lesbian, gay, bisexual and transgendered people of color often face a double invisibility, effaced by the racism within queer communities and marginalized by the stigmatization of same-sex identities and practices within their cultural communities.</w:t>
      </w:r>
      <w:r w:rsidRPr="006C71B6">
        <w:rPr>
          <w:rFonts w:cs="Calibri"/>
          <w:sz w:val="16"/>
        </w:rPr>
        <w:t xml:space="preserve">1 My project here is to contribute to the development of a queer marxist feminism that offers important tools for the remobilization of sexual liberation politics. This is a challenge to the queer theory perspectives, influenced by post-structuralism and the works of Michel Foucault, which tend to dominate contemporary analyses of lesbian, gay, transgendered and bisexual politics. These queer theory analyses have illuminated the contradictory ways that lesbian and gay politics have been caught up within the dominant relations, showing how </w:t>
      </w:r>
      <w:r w:rsidRPr="00FB2D65">
        <w:rPr>
          <w:rStyle w:val="StyleUnderline"/>
        </w:rPr>
        <w:t>gains in cultural visibility or civil rights can situate queers more deeply inside systems of power</w:t>
      </w:r>
      <w:r w:rsidRPr="006C71B6">
        <w:rPr>
          <w:rFonts w:cs="Calibri"/>
          <w:sz w:val="16"/>
        </w:rPr>
        <w:t xml:space="preserve">.2 It is not my project to engage in a detailed critique of queer theories here, as I can draw on the important contributions of Floyd (1998), Hennessey (2000) and McNally (2000). Rather, my focus is to contribute to the development of a queer </w:t>
      </w:r>
      <w:r w:rsidRPr="006C71B6">
        <w:rPr>
          <w:rStyle w:val="StyleUnderline"/>
          <w:rFonts w:cs="Calibri"/>
        </w:rPr>
        <w:t>marxist feminism</w:t>
      </w:r>
      <w:r w:rsidRPr="006C71B6">
        <w:rPr>
          <w:rFonts w:cs="Calibri"/>
          <w:sz w:val="16"/>
        </w:rPr>
        <w:t xml:space="preserve"> that turns our attention to many dimensions of lesbian, gay, bisexual and transgendered existence that have been</w:t>
      </w:r>
      <w:r w:rsidRPr="006C71B6">
        <w:rPr>
          <w:rStyle w:val="StyleUnderline"/>
          <w:rFonts w:cs="Calibri"/>
        </w:rPr>
        <w:t xml:space="preserve"> neglected in queer theory accounts, including class relations and divisions of labor</w:t>
      </w:r>
      <w:r w:rsidRPr="006C71B6">
        <w:rPr>
          <w:rFonts w:cs="Calibri"/>
          <w:sz w:val="16"/>
        </w:rPr>
        <w:t xml:space="preserve">, the dynamics of state regulation, the specific impact of capitalist restructuring and the cultural logic of processes of commodification. I refer specifically to a queer marxist feminism to argue that </w:t>
      </w:r>
      <w:r w:rsidRPr="006C71B6">
        <w:rPr>
          <w:rStyle w:val="StyleUnderline"/>
          <w:rFonts w:cs="Calibri"/>
        </w:rPr>
        <w:t>marxist feminism</w:t>
      </w:r>
      <w:r w:rsidRPr="006C71B6">
        <w:rPr>
          <w:rFonts w:cs="Calibri"/>
          <w:sz w:val="16"/>
        </w:rPr>
        <w:t xml:space="preserve"> as it has emerged since the 1960s </w:t>
      </w:r>
      <w:r w:rsidRPr="006C71B6">
        <w:rPr>
          <w:rStyle w:val="StyleUnderline"/>
          <w:rFonts w:cs="Calibri"/>
        </w:rPr>
        <w:t xml:space="preserve">is a necessary but </w:t>
      </w:r>
      <w:r w:rsidRPr="00FB2D65">
        <w:rPr>
          <w:rStyle w:val="StyleUnderline"/>
        </w:rPr>
        <w:t>not sufficient tool for the analysis of contemporary lesbian, gay, bisexual and transgendered politics.</w:t>
      </w:r>
      <w:r w:rsidRPr="006C71B6">
        <w:rPr>
          <w:rFonts w:cs="Calibri"/>
          <w:sz w:val="16"/>
        </w:rPr>
        <w:t xml:space="preserve"> The distinguishing feature of marxist-feminist theories is the insistence that the dynamics of class, gender, race and sexuality are internally related yet not reducible to one another.3 </w:t>
      </w:r>
      <w:r w:rsidRPr="006C71B6">
        <w:rPr>
          <w:rStyle w:val="StyleUnderline"/>
          <w:rFonts w:cs="Calibri"/>
        </w:rPr>
        <w:t>The historical materialist analysis of capitalist reproduction must examine the ways that the different dimensions of structured inequality are present in each other</w:t>
      </w:r>
      <w:r w:rsidRPr="006C71B6">
        <w:rPr>
          <w:rFonts w:cs="Calibri"/>
          <w:sz w:val="16"/>
        </w:rPr>
        <w:t xml:space="preserve"> (see Bannerji, 1995</w:t>
      </w:r>
      <w:r w:rsidRPr="006C71B6">
        <w:rPr>
          <w:rStyle w:val="StyleUnderline"/>
          <w:rFonts w:cs="Calibri"/>
        </w:rPr>
        <w:t>). An adequate understanding of class formation must therefore be based on a rich analysis of the ways class relations are gendered, racialized and sexualized, just as an examination of sexualities must attend to the ways that sexual and intimate relations are classed, gendered and racialized.</w:t>
      </w:r>
      <w:r w:rsidRPr="006C71B6">
        <w:rPr>
          <w:rFonts w:cs="Calibri"/>
          <w:sz w:val="16"/>
        </w:rPr>
        <w:t xml:space="preserve"> Marxist feminism thus rejects both dual (or multi) systems theories that see class, gender, </w:t>
      </w:r>
      <w:r w:rsidRPr="006C71B6">
        <w:rPr>
          <w:rFonts w:cs="Calibri"/>
          <w:sz w:val="16"/>
        </w:rPr>
        <w:lastRenderedPageBreak/>
        <w:t>race/ethnicity and sexuality as separate spheres that intersect, on the one hand; and the reductionist marxism that seeks to capture all of social reality through the single lens of class exploitation as examined in the works of classical marxism, on the other.</w:t>
      </w:r>
    </w:p>
    <w:p xmlns:wp14="http://schemas.microsoft.com/office/word/2010/wordml" w:rsidR="008263E8" w:rsidP="008263E8" w:rsidRDefault="008263E8" w14:paraId="0DC94D2D" wp14:textId="77777777">
      <w:pPr>
        <w:pStyle w:val="Heading3"/>
      </w:pPr>
      <w:r>
        <w:lastRenderedPageBreak/>
        <w:t>Afro-pessimism K</w:t>
      </w:r>
    </w:p>
    <w:p xmlns:wp14="http://schemas.microsoft.com/office/word/2010/wordml" w:rsidRPr="008731A6" w:rsidR="008263E8" w:rsidP="008263E8" w:rsidRDefault="008263E8" w14:paraId="1CB49B4A" wp14:textId="77777777">
      <w:pPr>
        <w:pStyle w:val="Heading4"/>
      </w:pPr>
      <w:r w:rsidRPr="008731A6">
        <w:t>Queer liberalism allows for the functioning of capitalism and anti-blackness by depoliticizing the gay constituency, replacing anti-racist movements with “multiculturalism” and characterizing capitalist demobilizing as “development.”</w:t>
      </w:r>
    </w:p>
    <w:p xmlns:wp14="http://schemas.microsoft.com/office/word/2010/wordml" w:rsidRPr="008731A6" w:rsidR="008263E8" w:rsidP="008263E8" w:rsidRDefault="008263E8" w14:paraId="4993A352" wp14:textId="77777777">
      <w:pPr>
        <w:rPr>
          <w:sz w:val="16"/>
        </w:rPr>
      </w:pPr>
      <w:r w:rsidRPr="008731A6">
        <w:rPr>
          <w:rStyle w:val="Style13ptBold"/>
        </w:rPr>
        <w:t>Eng 10</w:t>
      </w:r>
      <w:r w:rsidRPr="008731A6">
        <w:rPr>
          <w:sz w:val="16"/>
        </w:rPr>
        <w:t xml:space="preserve"> (David L., Professor in the Department of English, the Program in Comparative Literature and Literary Theory, and the Program in Asian American Studies at the University of Pennsylvania, the author of Racial Castration: Managing Masculinity in Asian America, also published by Duke University Press, and a co-editor of Loss: The Politics of Mourning and Q&amp;A: Queer in Asian America., The Feeling of Kinship, 26-34, Duke University Press, 2010) //jd</w:t>
      </w:r>
    </w:p>
    <w:p xmlns:wp14="http://schemas.microsoft.com/office/word/2010/wordml" w:rsidRPr="00FB2D65" w:rsidR="008263E8" w:rsidP="0673B170" w:rsidRDefault="008263E8" w14:paraId="772391D5" wp14:textId="77777777" wp14:noSpellErr="1">
      <w:pPr>
        <w:rPr>
          <w:rStyle w:val="StyleUnderline"/>
        </w:rPr>
      </w:pPr>
      <w:r w:rsidRPr="0673B170" w:rsidR="0673B170">
        <w:rPr>
          <w:sz w:val="16"/>
          <w:szCs w:val="16"/>
        </w:rPr>
        <w:t>Queer Liberalism, or Late Capitalism and Gay Identity The contemporary emergence of queer liberalism marks an unsettling, though perhaps not entirely unexpected, attempt to reconcile the radi- cal political aspirations of queer theory’s subjectless critique with the liberal demands of gay and lesbian U.S. citizen-subjects petitioning for rights and recognition before the law.∞≠ Our current moment is marked by a particular coming together of economic and political spheres that form the basis for liberal inclusion: the merging of an increasingly vis- ible and mass-mediated queer consumer lifestyle (emerging post-Stone- wall and ascendant during the 1980s and 90s) with recent juridical protections for gay and lesbian rights to privacy and intimacy estab- lished by the Lawrence ruling; the legalization of same-sex marriage in the state of Massachusetts during the same year; and the California and Connecticut State Supreme Courts’ recent decision to do the same.∞∞ In his well-known 1983 essay ‘‘Capitalism and Gay Identity,’’ John D’Emilio argues that gay identity first emerged at the turn of the nine- teenth century through the ascent of wage labor in industrializing cities and the independent sexual lifestyle this wage labor afforded.∞≤ The crea- tion of urban zones of gay life was facilitated by the movement of individ- uals away from agrarian-based family units and actualized through the severing of family and kinship bonds—a severing later mirrored, even embraced, in the politics of gay liberation and ‘‘coming out.’</w:t>
      </w:r>
      <w:r w:rsidRPr="0673B170" w:rsidR="0673B170">
        <w:rPr>
          <w:rStyle w:val="StyleUnderline"/>
        </w:rPr>
        <w:t xml:space="preserve">’ As the material bases for the family as an independent unit of production eroded in the face of an ever-expanding, wage labor-based capitalist ‘‘free’’ market system, the ideological and emotional weight of family and family values, as well as the divisions between the public sphere of work and the private sphere of family, intensified. D’Emilio observes that, through this historical expansion of the emotional bases for kinship relations, family took on increasing significance as an ‘‘affective unit,’’ a social institution meant to produce ‘‘emotional satisfaction and happi- ness.’’∞≥ Sanctified as the source of love, affection, and emotional se- curity, family became defined against the heartlessness of a capitalist system that was, in fact, the material source for its ideological evolution. </w:t>
      </w:r>
      <w:r w:rsidRPr="0673B170" w:rsidR="0673B170">
        <w:rPr>
          <w:rFonts w:ascii="Calibri" w:hAnsi="Calibri" w:eastAsia="Calibri" w:cs="Calibri"/>
          <w:sz w:val="16"/>
          <w:szCs w:val="16"/>
        </w:rPr>
        <w:t>I</w:t>
      </w:r>
      <w:r w:rsidRPr="0673B170" w:rsidR="0673B170">
        <w:rPr>
          <w:rStyle w:val="StyleUnderline"/>
        </w:rPr>
        <w:t>t is clear that while capitalism may have been instrumental in creat- ing the conditions for the emergence of gay identity, it did not at the same time establish a laissez-faire attitude toward same-sex relations. If the 1980s and 90s witnessed the emergence of gay and lesbian identity and visibility as a function of the market, as well as the development of a political movement for rights and recognition, especially in response to the AIDS pandemic, it also marked the simultaneous consolidation of right-wing ideologies under the sign of family and family values.∞</w:t>
      </w:r>
      <w:r w:rsidRPr="0673B170" w:rsidR="0673B170">
        <w:rPr>
          <w:sz w:val="16"/>
          <w:szCs w:val="16"/>
        </w:rPr>
        <w:t>∂</w:t>
      </w:r>
      <w:r w:rsidRPr="0673B170" w:rsidR="0673B170">
        <w:rPr>
          <w:sz w:val="12"/>
          <w:szCs w:val="12"/>
        </w:rPr>
        <w:t xml:space="preserve"> </w:t>
      </w:r>
      <w:r w:rsidRPr="0673B170" w:rsidR="0673B170">
        <w:rPr>
          <w:sz w:val="16"/>
          <w:szCs w:val="16"/>
        </w:rPr>
        <w:t>From this perspective, (homo)sexual regulation cannot be thought as the antith- esis of queer liberalism, freedom, and progress, but must be thought as constituting their very historical conditions of possibility. ‘‘Sexual regula- tion,’’ as Janet Jakobsen suggests, ‘‘is such a passion in U.S. politics because sexual regulation is constitutive of (secular) American freedom.’’∞∑ Today, we find ourselves at a remarkable historical juncture regarding queer liberalism and the politics of family and kinship.</w:t>
      </w:r>
      <w:r w:rsidRPr="0673B170" w:rsidR="0673B170">
        <w:rPr>
          <w:rStyle w:val="StyleUnderline"/>
        </w:rPr>
        <w:t xml:space="preserve"> To come out of the closet still places family and kinship bonds at risk. At the same time, however, gays and lesbians are reinhabiting structures of family and kinship not only in growing numbers but also in increasingly public and visible ways. While in prior decades gays and lesbians sustained a radical critique of family and marriage, today many members of these groups have largely abandoned such critical positions, demanding access to the heteronormative nuclear family and the rights, recognition, and priv- ileges associated with it. Paradoxically, prior historical efforts to defy state oppression and to oppose state regulation of family and marriage have, to a striking extent, given way to the desire for state legitimacy, sanction, and authorization of same-sex marriage. Once considered anathema to family and kinship, h</w:t>
      </w:r>
      <w:r w:rsidRPr="0673B170" w:rsidR="0673B170">
        <w:rPr>
          <w:rStyle w:val="StyleUnderline"/>
        </w:rPr>
        <w:t>omosexuality in our current political moment is being legally and ideologically reconciled to its normative mandates, paving over alternative public worlds and social formations that previous generations of gays and lesbians have made. In this political calculus, the state emerges as the central locus and guarantor through which non-normative sexual identities it once criminalized are now protected, liberated, and reconfigured—in the words of conservative gay pundit Andrew Sullivan—as ‘‘virtually normal.’’∞</w:t>
      </w:r>
      <w:r w:rsidRPr="0673B170" w:rsidR="0673B170">
        <w:rPr>
          <w:sz w:val="16"/>
          <w:szCs w:val="16"/>
        </w:rPr>
        <w:t>∏ S</w:t>
      </w:r>
      <w:r w:rsidRPr="0673B170" w:rsidR="0673B170">
        <w:rPr>
          <w:rStyle w:val="StyleUnderline"/>
        </w:rPr>
        <w:t>een from this perspective, queer liberalism’s appeals to the state mark a significant moment in which the politics of ‘‘Queer Nation’’ and ‘‘U.S. citizen’’ are no longer antithetical, a fact evident in the astonishing August 2004 coming-out statement, scripted with the assistance of the Human Rights Campaign, of the former New Jersey Governor James McGreevy: ‘‘My truth is that I am a gay American.’’ As Hannah Arendt defines it in The Origins of Totalitarianism, citizenship is nothing less than ‘‘the right to have rights.’’∞</w:t>
      </w:r>
      <w:r w:rsidRPr="0673B170" w:rsidR="0673B170">
        <w:rPr>
          <w:sz w:val="16"/>
          <w:szCs w:val="16"/>
        </w:rPr>
        <w:t>π</w:t>
      </w:r>
      <w:r w:rsidRPr="0673B170" w:rsidR="0673B170">
        <w:rPr>
          <w:rStyle w:val="StyleUnderline"/>
        </w:rPr>
        <w:t xml:space="preserve"> And from this perspective, queer liber- alism’s current claims to state-sanctioned rights, recognitions, and priv- ileges implicitly reinforce a normative politics, not just of family and kinship, but of U.S. citizenship. In the process, the state’s role as the legitimate arbiter of rights and guarantor of freedom and liberty—even as Constitutional protections are eroded under the U.S. Administration’s infinite War on Terror—remains uncontested and is indeed strength- ened. If, as Judith Butler observed in 1993, the ‘‘I do’’ of the wedding ceremony is a performative invocation sealing the heterosexual social contract through the disavowal of ‘‘You queer,’’ today we witness the historical reordering of this antithetical bind: ‘‘I do’’ and ‘‘You queer’’ no longer need be at odds under the watchful eyes of the law.∞∫ T</w:t>
      </w:r>
      <w:r w:rsidRPr="0673B170" w:rsidR="0673B170">
        <w:rPr>
          <w:sz w:val="16"/>
          <w:szCs w:val="16"/>
        </w:rPr>
        <w:t>eemu Ruskola points out that it might prove difficult to resist our present interpellation as law-abiding U.S. citizen-subjects, capable of intimacy, no longer Constitutionally criminalizable, worthy of national recognition, and deserving of judicial respect.∞Ω He cautions, however, that it is equally crucial at this historical juncture to remind ourselves of Giorgio Agamben’s insight that ‘‘the spaces, the liberties, and the rights won by individuals in their conflicts with central powers always simulta- neously prepared a tacit but increasing inscription of individuals’ lives within the state order.’’≤≠ To</w:t>
      </w:r>
      <w:r w:rsidRPr="0673B170" w:rsidR="0673B170">
        <w:rPr>
          <w:rStyle w:val="StyleUnderline"/>
        </w:rPr>
        <w:t xml:space="preserve"> be a subject of the law, Butler observes, requires a ‘‘passionate attachment’’ to our subjection.≤∞ And, as Saidiya Hartman reminds us in the context of slavery and emancipation, ‘‘the failures of Reconstruction cannot be recounted solely as a series of legal reversals or troop withdrawals; they also need to be located in the very language of persons, rights, and liberties.’’≤≤ The vocabulary of persons, rights, and liberties fully inhabits the politics of queer liberalism today, and it is a language that we need to interrogate with care. In other words, we need to explore the critical assumptions and limitations of queer liberalism’s narratives of freedom and progress. We need to remind ourselves that decriminalization and social belonging are not coterminous, as contentious same-sex marriage debates, with state amendments and initiatives defining marriage as ‘‘between one man and one woman,’’ immediately underscore.≤≥ We need to reflect on the political and economic costs that underwrite the current inscription of queer U.S. citizen-subjects into a national order, the instability of a rights-based discourse that enables political legitimacy while exacerbat- ing evolving relations of capitalist exploitation, racial domination, and gender subordination in a domestic as well as global context.≤∂ In short, we must reexamine our assumptions concerning queer freedom and progress. De</w:t>
      </w:r>
      <w:r w:rsidRPr="0673B170" w:rsidR="0673B170">
        <w:rPr>
          <w:sz w:val="16"/>
          <w:szCs w:val="16"/>
        </w:rPr>
        <w:t>parting from D’Emilio, we might ask: What is the contemporary mode of production that allows for queer liberalism’s reinhabiting of conventional family and kinship relations? From a slightly different angle, how might we describe the relationship between late capitalism and gay identity? We cannot underestimate the ways in which neoliberal- ism and its proliferating modes of consumer capitalism underpin the his- torical evolution and transformation of capitalism and of gay identity into queer family and kinship. Emerging in the late 1970s, alongside the ascension of various multicultural and identity politics movements, neo- liberal practices and policies were predicated on the expansion of mar- kets and the dismantling of barriers to free trade in a globally-integrated economy. Linked to structural adjustment programs meant to overhaul the economies of the global South, neoliberalism facilitated the financial- ization of currency regimes, demanded the privatization of the public sector, and en</w:t>
      </w:r>
      <w:r w:rsidRPr="0673B170" w:rsidR="0673B170">
        <w:rPr>
          <w:sz w:val="16"/>
          <w:szCs w:val="16"/>
        </w:rPr>
        <w:t xml:space="preserve">joined the commodification and capitalization of biological life.≤∑ Neoliberal practices and policies organized the unequal distribu- tion of social goods and human labor—indeed, human life and freedom— into a biopolitics of global capitalism, one in which an ascendant queer liberalism can be a (potentially) respectable rather than stigmatized social formation. Shifting from a politics of protest and redistribution to one of rights and recognitions, queerness is increasingly rendered an aestheticized lifestyle predicated on choice. Queerness has come out of the closet, as it were, becoming in the process a mass-mediated commodity, a culture of beautiful objects (bodies, fashions, food, and furniture) to be con- sumed, a Queer Eye for the Straight Guy, to invoke the title of Bravo’s popular television program in which five gay men work tirelessly to make over the flagging masculinity of one heterosexual man.≤∏ Orga- nized around the principle that the heteronormative family needs all of our material and emotional support, Queer Eye defines good citizenship as never-ending consumption in the free market, serving as an uncanny reminder of President George W. Bush’s infamous directive to Ameri- cans after September 11th to fight terrorism by shopping (rather than, say, voting). A </w:t>
      </w:r>
      <w:r w:rsidRPr="0673B170" w:rsidR="0673B170">
        <w:rPr>
          <w:rStyle w:val="StyleUnderline"/>
        </w:rPr>
        <w:t>product of late capitalist rationalization, queer liberalism functions as a supplement to capital, but in a desexualized, repackaged, and con- tained form. In other words, we might say that neoliberalism enunciates (homo)sexual difference in the register of culture—a culture that is freely exchanged (purchased) and celebrated (consumed). Thus, from the legal perspective of Lawrence, we might say that as sodomy is trans- formed into intimacy—coming together with the logic of queer domes- ticity as an aestheticized ideal—homosexual particularity and difference are absorbed into a universalized heteronormative model of the liberal human, an abstract national culture and community. In the process, a political movement of resistance and redistribution has been reconfig- ured and transformed into an interest group and niche market—a com- mercial scene of entertainment venues, restaurants, and shopping—in which gays and lesbians are liberated precisely by proving that they can be proper U.S. citizen-subjects of the capitalist nation-state.≤π In this regard, family is not just whom you choose but on whom you choose to spend your money. That the emergence of queer liberalism comes at a historical moment of conservative U.S. politics and policies on the domestic and global stage should give us immediate pause. It would be premature to embrace wholeheartedly what Lisa Duggan has aptly labeled ‘‘homonormativity,’’ the gay and lesbian liberal platform advocating for so-called progressive causes such as same-sex marriage, while rhetorically recoding freedom and liberation in terms of privacy, intimacy, domesticity, marriage, and the unfettered ability to ‘‘shop until you drop.’’≤∫</w:t>
      </w:r>
      <w:r w:rsidRPr="0673B170" w:rsidR="0673B170">
        <w:rPr>
          <w:sz w:val="16"/>
          <w:szCs w:val="16"/>
        </w:rPr>
        <w:t xml:space="preserve"> Configuring queer politics in such narrow terms obviates the political possibility of democ- ratizing the (supposedly) private sphere of family and kinship relations, of recognizing and responding to the diverse ways in which we now structure and live out our intimate lives. In its place, we are presented with a domesticated vision of family and kinship, one predicated on the conjugal family and its Oedipal arrangements as the only legally recog- nized and tenable household structure. The proposition that marriage should be the privileged way of legitimating sexuality is not just conser- vative; it does not reflect our present realities and social formations. From this perspective, homonormativity collaborates with a neo- liberalism willfully blind to unequal structures of globalization and its increasingly international gendered division of labor. It</w:t>
      </w:r>
      <w:r w:rsidRPr="0673B170" w:rsidR="0673B170">
        <w:rPr>
          <w:rStyle w:val="StyleUnderline"/>
        </w:rPr>
        <w:t xml:space="preserve"> is a politics that, in Duggan’s words, ‘‘does not contest dominant heteronormative as- sumptions and institutions but upholds and sustains them while prom- ising the possibility of a demobilized gay constituency and a privatized, depoliticized gay culture anchored in domesticity and consumption.’’≤Ω This political economy remains unchallenged by U.S. conservative and liberal agendas alike; indeed it is the place in which the two converge (Reagan and Bush meet the Clintons and Obamas). The privatization of family underwrites the withdrawal of state funding and resources, as the promotion of ‘‘traditional’’ marriage is meant to replace state de- pendency and employer support. A larger world-historical context de- mands that we ask how queer liberalism’s current turn to rights furthers rather than thwarts these logics of neoliberalism, with its political econ- omy of capitalist development characterized as human freedom, its multicultural mandates as ‘‘anti-racist’’ progress. Be</w:t>
      </w:r>
      <w:r w:rsidRPr="0673B170" w:rsidR="0673B170">
        <w:rPr>
          <w:sz w:val="16"/>
          <w:szCs w:val="16"/>
        </w:rPr>
        <w:t xml:space="preserve">fore turning to a reading of Lawrence v. Texas, I would like to gesture to the ways in which queer liberalism’s turn to normative forms of family and kinship—its folding into a neoliberal U.S. state project—is constituted against the figure of the racialized immigrant ‘‘over there’’ as well as ‘‘over here.’’ Chandan Reddy, for instance, notes how dis- courses of family and family values increasingly serve to mediate contra- dictions between the U.S. nation-state and a neoliberal global economy. </w:t>
      </w:r>
      <w:r w:rsidRPr="0673B170" w:rsidR="0673B170">
        <w:rPr>
          <w:rStyle w:val="StyleUnderline"/>
        </w:rPr>
        <w:t>He argues that, since the 1980s, family re</w:t>
      </w:r>
      <w:r w:rsidRPr="0673B170" w:rsidR="0673B170">
        <w:rPr>
          <w:rStyle w:val="StyleUnderline"/>
        </w:rPr>
        <w:t xml:space="preserve">unification laws have helped to produce a racialized and gendered noncitizen immigrant workforce for domestic and low-end labor markets in the U.S. The turn toward family values was initiated by the reformation of the 1965 Immigration and Nationality Act, which shifted U.S. immigration policies away from a quota system based on national origins to one predicated on principles of family reunification. In the process, it served to bring into the U.S. not only an expanded transnational capital class (the post-1965 middle- class professional brain drain) but also a transnational laboring class largely from the Southern hemisphere—Asia, Latin America, and the Caribbean. From the perspective of this new transnational laboring class, we might note that while the Immigration Act of 1990 capped the number of immigrant visas for so-called unskilled workers at a mere 10,000, it also increased family-based immigration visas to an annual limit of 480,000 starting in 1995. Facially neutral, these immigration policies in fact created an enormous pool of racialized and gendered low-wage noncitizen labor for a metropolitan service economy. Yet by coding immigration as essentially produced by the petitioning activities of resi- dent immigrants in the U.S. themselves, family reunification laws work to appease ‘‘capital’s need for immigrant workers while projecting the state as either a benevolent actor reuniting broken families or an over- burdened and effete agent unable to prevent immigrants’ manipula- tions of its (mandatory) democratic and fair laws.’’≥≠ At the same time, they also shifted state responsibility for welfare and social services— such as workplace injury insurance, childcare, and healthcare—back onto the shoulders of the petitioning immigrant families themselves. In this way, Reddy concludes, ‘‘the state is absolved politically from having created and expanded the conditions of noncitizen life within the ter- ritorial parameters of the United States and, at the same time, distin- guishes itself as the apotheosis of Western Democracy by achieving the status of depoliticized neutrality.’’≥∞ On </w:t>
      </w:r>
      <w:r w:rsidRPr="0673B170" w:rsidR="0673B170">
        <w:rPr>
          <w:sz w:val="16"/>
          <w:szCs w:val="16"/>
        </w:rPr>
        <w:t xml:space="preserve">the one hand, the state manages to increase the numbers of immigrants arriving into the U.S. for a domestic economy demanding low-wage non-citizen labor for the industrial and service sectors. On </w:t>
      </w:r>
      <w:r w:rsidRPr="0673B170" w:rsidR="0673B170">
        <w:rPr>
          <w:rStyle w:val="StyleUnderline"/>
        </w:rPr>
        <w:t>the other hand, the state simultaneously mobilizes a xenophobic rhet- oric of immigrant invasion in order to dismantle its welfare respon- sibilities and to enact immigration ‘‘reform’’ by criminalizing immi- grants and those who dare to provide basic services to them. As social welfare programs for the racialized immigrant and the racialized poor disappear in the face of corporate welfare malfeasance, family must increasingly become that privatized institution that takes up the state’s abnegation of its public and institutional obligations. In this regard, home and family are not ‘‘private,’’ but serve as crucial sites within the global restructuring of capital and labor. Imp</w:t>
      </w:r>
      <w:r w:rsidRPr="0673B170" w:rsidR="0673B170">
        <w:rPr>
          <w:sz w:val="16"/>
          <w:szCs w:val="16"/>
        </w:rPr>
        <w:t>ortantly, as the state reconstitutes its power through family re- unification laws and its accompanying discourse of family values, it also reinforces heteropatriarchal relations in immigrant communities. Immi- grant workers brought under family reunification programs have in- creasingly been forced to depend on family ties for access to room and board, employment, and other services. Reddy observes: ‘‘Family reuni- fication extend[s] and institute[s] heteronormative community struc- tures as a requirement for accessing welfare provisions for new immi- grants by attaching those provisions to the family unit.’’≥≤ In the process, the state can simultaneously blame immigrant communities for mono- cultural deficiencies and pathological cultural values brought with them from abroad, for being particularly homophobic, and queer immigrants of color (as well as queers of color, in general) for being particularly willing to accept homophobic silencing.≥≥ Here we might note the work of Étienne Balibar who observes that, while racism based on the nine- teenth-century categories of biology and blood has receded, discrimina- tion based on forms of perceived cultural differences and values have proliferated in our contemporary moment.≥∂ Th</w:t>
      </w:r>
      <w:r w:rsidRPr="0673B170" w:rsidR="0673B170">
        <w:rPr>
          <w:sz w:val="12"/>
          <w:szCs w:val="12"/>
        </w:rPr>
        <w:t>e</w:t>
      </w:r>
      <w:r w:rsidRPr="0673B170" w:rsidR="0673B170">
        <w:rPr>
          <w:rFonts w:ascii="Calibri" w:hAnsi="Calibri" w:eastAsia="Calibri" w:cs="Calibri"/>
          <w:sz w:val="16"/>
          <w:szCs w:val="16"/>
        </w:rPr>
        <w:t>s</w:t>
      </w:r>
      <w:r w:rsidRPr="0673B170" w:rsidR="0673B170">
        <w:rPr>
          <w:rStyle w:val="StyleUnderline"/>
        </w:rPr>
        <w:t>e culturalist arguments serve to demonize immigrant communi- ties as illiberal, while masking the complicity of the neoliberal U.S. state in helping to engender the very homophobia that both the state and the larger public insist is imported part and parcel from these immigrants’ home countries. In the same political breath, such culturalist arguments also justify the exclusion of so-called intolerant, uncivilized, and illiberal racialized immigrant communities from the U.S. nation-state and civil society, through a liberal language of citizenship as the guarantor of f</w:t>
      </w:r>
      <w:r w:rsidRPr="0673B170" w:rsidR="0673B170">
        <w:rPr>
          <w:rStyle w:val="StyleUnderline"/>
        </w:rPr>
        <w:t>reedom and liberty for all, including now normative gay and lesbian U.S. citizen-subjects claiming their rightful place at the citizenship table. In s</w:t>
      </w:r>
      <w:r w:rsidRPr="0673B170" w:rsidR="0673B170">
        <w:rPr>
          <w:sz w:val="16"/>
          <w:szCs w:val="16"/>
        </w:rPr>
        <w:t>hort, the production of queer liberalism and the discourse of racialized immigrant homophobia are two sides of the same liberal coin. For queer immigrants of color who compose this new transnational laboring class, late capitalism and gay identity, in contrast to D’Emilio’s earlier claims, do not decrease but rather increase dependency on family and kinship as well as its heteronormative mandates. Taken together, Reddy’s and Duggan’s observations underscore a sig- nificant cleaving between queer and critical race projects, progressive social movements once thought in the same political breath. This</w:t>
      </w:r>
      <w:r w:rsidRPr="0673B170" w:rsidR="0673B170">
        <w:rPr>
          <w:rStyle w:val="StyleUnderline"/>
        </w:rPr>
        <w:t xml:space="preserve"> cleav- ing insists that we rethink how race and sexuality are systematically dissociated in a putatively colorblind age, demanding a more robust politics of intersectionality in the face of neoliberal practices and policies. The turning away from a sustained examination of the vast political and economic inequalities in the state, civil society, and commercial life, marks the paradoxes of queer liberalism. A renewed queer studies must insist that problems of neoliberal political economy cannot be abstracted away from the racial, gendered, and sexual hierarchies of the nation- state, but must be understood as operating in and through them. In this regard the recent turn toward antirelationality in queer studies might also be thought as a turn toward anti-intersectionality in the field—a coming together of colorblind and queer politics. As José Muñoz ob- serves, ‘‘denouncing relationality first and foremost distances queerness from what some theorists seem to think of as contamination by race, gender, or other particularities that taint the purity of sexuality as a singular trope of difference . . . Antirelational approaches to queer theory were . . . investments in deferring various dreams of difference.’’≥∑ In a post-9/11 world order, a renewed queer critique must be vigilant to the fact that sexuality is intersectional and that queer is a political metaphor without a fixed referent. It would insist that we ask to what extent a progressive queer politics might be (in)compatible with the mandates of U.S. citizenship as well as state rights and recognitions. The turn to an unapologetic and militant U.S. heteropatriarchy on the world stage demands a renewed queer politics attentive not only to questions of neoliberalism and globalization but also to issues of empire, sov- ereignty, and terrorism. It demands a renewed queer politics focused on problems of immigration, citizenship, welfare, the prison industrial complex, and human rights, including the collective ways in which these various issues underwrite the contemporary emergence of queer liberal- ism’s claims on family and marriage, and on intimacy and domesticity.</w:t>
      </w:r>
    </w:p>
    <w:p xmlns:wp14="http://schemas.microsoft.com/office/word/2010/wordml" w:rsidR="008263E8" w:rsidP="008263E8" w:rsidRDefault="008263E8" w14:paraId="258442A2" wp14:textId="77777777">
      <w:pPr>
        <w:pStyle w:val="Heading3"/>
      </w:pPr>
      <w:r>
        <w:rPr>
          <w:rStyle w:val="Style13ptBold"/>
          <w:b/>
          <w:sz w:val="32"/>
          <w:szCs w:val="32"/>
        </w:rPr>
        <w:lastRenderedPageBreak/>
        <w:t>Settlerism K--</w:t>
      </w:r>
      <w:r>
        <w:t>Sexuality key</w:t>
      </w:r>
    </w:p>
    <w:p xmlns:wp14="http://schemas.microsoft.com/office/word/2010/wordml" w:rsidR="008263E8" w:rsidP="008263E8" w:rsidRDefault="008263E8" w14:paraId="64FF9E04" wp14:textId="77777777">
      <w:pPr>
        <w:pStyle w:val="Heading4"/>
      </w:pPr>
      <w:r>
        <w:t>Link Turn - Sexuality is the most effective site for intervention into late modernity’s conception of subjectivity and freedom as tools of phallicized whiteness and property ownership.</w:t>
      </w:r>
    </w:p>
    <w:p xmlns:wp14="http://schemas.microsoft.com/office/word/2010/wordml" w:rsidR="008263E8" w:rsidP="008263E8" w:rsidRDefault="008263E8" w14:paraId="709A03D7" wp14:textId="77777777">
      <w:r w:rsidRPr="00F05799">
        <w:rPr>
          <w:rStyle w:val="Style13ptBold"/>
        </w:rPr>
        <w:t>Winnubst 6</w:t>
      </w:r>
      <w:r w:rsidRPr="00F05799">
        <w:t xml:space="preserve"> [Shannon, -- Shannon Winnubst is an associate professor of Women’s Gender and Sexuality Studies at Ohio State University and author of, Queering Freedom, Indiana University Press, p 18-20 // tjb]</w:t>
      </w:r>
    </w:p>
    <w:p xmlns:wp14="http://schemas.microsoft.com/office/word/2010/wordml" w:rsidRPr="007C6713" w:rsidR="008263E8" w:rsidP="008263E8" w:rsidRDefault="008263E8" w14:paraId="75C36E51" wp14:textId="77777777">
      <w:pPr>
        <w:pStyle w:val="NormalWeb"/>
        <w:spacing w:before="0" w:beforeAutospacing="0" w:after="0" w:afterAutospacing="0"/>
        <w:rPr>
          <w:sz w:val="22"/>
          <w:szCs w:val="22"/>
        </w:rPr>
      </w:pPr>
      <w:r w:rsidRPr="007C6713">
        <w:rPr>
          <w:rFonts w:ascii="Arial" w:hAnsi="Arial" w:cs="Arial"/>
          <w:color w:val="000000"/>
          <w:sz w:val="22"/>
          <w:szCs w:val="22"/>
        </w:rPr>
        <w:t xml:space="preserve">Yet, despite all this talk about identity and difference, ‘queer’ has a dis- tinct ring of identification and identity. Let’s not fool ourselves: being queer is about sexuality. So, what role does the specific identity category of sexuality play in queering freedom? </w:t>
      </w:r>
      <w:r w:rsidRPr="007C6713">
        <w:rPr>
          <w:rFonts w:ascii="Arial" w:hAnsi="Arial" w:cs="Arial"/>
          <w:color w:val="000000"/>
          <w:sz w:val="22"/>
          <w:szCs w:val="22"/>
          <w:u w:val="single"/>
        </w:rPr>
        <w:t>If we trace the roots of present identity categories to some of their historical emergences, the conflation of race and gender (and, less explicitly, class and religion) occurs through the dynamic of sexuality.</w:t>
      </w:r>
      <w:r w:rsidRPr="007C6713">
        <w:rPr>
          <w:rFonts w:ascii="Arial" w:hAnsi="Arial" w:cs="Arial"/>
          <w:color w:val="000000"/>
          <w:sz w:val="22"/>
          <w:szCs w:val="22"/>
        </w:rPr>
        <w:t xml:space="preserve"> </w:t>
      </w:r>
      <w:r w:rsidRPr="007C6713">
        <w:rPr>
          <w:rFonts w:ascii="Arial" w:hAnsi="Arial" w:cs="Arial"/>
          <w:b/>
          <w:bCs/>
          <w:color w:val="000000"/>
          <w:sz w:val="22"/>
          <w:szCs w:val="22"/>
          <w:u w:val="single"/>
        </w:rPr>
        <w:t>Nineteenth- century laws against miscegenation, the one-drop rule, and practices of lynching all expose how sexuality serves as the nexus through which male and white domination are enacted in the psycho-social field.</w:t>
      </w:r>
      <w:r w:rsidRPr="007C6713">
        <w:rPr>
          <w:rFonts w:ascii="Arial" w:hAnsi="Arial" w:cs="Arial"/>
          <w:color w:val="000000"/>
          <w:sz w:val="22"/>
          <w:szCs w:val="22"/>
        </w:rPr>
        <w:t xml:space="preserve"> Moreover, </w:t>
      </w:r>
      <w:r w:rsidRPr="007C6713">
        <w:rPr>
          <w:rFonts w:ascii="Arial" w:hAnsi="Arial" w:cs="Arial"/>
          <w:b/>
          <w:bCs/>
          <w:color w:val="000000"/>
          <w:sz w:val="22"/>
          <w:szCs w:val="22"/>
          <w:u w:val="single"/>
        </w:rPr>
        <w:t>given the historical and epistemological tension between whiteness and heterosexuality that I will demonstrate, sexuality is the Achilles’ heel of phallicized whiteness’s domination of the social field</w:t>
      </w:r>
      <w:r w:rsidRPr="007C6713">
        <w:rPr>
          <w:rFonts w:ascii="Arial" w:hAnsi="Arial" w:cs="Arial"/>
          <w:color w:val="000000"/>
          <w:sz w:val="22"/>
          <w:szCs w:val="22"/>
        </w:rPr>
        <w:t xml:space="preserve">. </w:t>
      </w:r>
      <w:r w:rsidRPr="007C6713">
        <w:rPr>
          <w:rFonts w:ascii="Arial" w:hAnsi="Arial" w:cs="Arial"/>
          <w:b/>
          <w:bCs/>
          <w:color w:val="000000"/>
          <w:sz w:val="22"/>
          <w:szCs w:val="22"/>
          <w:u w:val="single"/>
        </w:rPr>
        <w:t>The field of sexuality is thereby the most effective site in our historical present of late modernity for intervention into fixed concepts of subjectivity and freedom.</w:t>
      </w:r>
      <w:r w:rsidRPr="007C6713">
        <w:rPr>
          <w:rFonts w:ascii="Arial" w:hAnsi="Arial" w:cs="Arial"/>
          <w:color w:val="000000"/>
          <w:sz w:val="22"/>
          <w:szCs w:val="22"/>
        </w:rPr>
        <w:t xml:space="preserve"> But</w:t>
      </w:r>
      <w:r w:rsidRPr="007C6713">
        <w:rPr>
          <w:rFonts w:ascii="Arial" w:hAnsi="Arial" w:cs="Arial"/>
          <w:b/>
          <w:bCs/>
          <w:color w:val="000000"/>
          <w:sz w:val="22"/>
          <w:szCs w:val="22"/>
          <w:u w:val="single"/>
        </w:rPr>
        <w:t xml:space="preserve"> we cannot re- duce such an insight to a claim about identity. </w:t>
      </w:r>
      <w:r w:rsidRPr="007C6713">
        <w:rPr>
          <w:rFonts w:ascii="Arial" w:hAnsi="Arial" w:cs="Arial"/>
          <w:color w:val="000000"/>
          <w:sz w:val="22"/>
          <w:szCs w:val="22"/>
        </w:rPr>
        <w:t xml:space="preserve">The projects of gay/lesbian liberation have been flawed in their concep- tions of resistant politics as yet another kind of identity politics. </w:t>
      </w:r>
      <w:r w:rsidRPr="007C6713">
        <w:rPr>
          <w:rFonts w:ascii="Arial" w:hAnsi="Arial" w:cs="Arial"/>
          <w:b/>
          <w:bCs/>
          <w:color w:val="000000"/>
          <w:sz w:val="22"/>
          <w:szCs w:val="22"/>
          <w:u w:val="single"/>
        </w:rPr>
        <w:t>The emergence of ‘the homosexual identity’ and its identity politics is ultimately just another clever tool of phallicized whiteness.</w:t>
      </w:r>
      <w:r w:rsidRPr="007C6713">
        <w:rPr>
          <w:rFonts w:ascii="Arial" w:hAnsi="Arial" w:cs="Arial"/>
          <w:color w:val="000000"/>
          <w:sz w:val="22"/>
          <w:szCs w:val="22"/>
        </w:rPr>
        <w:t xml:space="preserve"> </w:t>
      </w:r>
      <w:r w:rsidRPr="007C6713">
        <w:rPr>
          <w:rFonts w:ascii="Arial" w:hAnsi="Arial" w:cs="Arial"/>
          <w:color w:val="000000"/>
          <w:sz w:val="22"/>
          <w:szCs w:val="22"/>
          <w:u w:val="single"/>
        </w:rPr>
        <w:t>To queer freedom we must therefore avoid this error of identification, while simultaneously embracing the field of sexuality as the most effective site of intervention into present systems of domination</w:t>
      </w:r>
      <w:r w:rsidRPr="007C6713">
        <w:rPr>
          <w:rFonts w:ascii="Arial" w:hAnsi="Arial" w:cs="Arial"/>
          <w:color w:val="000000"/>
          <w:sz w:val="22"/>
          <w:szCs w:val="22"/>
        </w:rPr>
        <w:t xml:space="preserve">. In addition to its pivotal role in the politics of sexism and racism, what is it about sexuality that frames it as this specific site of intervention and resistance? Another way of understanding the limitations of gay/lesbian liberation movements is through their reading of the gay/lesbian subject as a subject of desire. </w:t>
      </w:r>
      <w:r w:rsidRPr="007C6713">
        <w:rPr>
          <w:rFonts w:ascii="Arial" w:hAnsi="Arial" w:cs="Arial"/>
          <w:b/>
          <w:bCs/>
          <w:color w:val="000000"/>
          <w:sz w:val="22"/>
          <w:szCs w:val="22"/>
          <w:u w:val="single"/>
        </w:rPr>
        <w:t>Desire enacts particular forms of spatiality and temporality that feed contemporary forms of domination</w:t>
      </w:r>
      <w:r w:rsidRPr="007C6713">
        <w:rPr>
          <w:rFonts w:ascii="Arial" w:hAnsi="Arial" w:cs="Arial"/>
          <w:color w:val="000000"/>
          <w:sz w:val="22"/>
          <w:szCs w:val="22"/>
        </w:rPr>
        <w:t xml:space="preserve">. </w:t>
      </w:r>
      <w:r w:rsidRPr="007C6713">
        <w:rPr>
          <w:rFonts w:ascii="Arial" w:hAnsi="Arial" w:cs="Arial"/>
          <w:b/>
          <w:bCs/>
          <w:color w:val="000000"/>
          <w:sz w:val="22"/>
          <w:szCs w:val="22"/>
          <w:u w:val="single"/>
        </w:rPr>
        <w:t>When we conceive of ourselves primarily as subjects of desire, we begin to understand ourselves as discrete bodies with desires that are essential to who we are. But as contained sub- jects, we lack that which we want.</w:t>
      </w:r>
      <w:r w:rsidRPr="007C6713">
        <w:rPr>
          <w:rFonts w:ascii="Arial" w:hAnsi="Arial" w:cs="Arial"/>
          <w:color w:val="000000"/>
          <w:sz w:val="22"/>
          <w:szCs w:val="22"/>
        </w:rPr>
        <w:t xml:space="preserve"> </w:t>
      </w:r>
      <w:r w:rsidRPr="007C6713">
        <w:rPr>
          <w:rFonts w:ascii="Arial" w:hAnsi="Arial" w:cs="Arial"/>
          <w:b/>
          <w:bCs/>
          <w:color w:val="000000"/>
          <w:sz w:val="22"/>
          <w:szCs w:val="22"/>
          <w:u w:val="single"/>
        </w:rPr>
        <w:t>Consequently, we project ourselves out- wardly both spatially and temporally: spatially, we conceive of other bodies as discrete entities that we must overcome, perhaps even master, to answer to our needs; temporally, we project ourselves into the future as the horizon on which we will find our satisfaction.</w:t>
      </w:r>
      <w:r w:rsidRPr="007C6713">
        <w:rPr>
          <w:rFonts w:ascii="Arial" w:hAnsi="Arial" w:cs="Arial"/>
          <w:color w:val="000000"/>
          <w:sz w:val="22"/>
          <w:szCs w:val="22"/>
        </w:rPr>
        <w:t xml:space="preserve"> </w:t>
      </w:r>
      <w:r w:rsidRPr="007C6713">
        <w:rPr>
          <w:rFonts w:ascii="Arial" w:hAnsi="Arial" w:cs="Arial"/>
          <w:b/>
          <w:bCs/>
          <w:color w:val="000000"/>
          <w:sz w:val="22"/>
          <w:szCs w:val="22"/>
          <w:u w:val="single"/>
        </w:rPr>
        <w:t>A bound body that models itself on private property and a futural teleology that places desire in an infinite pursuit take hold as the normative spatiality and temporality in which meaning is forged.</w:t>
      </w:r>
      <w:r w:rsidRPr="007C6713">
        <w:rPr>
          <w:rFonts w:ascii="Arial" w:hAnsi="Arial" w:cs="Arial"/>
          <w:color w:val="000000"/>
          <w:sz w:val="22"/>
          <w:szCs w:val="22"/>
        </w:rPr>
        <w:t xml:space="preserve"> </w:t>
      </w:r>
      <w:r w:rsidRPr="007C6713">
        <w:rPr>
          <w:rFonts w:ascii="Arial" w:hAnsi="Arial" w:cs="Arial"/>
          <w:b/>
          <w:bCs/>
          <w:color w:val="000000"/>
          <w:sz w:val="22"/>
          <w:szCs w:val="22"/>
          <w:u w:val="single"/>
        </w:rPr>
        <w:t>If we can excavate the normative spatial and temporal registers through which our experiences are cathected in systems of domination, we locate radical ways to intervene—and to queer our lives.</w:t>
      </w:r>
      <w:r w:rsidRPr="007C6713">
        <w:rPr>
          <w:rFonts w:ascii="Arial" w:hAnsi="Arial" w:cs="Arial"/>
          <w:color w:val="000000"/>
          <w:sz w:val="22"/>
          <w:szCs w:val="22"/>
        </w:rPr>
        <w:t xml:space="preserve"> While sexuality will remain the historically privileged site for such interventions, </w:t>
      </w:r>
      <w:r w:rsidRPr="007C6713">
        <w:rPr>
          <w:rFonts w:ascii="Arial" w:hAnsi="Arial" w:cs="Arial"/>
          <w:color w:val="000000"/>
          <w:sz w:val="22"/>
          <w:szCs w:val="22"/>
          <w:u w:val="single"/>
        </w:rPr>
        <w:t xml:space="preserve">this work of queering freedom places it in a more general economy of desires, pleasures, spaces, and times. It thereby opens onto resistances that we may signify as “queer” and yet that are not bound by or reducible to one’s sexuality. </w:t>
      </w:r>
      <w:r w:rsidRPr="007C6713">
        <w:rPr>
          <w:rFonts w:ascii="Arial" w:hAnsi="Arial" w:cs="Arial"/>
          <w:b/>
          <w:bCs/>
          <w:color w:val="000000"/>
          <w:sz w:val="22"/>
          <w:szCs w:val="22"/>
          <w:u w:val="single"/>
        </w:rPr>
        <w:t xml:space="preserve">Abandoning the spatial model of private property and turning toward temporalities of ‘lost pasts,’28 we may transform our lives from ones of anxiety endemic to desire, toward ones of joy that open onto freedom. </w:t>
      </w:r>
    </w:p>
    <w:p xmlns:wp14="http://schemas.microsoft.com/office/word/2010/wordml" w:rsidR="008263E8" w:rsidP="008263E8" w:rsidRDefault="008263E8" w14:paraId="44FB30F8" wp14:textId="77777777">
      <w:pPr>
        <w:pStyle w:val="NormalWeb"/>
        <w:spacing w:before="0" w:beforeAutospacing="0" w:after="0" w:afterAutospacing="0"/>
      </w:pPr>
      <w:r>
        <w:rPr>
          <w:rStyle w:val="apple-tab-span"/>
          <w:rFonts w:cs="Arial" w:eastAsiaTheme="majorEastAsia"/>
          <w:color w:val="000000"/>
          <w:sz w:val="20"/>
          <w:szCs w:val="20"/>
        </w:rPr>
        <w:tab/>
      </w:r>
      <w:r>
        <w:rPr>
          <w:rStyle w:val="apple-tab-span"/>
          <w:rFonts w:cs="Arial" w:eastAsiaTheme="majorEastAsia"/>
          <w:color w:val="000000"/>
          <w:sz w:val="20"/>
          <w:szCs w:val="20"/>
        </w:rPr>
        <w:tab/>
      </w:r>
      <w:r>
        <w:rPr>
          <w:rStyle w:val="apple-tab-span"/>
          <w:rFonts w:cs="Arial" w:eastAsiaTheme="majorEastAsia"/>
          <w:color w:val="000000"/>
          <w:sz w:val="20"/>
          <w:szCs w:val="20"/>
        </w:rPr>
        <w:tab/>
      </w:r>
      <w:r>
        <w:rPr>
          <w:rStyle w:val="apple-tab-span"/>
          <w:rFonts w:cs="Arial" w:eastAsiaTheme="majorEastAsia"/>
          <w:color w:val="000000"/>
          <w:sz w:val="20"/>
          <w:szCs w:val="20"/>
        </w:rPr>
        <w:tab/>
      </w:r>
    </w:p>
    <w:p xmlns:wp14="http://schemas.microsoft.com/office/word/2010/wordml" w:rsidRPr="00FB2D65" w:rsidR="008263E8" w:rsidP="008263E8" w:rsidRDefault="008263E8" w14:paraId="1DA6542E" wp14:textId="77777777">
      <w:pPr>
        <w:pStyle w:val="NormalWeb"/>
        <w:spacing w:before="0" w:beforeAutospacing="0" w:after="0" w:afterAutospacing="0"/>
      </w:pPr>
      <w:r>
        <w:rPr>
          <w:rStyle w:val="apple-tab-span"/>
          <w:rFonts w:cs="Arial" w:eastAsiaTheme="majorEastAsia"/>
          <w:color w:val="000000"/>
          <w:sz w:val="20"/>
          <w:szCs w:val="20"/>
        </w:rPr>
        <w:tab/>
      </w:r>
      <w:r>
        <w:rPr>
          <w:rStyle w:val="apple-tab-span"/>
          <w:rFonts w:cs="Arial" w:eastAsiaTheme="majorEastAsia"/>
          <w:color w:val="000000"/>
          <w:sz w:val="20"/>
          <w:szCs w:val="20"/>
        </w:rPr>
        <w:tab/>
      </w:r>
    </w:p>
    <w:p xmlns:wp14="http://schemas.microsoft.com/office/word/2010/wordml" w:rsidR="008263E8" w:rsidP="008263E8" w:rsidRDefault="008263E8" w14:paraId="58E24323" wp14:textId="77777777">
      <w:pPr>
        <w:pStyle w:val="Heading3"/>
      </w:pPr>
      <w:r>
        <w:rPr>
          <w:rStyle w:val="Style13ptBold"/>
          <w:b/>
          <w:sz w:val="32"/>
          <w:szCs w:val="32"/>
        </w:rPr>
        <w:lastRenderedPageBreak/>
        <w:t>Settlerism K--</w:t>
      </w:r>
      <w:r>
        <w:t>Permutation</w:t>
      </w:r>
    </w:p>
    <w:p xmlns:wp14="http://schemas.microsoft.com/office/word/2010/wordml" w:rsidR="008263E8" w:rsidP="008263E8" w:rsidRDefault="008263E8" w14:paraId="29A3CD96" wp14:textId="77777777">
      <w:pPr>
        <w:pStyle w:val="Heading4"/>
      </w:pPr>
      <w:r>
        <w:t>Perm do both –</w:t>
      </w:r>
    </w:p>
    <w:p xmlns:wp14="http://schemas.microsoft.com/office/word/2010/wordml" w:rsidRPr="00FB2D65" w:rsidR="008263E8" w:rsidP="008263E8" w:rsidRDefault="008263E8" w14:paraId="7A3E828D" wp14:textId="77777777">
      <w:pPr>
        <w:pStyle w:val="Heading4"/>
      </w:pPr>
      <w:r w:rsidRPr="00FB2D65">
        <w:t xml:space="preserve">Decolonial movements and queer resistance are necessarily </w:t>
      </w:r>
      <w:r>
        <w:t>imbricated in one another.  Our politics undermine settlerist conceptions of gender and sexuality in alignment with a decolonial praxis.</w:t>
      </w:r>
    </w:p>
    <w:p xmlns:wp14="http://schemas.microsoft.com/office/word/2010/wordml" w:rsidRPr="00FB2D65" w:rsidR="008263E8" w:rsidP="008263E8" w:rsidRDefault="008263E8" w14:paraId="06797620" wp14:textId="77777777">
      <w:r w:rsidRPr="00FB2D65">
        <w:rPr>
          <w:rStyle w:val="Style13ptBold"/>
        </w:rPr>
        <w:t>Hunt, et al 15</w:t>
      </w:r>
      <w:r w:rsidRPr="00FB2D65">
        <w:t xml:space="preserve"> (Sarah, Ph.D., is an independent researcher. Dr. Hunt's research spans broad themes related to Indigenous resurgence, including questions of law, violence, and power, “Everyday Decolonization: Living a Decolonizing Queer Politics,” 154-169, Journal of Lesbian Studies, Volume 19 - Issue 2: Lesbian Studies in Canada, 2015) //jd</w:t>
      </w:r>
    </w:p>
    <w:p xmlns:wp14="http://schemas.microsoft.com/office/word/2010/wordml" w:rsidR="008263E8" w:rsidP="008263E8" w:rsidRDefault="008263E8" w14:paraId="0DFE193C" wp14:textId="77777777">
      <w:r w:rsidRPr="00FB2D65">
        <w:t xml:space="preserve">Today we awoke on the unceded lands of the Coast Salish1 peoples and went about our days as two queer activist-scholars living on these stolen lands. The rhythm of today, like every day we have lived here on Turtle Island,2 is made possible through the historic and ongoing processes and ideologies of colo- nialism. Importantly, it is also made possible through ongoing and persistent resistance to colonialism. Sarah, a member of the Kwagiulth community of the Kwakwaka’wakw nation (called the Kwakiutl band by the Canadian gov- ernment), lives with her girlfriend in a small apartment in Lkwungen territory, now known as Victoria, British Columbia. She is involved in anti-violence ed- ucation, sex worker rights solidarity, local Indigenous arts, and has recently completed her Ph.D. focused on law and colonial violence. When she is not writing or at community events, Sarah spends time with her mom, who is of European ancestry, and her girlfriend, who came to Canada 25 years ago as a refugee from Poland. Cindy, a White settler of Scottish, Irish, and English heritage who grew up on the traditional territory of the Attawandaron people in Guelph, Ontario, lives with her White butch/genderqueer partner of twenty-five years and their eleven-year-old gender creative child,3 in the territories of the Musqueam, Squamish, and Tsleil-Waututh people in the city known as Vancouver, British Columbia. Cindy is an academic researcher and instructor, who is active in various anti-violence, health, and social justice movements. As a White middle-class queer parent and academic, she also moves within diverse spaces and communities that do not always readily embrace or embody the politics of these social justice movements. As two differently located queer cisgender women committed to decolonial and queer politics, we both engage in daily conversations and actions that seek to make space for ourselves, our families, and our partners in the context of a racist, homophobic, transphobic, and heteronormative patriarchy con- ditioned through colonialism. Part of this involves asking critical questions about non-Indigenous queer and trans claims for safe space, rights, and be- longing in the context of ongoing colonial dispossession. Our daily realities, unfolding on these unceded lands on which we live, are the starting point for our investigation of the politics of everyday decolonization. Although the concept of decolonization has been taken up by critical scholars working in a range of disciplines in recent years, including queer theory, examinations of settler colonialism often remain peripheral to the- orizations of queer rights and gender and sexuality more broadly (Smith, 2010b). Queer and Two-Spirit4 Indigenous people have long written about the necessity for anti-colonial struggles and queer rights to be investigated as inherently linked in social justice movements. Yet what does decolonization look and feel like, what does it entail, in our daily actions as queer women? What is decolonization beyond something to aspire to as allies to Indigenous struggles for self-determination or as Indigenous queers who want to align various aspects of our Two-Spirit identities? Before entering the academy, we both worked for many years in community-based contexts where our understanding and analyses of colo- nialism and </w:t>
      </w:r>
      <w:r w:rsidRPr="00FB2D65">
        <w:lastRenderedPageBreak/>
        <w:t xml:space="preserve">decolonization grew out of front-line anti-violence and anti- poverty work. In our academic research and teaching, as an Indigenous queer scholar working on issues of colonial violence, and a White queer scholar working on issues of violence in the lives of women and LGBTQ2S5 people, we have integrated analyses of colonialism and anti-racist poli- tics. Yet inspired by our community-based work, we also know firsthand the importance of lived, embodied and interpersonal engagement with decolonization in our everyday lives, rather than only academic reflection on these themes. Thus, this article is a joint exploration of what decolonization entails in the intimate spaces of daily life, particularly moments with family members and close friends. In this article, we investigate questions about the nature of decolonial processes within our daily lives. We have chosen to center our investiga- tion of decolonization at the level of interpersonal relationships, families and homes in order to highlight the intimate and everyday practices of allyship and decolonization that are often made invisible when we focus solely on social action strategies taking place in more “public” spaces such as community coalitions. Our methodology of allyship in this article centers relational knowledge production, conversation, dialogue, and personal sto- rytelling. While some might refer to this as auto-ethnography, we choose to utilize storytelling as a methodology with significance in Indigenous (Ko- vach, 2010), decolonial (Smith, 1999) and feminist and queer (Ristock, 2002) forms of knowledge production. This article was written through a process of dialogue and storytelling between us, about everyday decolonization in our personal lives. We believe that our daily interactions with one another as Indigenous and non-Indigenous queer people across these relational ge- ographies of allyship provide numerous possibilities for furthering decolonial efforts upon these lands that continue to be colonized. DECOLONIZING AND QUEERING PRAXIS: OUR USE OF THESE TERMS We view “decolonization” and “queering” as active, interconnected, critical, and everyday practices that take place within and across diverse spaces and times. While queer is often used as an identity category or umbrella term for non-normative sexual and gender identities, it emerged as a critique of es- sentialist constructs and identity politics. As a verb, queer is a deconstructive practice focused on challenging normative knowledges, identities, behav- iors, and spaces thereby unsettling power relations and taken-for-granted assumptions. Queerness is then less about a way of “being,” and more about “doing,” and offers the potential for radical social critique. A decolonial queer politic is not only anti-normative, but actively en- gages with anti-colonial, critical race and Indigenous theories and geopo- litical issues such as imperialism, colonialism, globalization, migration, neo- liberalism, and nationalism (Oswin, 2008; Morgensen, 2011; Driskill, 2011; Dakin, 2012; Smith, 2010b). This politic seeks to queer White settler colo- nialism and the colonial gender and sexual categories it relies on—to render it abnormal, to name it and make it visible in order to challenge it (Riggs, 2010). Some scholars and activists have described this as “coalitional queer politics,” “queer intersectionality,” and/or “postcolonial queer.” These terms critique “politics of inclusion” and depoliticized articulations of intersection- ality that ignore hierarchical power relations and reinscribe White, colonial, gender, and sexual norms. This is also referred to as “queer of color cri- tique” to foreground the theories and activism of LGBTQ2S people of color and Indigenous people and that examines the interlocking nature of race, sexuality, and gender. Yet the writing and activism of queer Indigenous scholars and commu- nity leaders, particularly women, often go unacknowledged within critical queer scholarship, and in some queer of color critique as well. For over three decades, Indigenous lesbian and Two-Spirit women authors such as Beth Brant (1994), Chrystos (1988; 1995), and Paula Gunn Allen (1986) have illus- trated through their poetry, essays, and fiction, the interlocking nature of het- eronormativity and settler colonialism, the history of Indigenous lesbian and Two-Spirit resistance and the tensions and possibilities of coalition building between </w:t>
      </w:r>
      <w:r w:rsidRPr="00FB2D65">
        <w:lastRenderedPageBreak/>
        <w:t>non-Indigenous LGBTQ and Indigenous communities. For Sarah, and likely for other Indigenous queer women, their writing has been central to finding a sense of community and identity. Their stories, poetry, and cre- ative nonfiction constitute “theories for decolonizing the body and mind as well a queer theory itself” (Burford, 2013, p. 168), yet their analysis and lead- ership are often marginalized within both LGBTQ and Indigenous scholar- ship, including in accounts of contemporary Two-Spirit community-building. Further, decolonization has been taken up in theoretical terms within postcolonial theory or other academically based knowledges, but is fre- quently disconnected from the place-based nature of ongoing colonialism in the lands and communities in which we live. We follow Tuck and Yang (2012) in observing that conversations using the language of decoloniza- tion often make no mention of Indigenous knowledge or peoples, nor any recognition of the immediate context of settler colonialism on the lands where these conversations take place. This is as true in the context of queer activism as it is in other social justice circles. Here, writing in the Canadian context, we take decolonization to be inherently connected to the lands, lives, histories, and futures of the Indigenous peoples of Turtle Island, as “decolonization, and the Indigenous knowledges that sustain it, are diverse and, due to the embedded nature, unique to particular contexts and geogra- phies” (Sium, Desai, &amp; Ritskes, 2012, p. ii). INTIMATE GEOGRAPHIES OF ALLYSHIP: THE HOME, FAMILY, AND FRIENDSHIP In writing about the everydayness of decolonization, we acknowledge that Indigenous peoples’ resistance to colonialism has unfolded in daily acts of embodying and living Indigeneity, honoring longstanding relationships with the land and with one another. While large-scale actions such as rallies, protests and blockades are frequently acknowledged as sites of resistance, the daily actions undertaken by individual Indigenous people, families, and communities often go unacknowledged but are no less vital to decolonial processes. As scholar-activists, we ask how we might locate our solidarity within and across various family and community spaces, rather than only in more visible activist sites. In doing so, we also value the quiet, rela- tional processes of change that are necessary for non-Indigenous queers, and all non-Indigenous people who seek to align themselves with Indige- nous struggles. Here, we connect these relational decolonial processes to queer, Two-Spirit and trans solidarity, resistance to heteronormativity and cisnormativity, locating these intersections in practices of decolonizing and queering the intimate geographies of the family and the home. The stories, conflicts, tensions, celebrations and connections inherent in these processes are at the heart of the conversations through which this article was written. For decades, individuals and communities have been developing diverse approaches to the politics and practices of solidarity and coalition work for social justice within and across the space of the home and the street. These approaches are shaped by the different contexts and spaces in which they occur, as underlying political and social dynamics shape definitions of “home” and “public” spaces. In her now famous speech about the challenges of coalitional politics, African-American feminist and musician Bernice Johnson Reagon (1983) ar- gued it was critical to make a distinction between home and coalition: Coalition work is not work done in your home. Coalition work has to be done in the streets. And it is some of the most dangerous work you can do. And you shouldn’t look for comfort. Some people will come to a coalition and they rate the success of the coalition on whether or not they feel good when they get there. They’re not looking for a coalition; they’re looking for a home! (p. 359) Reagon criticized feminists (primarily White and lesbian feminists) for trying to create homogeneous “safe” spaces based on narrow identity pol- itics, arguing instead that it was necessary to move outside of the comfort zones of sameness and to practice solidarity in uncomfortable places includ- ing the streets. Although written in 1981, Reagon’s speech is cited in current discussions about allyship in Canada on the topic of Indigenous–</w:t>
      </w:r>
      <w:r w:rsidRPr="00FB2D65">
        <w:lastRenderedPageBreak/>
        <w:t xml:space="preserve">settler soli- darity.6 We agree with Reagon’s call to strengthen coalitions across differences, but also see the importance of practices of allyship, activism, and decolo- nization that happen within and across intimate geographies of the home, the family, and between friends and lovers. In the examples that follow, we discuss solidarity across lines of race, gender and age in our own families, pointing out that Reagon’s assumption that homes are spaces of comfort and ease due to shared politics, history or identity may not be true for everyone. We want to draw attention to the tensions that exist between allyship that is conceptualized as visible/invisible, public/private, or taking place in the home/street but to also explore the connections between these spaces, relationships, and identities as well as the ways in which they rely on one another. Within our own families, we have found solidarity across difference to hold great possibility for enacting a decolonial queer praxis. And yet we acknowledge there are multiple meanings and experiences of home on unceded land in the context of ongoing colonialism. In many contexts “the family home” may not a place of comfort and refuge, but may be a site of oppression, violence, and surveillance; for example, the heterosexual or cisgender family home for LGBTQ2S people, or non-Indigenous foster homes for Indigenous children. However, as we discuss here, family homes can also be sites of resistance, critical dialogue, support, and allyship. BEYOND COLONIAL DICHOTOMIES: EMBRACING “BOTH/AND” In this section, we discuss the relationship between colonialism and the perpetuation of dichotomous and binary thinking, highlighting the ways in which Indigenous knowledge and ways of being continually resist and dis- rupt this, including spaces of allyship and conceptualizations of gender and sexuality. Colonialism is, at its heart, a project intent on the erasure of In- digenous peoples. Colonial policies imposed sociolegal categories that were defined and managed in ways that were intended to lead to fewer and fewer Native people over time. Inherent in this project of erasure was the imposi- tion of a binary system of gender which simultaneously imposed Indigenous rights and status along heterosexual lines and suppressed Indigenous sys- tems of gender that went far beyond the gender binary. Yet Indigenous queers persisted. Decolonization involves actively challenging or disrupting systems of knowledge that do not fully account for the lives of Indigenous people, queer and trans people, and many others whose lives are erased through epistemic and material violence (Hunt, forthcoming). We suggest that this decolonization is already active in embodiments of Indigeneity and queer gender and sexuality, yet this ongoing resistance to colonialism often goes unseen within queer spaces. Accounting for Indigenous expressions of gender and sexuality requires acknowledging that the ongoing colonial categorization of Indigenous peoples and their identities is integral to the denial of Indigenous self-determination. Indigenous languages contain within them place-specific terminology that reflects the spiritual, social, and political position of variously gendered people within individual nations. Recalling these diverse systems of gender pushes at the limits of the English language (Driskill, Finley, Gilley and Morgensen, 2011). However, many queer and trans Indigenous people now use the term Two-Spirit to express what are a varied and complex array of gender and sexual identities rooted in Indigenous worldviews and lived experience. The term is not intended to mark a singular identity category, but is an indigenously defined pan-Native North American term that refers to a diversity of Indigenous LGBTQ identities, as well as culturally specific non-binary expressions of gender (Thomas &amp; Jacobs, 1991). While Two-Spirit people are increasingly becoming recognized, and thus “included” within queer communities, the deeply colonial nature of catego- rizing Indigenous people often goes unacknowledged. Simply adding Two- Spirit to the list of LGBTQ fails to fully account for the underlying systems of power and knowledge that continue to shape possibilities for solidarity be- tween queer and Indigenous communities. For Two-Spirit people, addressing homophobia and transphobia is </w:t>
      </w:r>
      <w:r w:rsidRPr="00FB2D65">
        <w:lastRenderedPageBreak/>
        <w:t xml:space="preserve">integrally connected to confronting broad systems of colonial power, which work to erase Indigenous ontologies of gender and sexuality. In particular, decolonizing strategies of LGBTQ com- munities could focus on strengthening knowledge of local Indigenous gen- der and sexual identity practices, building knowledge of both contemporary and historic Two-Spirit issues on the lands in which we live. Strengthening relationships with Indigenous queer, trans and Two-Spirit people at a local level would enable queer organizations and individuals to ground their de- colonial efforts in ongoing political activities defined by Indigenous peoples themselves. Without grounding decolonial strategies in the immediacy of In- digenous and Two-Spirit peoples’ daily lives at a local level, decolonization can become disconnected from the ongoing everyday manifestations of colo- nial power. It is the process of strengthening these relationships in everyday decolonial strategies at a local level that we aim to highlight in this article, and that we hope to make more visible by sharing our own processes of relational learning within the context of our friendship and collaboration. Indigenous people, people of color and White settler allies working from decolonial and/or intersectional frameworks, have emphasized the im- portance of embracing a “both/and” conceptual and political stance for un- derstanding contexts, spaces, identities, and multiple forms of interlocking oppressions and violence as a way of resisting the “either/or” dichotomous thinking of colonial Euro-Western paradigms (Armstrong, 1995; Ristock &amp; Timbang, 2005; Smith, 1999). Similarly, the term Two-Spirit has been used to reflect the identities of Indigenous people who embody both masculine and feminine spirits and qualities within Indigenous knowledge paradigms which do not operate through dichotomous systems. QUESTIONS/PRACTICES/TENSIONS OF ALLYSHIP IN QUEER FAMILIES Having discussed our thoughts about what elements comprise the foun- dation of our everyday decolonization praxis, which arose within our methodologies of allyship and storytelling, we now turn our attention to examining allyship within our own relationships, focused primarily on our families. We have chosen stories that raise questions and tensions, in order to center the dynamic, messy quality of relationships among individuals who are engaged in processes of unsettling dominant power dynamics and colonial ideologies. The material reality of colonial dispossession is often overlooked in conversations in non-Indigenous queer and trans communities about creating a sense of home and safety in these lands. Thus, we choose to foreground these tensions in our conversation about decolonial queer geographies of allyship. We first discuss friendships and intimate relation- ships as spaces in which allyship can be fostered (de Leeuw, Cameron, &amp; Greenwood, 2012) within the everyday engagements of a decolonial queer praxis, and then share some specific examples of allyship in our families. Friendships can provide opportunities for enacting allyship and a de- colonial queer praxis, while raising questions about reciprocity and account- ability across axes of difference. Our friendship developed initially within the context of our scholarly work, but it was deepened through conversa- tions that made clear our mutual interests in issues of violence, power, and colonialism. We also shared involvement in queer and social justice circles in Coast Salish territories, and developed several collaborations, which al- lowed both our personal connection, and academic collaborations to deepen. Thus, our friendship developed through undertaking collaborative action to foster cross-cultural conversation about colonialism, violence, gender, and space, rather than just acknowledging these shared interests on an intellec- tual level. Through these connections, Sarah and her partner also developed a friendship with Cindy’s daughter—an intergenerational friendship of soli- darity that honors and celebrates her daughter’s nonconforming gender ex- pression and identity. This desire to do something or to be changed through shared experience and knowledge is emphasized by Jeanette Armstrong’s (1995) statement: “there’s no point in sharing this with you, if it’s only going to excite you for a </w:t>
      </w:r>
      <w:r w:rsidRPr="00FB2D65">
        <w:lastRenderedPageBreak/>
        <w:t xml:space="preserve">day and then you go your way. You’re wasting my time and your time. If you’re willing to do something I’m willing to talk with you” (p. 299). Relatedly, Sarah de Leeuw, Emilie Cameron, and Margo Greenwood (2012) emphasize the importance of relationships in Indigenous systems of knowledge and practice, framing their cross-cultural friendship as one space in which critical interrogation can contribute to decolonizing their geographic praxis as researchers. Friendships such as these require developing trust and communication across differences, challenging one another, and creating sol- idarity with one another. However, friendships can also be spaces in which the tensions of confronting colonialism and White privilege can necessarily arise as “a medium through which dominant sociocultural ideas are at once contested and reproduced” (emphasis in original) (Bunnell et al., 2012, p. 492). Bunnell et al. (2012) make the point that “friendships require .. .ac- tive, ongoing and necessarily reciprocal work” (p. 493), but allyship within friendships does not always require reciprocity on the part of the individ- ual who is socially marginalized. Instead, we suggest that allyship requires accountability on the part of members of the dominant group and is not predicated on reciprocity by those who are marginalized. Intimate relationships with partners or lovers raise a different set of questions about enacting decolonial practices across axes of race, gender, class, sexuality, and so on. As cisgender queer women, we have been in intimate relationships with genderqueer and trans partners in which we have enacted allyship by providing intimate support and care for partners encountering transphobia and heteronormativity in daily life. This requires undertaking self-education and self-reflection, particularly as our intimate relationships are spaces of reciprocal support in a different way than our friendships. However, for Indigenous people, intimate partnerships are also spaces in which questions of colonialism and White privilege can arise. For Sarah, decolonizing queer relationships requires that her partner undertake some form of self-reflection on their role as an ally to her work in Indigenous com- munities and the personal toll this work can take. Important work has been done on the role of SOFFAs (Significant Others, Friends, Family and Allies of Trans People) in relation to cisgender allyship with trans people (Cook- Daniels, n.d.), and some recent work has begun to address the roles and responsibilities of White settler queer and trans people to Indigenous queer, trans, and Two-Spirit people as an urgent issue of concern for queer and trans communities (Riggs, 2010; Morgensen, 2011). However, there remains a disturbing lack of commitment by White settlers to challenging racism and colonialism in queer and trans communities (including within friendships and intimate relationships) and practicing a politics of accountability to In- digenous people and people of color. A decolonial queer praxis requires that we continue to ask why these questions are marginal to discussions of allyship in queer relationships. Additionally, in the context of their relation- ships, White settler queer and trans people can challenge one another to think about how issues such as home ownership and parenting can become spaces to think through a decolonial queer politic. Within her own family, Sarah has experienced being Indigenous and being queer with the support and understanding of her White, heterosex- ual single mom. She did not grow up thinking her Indigeneity was separate from her family, but was indeed integrally connected to her relationship with her mom who played an important role in educating her about histories of colonialism and resistance. Sarah’s mom was involved in political activism and community organizing long before she met Sarah’s dad. She spent a number of years supporting the work of Indigenous women who were try- ing to change the Indian Act so their Indian status no longer hinged on whom they married. It was in relationship with her mom that Sarah de- veloped her identity as Indigenous, mixed-race, and as an activist, as she taught Sarah about colonialism, social justice, and definitions of community that were not rooted in identity politics but in everyday actions. Importantly, at a young age, Sarah had </w:t>
      </w:r>
      <w:r w:rsidRPr="00FB2D65">
        <w:lastRenderedPageBreak/>
        <w:t xml:space="preserve">opportunities to think about reconciling her In- digenous identity and heritage with her European settler heritage. Sarah also visited her dad at his home in Victoria where she witnessed him practicing their culture as a master carver. His decolonial teachings were different than those practiced by her mom, as he continued to create Indigenous culture through his artwork, participating in potlatches and speaking about their history and current politics. When she was 14, Sarah and her mom moved to a mobile home on the traditional territories of the Songhees people, now called the Songhees Indian reserve. As a mixed-heritage Indigenous person living with her White mom, Sarah occupied a hybrid space in this community. Here, Sarah saw, and continues to see, her mother’s solidarity politics unfold in how she enacts her relationships. She is involved in the ongoing hustle and bustle of life in this community, baking brownies for loonie-toonie fundraisers,7 bringing food to families in mourning when a loved one is lost, attending cultural events, and visiting regularly with her neighbors. During fishing season, neighbors stop in front of her home to drop off salmon for her. Kids come by with care packages when she is sick. As an Indigenous person, Sarah has come to value these everyday actions as a true measure of her mom’s respectful approach to living as a non-Indigenous person within a mostly native community. It is in these intimate acts of reciprocity that her relationships of allyship are formed. Importantly, these relationships unfold in the context of her ongoing self-education about colonialism, Indigenous culture, history, and resistance that inform her acts of allyship with her daughter. Sarah’s mom has also been an important queer ally, both to Sarah and to her partner. She has attended many gay pride parades and other queer community events, actively participating in these spaces even without Sarah’s presence. However, the allyship is not just one way, as Sarah also demon- strates allyship with her single mother, who raised Sarah while struggling to make ends meet. These dynamics of solidarity across their interconnected identities and positionalities are central to putting a decolonizing politic into practice in their relationship. Sarah has invited her mom to collabo- rate on an article about her mother’s work at a residential school during her twenties. Challenging assumptions about what allyship looks like, this collaboration involves Sarah, as an Indigenous academic, using her educa- tional skills and privilege to facilitate her mother reflecting on her time at a residential school as a non-Indigenous woman. Sarah sees this as enacting her decolonial politics as an Indigenous person, exposing rarely heard per- spectives on the colonial spaces of residential schools while confronting the assumptions about power relations between Indigenous and non-Indigenous people. However, the collaboration also requires that they navigate around complex questions of power, colonialism, voice, and identity in recalling what is a painful and difficult time both for Sarah’s mom personally and for Indigenous peoples. These emotional conversations can be sites of change, growth, and strengthened understanding. In reflecting on allyship and decolonization, Cindy is aware that the very act of telling “White settler stories of allyship” is always fraught with tensions, given that White settler narratives of good intentions and benevo- lence have been a historical foundation of White settler identity formation (Srivastava, 2005; Regan, 2010). How can White queers talk about allyship without positioning themselves as better than other White queers, or with- out perpetuating narratives that maintain White supremacy by propping up White settlers as benevolent saviors of the “oppressed other”? While sharing stories of the everyday practices of White settlers resisting White supremacy may be a necessary part of decolonization, it is not a neutral or uncompli- cated process. For Cindy, practices of allyship in her family are not only within relationships across differences (in the case of being a cisgender ally to her gender nonconforming child and partner, or her White, heterosexual parents’ allyship to her and other LGBTQ people) but also practices of allyship that involve resisting White settler colonialism and racism, for example as a White parent raising a </w:t>
      </w:r>
      <w:r w:rsidRPr="00FB2D65">
        <w:lastRenderedPageBreak/>
        <w:t xml:space="preserve">White child, and in relationships with other White extended family members. Since welcoming their child into the world, Cindy and her partner have consciously tried to parent from what might be called “a critical social justice framework” that makes connections between multiple systems of domination. Early on, they talked about their vision for their family and how they wanted to live their anti-racist feminist and queer politics as par- ents. At the core of their parenting philosophy is a commitment to promoting critical literacy for social justice within their family, including conversations that raise questions to help their daughter develop critical thinking skills about the world around her with a focus on issues of equity and justice. An analysis about White supremacy and the history of colonialism in Canada is central to these conversations, which take place around the kitchen table, on their way home from school, or while reading stories together. Together, Cindy’s family discusses age-appropriate questions that disrupt the dominant White settler mythology about Canada and what this means for them as White settlers today—rejecting what Taiaiake Alfred (2010) calls the “self-congratulatory version of Canadian history” and “the benevolent peacemaker myth” that form the basis of settler identity (p. ix). It necessarily involves having ongoing conversations that challenge the pervasive colonial narratives about “thanksgiving,” “Canada Day,” and “explorers,” bringing a critical and decolonial lens to examining news media, books, toys, music, films, and more. It also involves having conversations with children that help illuminate the connections between colonialism and the enforcement of a hetero/cisnormative gender binary such as through discussion of the way Euro-colonial gender hierarchies were imposed on all Indigenous children at residential schools, as well as the histories of Two-Spirit people. Practicing decolonial allyship within a White settler queer family, also means deepening an understanding of the way colonial narratives may be embedded within “social justice,” “intersectional,” or “critical literacy” dis- courses and practices despite their claim to do the opposite. For example, it has been important to Cindy that the story her daughter hears (and tells) about Indigenous people in Canada, is not only a story of oppression but also of resistance and resilience. She has sought out children’s books written by Indigenous authors that center Indigenous knowledge, community, and resistance such as Secret of the Dance (Spalding &amp; Scow, 2006), a story told from the point of view of a Kwakwaka’wakw boy whose family defied the British Columbia government by holding a forbidden potlatch. And yet, she remains concerned that the stories of land theft, poverty, the ongoing trau- matic effects of residential schools, and the colonial policies and laws that deny Indigenous sovereignty, are more central in her daughter’s understand- ing of Indigenous people than stories of resilience and strength. Similarly, she is troubled by the way these conversations may re-center Whiteness by focusing on the “oppression of the other” without sustained examination of how Whiteness is produced or how colonialism shapes their sense of self as White settlers. Cindy and her partner recognize the importance of not only making Whiteness visible to themselves as White queer people, but regularly discussing how they are implicated. In conversations with her daughter about their family heritage, Cindy tries to hold the tension of honoring their ancestors while clearly naming their family’s role in colonization as some of the early European coloniz- ers. For example, three years ago her eight-year-old daughter initiated this conversation: K: I love you Mommy. C: I love you too. K: Do you love everyone in our family? C: Of course! I love you, Mum, Rosebud, Nana, all of our aunts, un- cles, cousins, nephews, and our friends who are family to us, like Aunt Caroline. K: And our ancestors? C: Oh yes! I love our ancestors too. K: Well not all of them ... we don’t love our England ancestors who came over here and did the whole stealing the land from the Aboriginal people. C: Oh . . . those ancestors. Umm, right. Well, that’s a really good question. Do we love people who do things that are wrong? Could we hate what they did, but love the people? K: </w:t>
      </w:r>
      <w:r w:rsidRPr="00FB2D65">
        <w:lastRenderedPageBreak/>
        <w:t xml:space="preserve">Well, I’m not sure. I care about the Aboriginal people and what hap- pened to them. C: I do too. That’s a really interesting and important question you are asking. K: Yeah. C: It’s not easy to figure that out, is it? K: No, it isn’t. Recently, this conversation about their family’s role in settler colonialism surfaced while working on a school project to create a family tree. As Cindy and her daughter talked about their English, Irish, Scottish ancestors who came to Turtle Island in the early-to-mid 1800s, her daughter struggled again with the painful reality of their intimate connection to this violent history. She said: “I don’t like to think of them as my family. What they did was horrible. Why did they do that?” For Cindy and her partner, it is important to make space for these and other uncomfortable conversations as a necessary part of resisting racial amnesia (Razack, 2002) and the familiar White settler narratives of innocence and denial of conquest and genocide, and thus moving toward White settler practices of accountability to Indigenous people and people of color in Canada.8 Throughout this process, Cindy also tries to acknowledge to her daughter that she does not always have “the answer,” makes mistakes, and is going through an ongoing unsettling, unlearning process alongside her. As Paulette Regan (2010) reminds us: “Settler stories as counter narratives that create decolonizing space are both interior and relational. As such, they require us to risk revealing ourselves as vulnerable ‘not knowers’ who are willing to examine our dual positions as colonizer- perpetrators and colonizer-allies” (p. 28). Another necessary yet uncomfortable family conversation is the way they benefit from past and present White settler colonialism, which has allowed them to buy property on stolen Coast Salish land. Although referring to oneself as a “visitor” on unceded and traditional Coast Salish territories does acknowledge that the land belongs to Indigenous peoples, it also can mask the reality that Cindy’s family benefits materially from owning land and this ability to buy land is directly related to other forms of prior land theft of her White settler ancestors (and her partner’s) that date back to the early 1800s in the territories of the Six Nations of the Grand River and the Saugeen Ojibway Nation. Engaging in critical dialogue about these issues within their family and community (including asking how we can address accountability at a material level) is an important part of everyday decolonization. But critical self-reflexive conversations among White family members around the kitchen table are insufficient on their own. Once again, this highlights the importance of embracing a “both/and” approach to allyship that honors the intimate and often invisible practices of decolonization in home and family spaces, but connects them with other acts of solidarity with Indigenous people taking place across much wider sociospatial contexts as well. Participating in public rallies, marches, and direct actions supporting In- digenous sovereignty, attending Indigenous art exhibits, visiting Indigenous cultural centers, signing petitions, writing letters, making monetary dona- tions, and volunteering to support Indigenous initiatives are only a few of the other forms of solidarity that must accompany acts of decolonial allyship in the White queer settler family home. In this way, we can also see how these geographies of allyship are relational. CONCLUDING THOUGHTS ON THE INTIMATE GEOGRAPHIES OF ALLYSHIP In this article, we have attempted to provoke thought and conversation that challenges common understandings of allyship. We have not provided a clear path or model for allyship, queering nor decolonization. Rather, we hope to have exposed some of the tensions, dynamics, and unresolved questions at the heart of decolonial processes in our everyday queer lives. Within the spaces of our homes, families, and communities, we have opportunities to develop long-term processes of challenging our assumptions about how we perform queerness, Whiteness, Indigeneity, cisgender privilege, and a whole range of other identities. We would like to conclude by highlighting that an active engagement across geographies of allyship requires that we remain open and flexible to shift the strategies and terms of our work with one another. This is especially true within our intimate </w:t>
      </w:r>
      <w:r w:rsidRPr="00FB2D65">
        <w:lastRenderedPageBreak/>
        <w:t>family relationships and friendships with whom we move across various sociopolitical spaces and contexts. Drawing on the work of Jessica Danforth (2011), we ask how these intimate geographies create meaningful opportunities to enact “consensual allyship,” which requires ongoing dialogue and relationship-building. Dan- forth writes “solidarity and allyship are great in theory but when imposed they replicate the same oppression we’re resisting” (n.p.). This speaks to the previously discussed importance of troubling White settler narratives founded on good intentions, which have allowed settlers to overlook the potentially harmful outcomes of their well-intentioned actions. These “good intentions” can also be enacted within and across our closest relationships, as we try to “protect” our loved ones from the violence of racist, transpho- bic, or homophobic systems and interactions. In our daily movement within the intimate geographies of our relationships, we are challenged to avoid speaking for our loved ones and our relatives without their consent while also creating spaces in which we can be called on as allies when desired. As an Indigenous person, Sarah is also continually challenged to find ways to clarify how her friends and family members can enact decolonial allyship in ways that feel positive. Cindy, on the other hand, is challenged to unmask and unlearn White settler colonial ways of thinking and being in the world, and to listen and learn from Indigenous people. In our own friendship, we encourage one another to have conversations about appropriate forms of allyship with our family members and friends, so that we are prepared to act when needed. As the examples within our own families demonstrate, consensual allyship in our homes and intimate relationships can provide meaningful and important ways to put our decolonial queer politics into action. Thus, we want to end by raising questions about our own families and relationships that we encourage others to raise in their everyday lives. A decolonial queer praxis requires that we engage in the complexities of re-orienting ourselves away from White supremacist logics and systems and toward more respectful and accountable ways of being in relation to one another and the lands we live on, while not appropriating Indigenous knowledge. How do White settlers become informed by Indigenous world- views and systems of knowledge while taking responsibility for White priv- ilege and shifting power relations? These need to be seen as queer family issues—questions we are compelled to discuss with one another. We encourage the use of knowledge systems and methodologies that are grounded in what Jeanette Armstrong refers to as “a complex holistic view of interconnectedness that demands our responsibility to everything we are connected to” (Armstrong, 2005, p. 13). Armstrong (1995) argues that we must ask ourselves, “what, historically do we need to remember and re-learn and re-teach and what are the values which go along with that?” (p. 283). In Armstrong’s view, principles of non-aggression and non- violence must be applied and we must learn to see, hear, think and act differently (p. 298). As we undertake these processes of learning to do things differently, opportunities exist for histories and processes of colonialism to be linked with heterosexual and cisgender normativity, and to link the resistance to these systems of power in our daily lives. For Indigenous people, the imposition and institutionalization of racialized gender roles has meant the loss not only of Two-Spirit traditions, but also of the spiritual, ceremonial, and cultural significance of diverse gender roles within broader cultural systems. As Sarah (forthcoming) has argued elsewhere, “the forced disappearance of locally defined systems of gender is central to the settler project of native disappearance” as gender plays a central role in understanding and defining Indigenous peoples’ identities.</w:t>
      </w:r>
    </w:p>
    <w:p xmlns:wp14="http://schemas.microsoft.com/office/word/2010/wordml" w:rsidRPr="0008655B" w:rsidR="008263E8" w:rsidP="008263E8" w:rsidRDefault="008263E8" w14:paraId="4E4A24C2" wp14:textId="77777777">
      <w:pPr>
        <w:pStyle w:val="Heading4"/>
        <w:rPr>
          <w:rFonts w:ascii="Times New Roman" w:hAnsi="Times New Roman" w:cs="Times New Roman"/>
          <w:sz w:val="24"/>
          <w:szCs w:val="24"/>
        </w:rPr>
      </w:pPr>
      <w:r>
        <w:lastRenderedPageBreak/>
        <w:t>H</w:t>
      </w:r>
      <w:r w:rsidRPr="0008655B">
        <w:t>omonationalism and the nuclear family form are bad for Native people and are linked to their ongoing genocide. Only the permutation can solve. Studying at the intersection of Native and queer studies is critical to undermine heteronormative biopower that legitimates settler colonial violence.</w:t>
      </w:r>
    </w:p>
    <w:p xmlns:wp14="http://schemas.microsoft.com/office/word/2010/wordml" w:rsidRPr="0008655B" w:rsidR="008263E8" w:rsidP="008263E8" w:rsidRDefault="008263E8" w14:paraId="46AA0859" wp14:textId="77777777">
      <w:pPr>
        <w:spacing w:after="0" w:line="240" w:lineRule="auto"/>
        <w:rPr>
          <w:rFonts w:ascii="Times New Roman" w:hAnsi="Times New Roman" w:eastAsia="Times New Roman" w:cs="Times New Roman"/>
          <w:sz w:val="24"/>
          <w:szCs w:val="24"/>
        </w:rPr>
      </w:pPr>
      <w:r w:rsidRPr="0008655B">
        <w:rPr>
          <w:rStyle w:val="StyleUnderline"/>
        </w:rPr>
        <w:t>Finley 12</w:t>
      </w:r>
      <w:r w:rsidRPr="0008655B">
        <w:rPr>
          <w:rFonts w:eastAsia="Times New Roman"/>
          <w:color w:val="000000"/>
          <w:sz w:val="24"/>
          <w:szCs w:val="24"/>
        </w:rPr>
        <w:t xml:space="preserve"> [Christine April Finley is an assistant professor of American Studies and Ethnicity at the University of Southern California, “Decolonizing Sexualized Cultural Images of Native Peoples: ‘Bringing Sexy Back’ To Native Studies” a dissertation submitted for Doctor of Philosophy at University of Michigan, 2012, p 10-13 //tjb]</w:t>
      </w:r>
      <w:r w:rsidRPr="0008655B">
        <w:rPr>
          <w:rFonts w:eastAsia="Times New Roman"/>
          <w:color w:val="000000"/>
        </w:rPr>
        <w:tab/>
      </w:r>
      <w:r w:rsidRPr="0008655B">
        <w:rPr>
          <w:rFonts w:eastAsia="Times New Roman"/>
          <w:color w:val="000000"/>
        </w:rPr>
        <w:tab/>
      </w:r>
    </w:p>
    <w:p xmlns:wp14="http://schemas.microsoft.com/office/word/2010/wordml" w:rsidRPr="0008655B" w:rsidR="008263E8" w:rsidP="008263E8" w:rsidRDefault="008263E8" w14:paraId="3041E394" wp14:textId="77777777">
      <w:pPr>
        <w:spacing w:after="0" w:line="240" w:lineRule="auto"/>
        <w:rPr>
          <w:rFonts w:ascii="Times New Roman" w:hAnsi="Times New Roman" w:eastAsia="Times New Roman" w:cs="Times New Roman"/>
          <w:sz w:val="24"/>
          <w:szCs w:val="24"/>
        </w:rPr>
      </w:pPr>
      <w:r w:rsidRPr="0008655B">
        <w:rPr>
          <w:rFonts w:eastAsia="Times New Roman"/>
          <w:color w:val="000000"/>
        </w:rPr>
        <w:tab/>
      </w:r>
      <w:r w:rsidRPr="0008655B">
        <w:rPr>
          <w:rFonts w:eastAsia="Times New Roman"/>
          <w:color w:val="000000"/>
        </w:rPr>
        <w:tab/>
      </w:r>
      <w:r w:rsidRPr="0008655B">
        <w:rPr>
          <w:rFonts w:eastAsia="Times New Roman"/>
          <w:color w:val="000000"/>
        </w:rPr>
        <w:tab/>
      </w:r>
      <w:r w:rsidRPr="0008655B">
        <w:rPr>
          <w:rFonts w:eastAsia="Times New Roman"/>
          <w:color w:val="000000"/>
        </w:rPr>
        <w:tab/>
      </w:r>
    </w:p>
    <w:p xmlns:wp14="http://schemas.microsoft.com/office/word/2010/wordml" w:rsidRPr="0008655B" w:rsidR="008263E8" w:rsidP="008263E8" w:rsidRDefault="008263E8" w14:paraId="600EE070" wp14:textId="77777777">
      <w:pPr>
        <w:spacing w:after="0" w:line="240" w:lineRule="auto"/>
        <w:rPr>
          <w:rFonts w:ascii="Times New Roman" w:hAnsi="Times New Roman" w:eastAsia="Times New Roman" w:cs="Times New Roman"/>
          <w:sz w:val="24"/>
          <w:szCs w:val="24"/>
        </w:rPr>
      </w:pPr>
      <w:r w:rsidRPr="0008655B">
        <w:rPr>
          <w:rFonts w:eastAsia="Times New Roman"/>
          <w:color w:val="000000"/>
          <w:sz w:val="24"/>
          <w:szCs w:val="24"/>
        </w:rPr>
        <w:t xml:space="preserve">My goal here is to show how new and exciting work </w:t>
      </w:r>
      <w:r w:rsidRPr="0008655B">
        <w:rPr>
          <w:rFonts w:eastAsia="Times New Roman"/>
          <w:b/>
          <w:bCs/>
          <w:color w:val="000000"/>
          <w:sz w:val="24"/>
          <w:szCs w:val="24"/>
          <w:u w:val="single"/>
        </w:rPr>
        <w:t>linking Native studies and queer studies can imagine more open, sex-positive, and queer-friendly discussions of sexuality in both Native communities and Native studies</w:t>
      </w:r>
      <w:r w:rsidRPr="0008655B">
        <w:rPr>
          <w:rFonts w:eastAsia="Times New Roman"/>
          <w:color w:val="000000"/>
          <w:sz w:val="24"/>
          <w:szCs w:val="24"/>
        </w:rPr>
        <w:t xml:space="preserve">. This not only will benefit Native intellectualism but also will change the ways in which Native nationalisms are perceived and constructed by Native peoples, and perhaps by non-Native peoples as well. An emerging field of queer Indigenous studies is already nascent, with the publication of a special issue of </w:t>
      </w:r>
      <w:r w:rsidRPr="0008655B">
        <w:rPr>
          <w:rFonts w:eastAsia="Times New Roman"/>
          <w:i/>
          <w:iCs/>
          <w:color w:val="000000"/>
          <w:sz w:val="24"/>
          <w:szCs w:val="24"/>
        </w:rPr>
        <w:t xml:space="preserve">Studies in American Indian Literatures </w:t>
      </w:r>
      <w:r w:rsidRPr="0008655B">
        <w:rPr>
          <w:rFonts w:eastAsia="Times New Roman"/>
          <w:color w:val="000000"/>
          <w:sz w:val="24"/>
          <w:szCs w:val="24"/>
        </w:rPr>
        <w:t xml:space="preserve">that discussed GLBTQ2 literatures; a special issue of </w:t>
      </w:r>
      <w:r w:rsidRPr="0008655B">
        <w:rPr>
          <w:rFonts w:eastAsia="Times New Roman"/>
          <w:i/>
          <w:iCs/>
          <w:color w:val="000000"/>
          <w:sz w:val="24"/>
          <w:szCs w:val="24"/>
        </w:rPr>
        <w:t xml:space="preserve">GLQ: A Journal of Lesbian and Gay Studies </w:t>
      </w:r>
      <w:r w:rsidRPr="0008655B">
        <w:rPr>
          <w:rFonts w:eastAsia="Times New Roman"/>
          <w:color w:val="000000"/>
          <w:sz w:val="24"/>
          <w:szCs w:val="24"/>
        </w:rPr>
        <w:t xml:space="preserve">dedicated to the intersection of Native and queer studies; and the anthology </w:t>
      </w:r>
      <w:r w:rsidRPr="0008655B">
        <w:rPr>
          <w:rFonts w:eastAsia="Times New Roman"/>
          <w:i/>
          <w:iCs/>
          <w:color w:val="000000"/>
          <w:sz w:val="24"/>
          <w:szCs w:val="24"/>
        </w:rPr>
        <w:t xml:space="preserve">Queer Indigenous Studies: Critical Interventions in Theory, Literature, Politics, and Literature </w:t>
      </w:r>
      <w:r w:rsidRPr="0008655B">
        <w:rPr>
          <w:rFonts w:eastAsia="Times New Roman"/>
          <w:color w:val="000000"/>
          <w:sz w:val="24"/>
          <w:szCs w:val="24"/>
        </w:rPr>
        <w:t xml:space="preserve">(2011) edited by Qwo-Li Driskill, Brian Joseph Gilley, Scott Lauria Morgensen, and myself. The anthology includes many exciting interventions in Native and queer studies by authors Andrea Smith, Michelle Erai, Dan Taulapapa McMullin, Clive Aspin, Lisa Tatonetti, June Scudeler, as well as the editors. This new field of study critically analyzes sexualities and gender through the colonial logic of biopower. Queer Indigenous studies offers new alternatives to the heteropatriarchal U.S. nation-state mirrored in the formation of many Native nations. </w:t>
      </w:r>
      <w:r w:rsidRPr="0008655B">
        <w:rPr>
          <w:rFonts w:eastAsia="Times New Roman"/>
          <w:b/>
          <w:bCs/>
          <w:color w:val="000000"/>
          <w:sz w:val="24"/>
          <w:szCs w:val="24"/>
          <w:u w:val="single"/>
        </w:rPr>
        <w:t>Using sexualities as an analytic allows Native studies scholars to view Native identities, Native nations, the colonization of Native America, Native futurities and Native survival to reveal the violence of settler colonialism that belies the hegemony of heteropatriarchy.</w:t>
      </w:r>
      <w:r w:rsidRPr="0008655B">
        <w:rPr>
          <w:rFonts w:eastAsia="Times New Roman"/>
          <w:color w:val="000000"/>
          <w:sz w:val="24"/>
          <w:szCs w:val="24"/>
        </w:rPr>
        <w:t xml:space="preserve"> Heteropatriarchy and biopower are rarely used as theoretical frameworks in Native studies, but this is rapidly changing. As a result, scholarly analyses of colonialism can more deeply penetrate the biopolitical gendered and sexualized violence directed towards Native peoples. Scott Lauria Morgensen argues in “Settler Homonationalism: Theorizing Settler Colonialism with Queer Modernities:” </w:t>
      </w:r>
      <w:r w:rsidRPr="0008655B">
        <w:rPr>
          <w:rFonts w:eastAsia="Times New Roman"/>
          <w:b/>
          <w:bCs/>
          <w:color w:val="000000"/>
          <w:sz w:val="24"/>
          <w:szCs w:val="24"/>
          <w:u w:val="single"/>
        </w:rPr>
        <w:t>Colonists interpreted diverse practices of gender and sexuality as signs of a general primitivity among Native peoples. Over time, they produced a colonial necropolitics that framed Native peoples as queer populations marked for death</w:t>
      </w:r>
      <w:r w:rsidRPr="0008655B">
        <w:rPr>
          <w:rFonts w:eastAsia="Times New Roman"/>
          <w:color w:val="000000"/>
          <w:sz w:val="24"/>
          <w:szCs w:val="24"/>
        </w:rPr>
        <w:t>. Colonization produced the biopolitics of modern sexuality that I call “settler sexuality”: a white national heteronormativity that regulates Indigenous sexuality and gender by supplanting them with the sexual modernity of settler subjects.</w:t>
      </w:r>
      <w:r w:rsidRPr="0008655B">
        <w:rPr>
          <w:rFonts w:eastAsia="Times New Roman"/>
          <w:color w:val="000000"/>
          <w:sz w:val="16"/>
          <w:szCs w:val="16"/>
        </w:rPr>
        <w:t xml:space="preserve">xii </w:t>
      </w:r>
      <w:r w:rsidRPr="0008655B">
        <w:rPr>
          <w:rFonts w:eastAsia="Times New Roman"/>
          <w:b/>
          <w:bCs/>
          <w:color w:val="000000"/>
          <w:sz w:val="24"/>
          <w:szCs w:val="24"/>
          <w:u w:val="single"/>
        </w:rPr>
        <w:t>Morgensen’s reading of settler colonialism</w:t>
      </w:r>
      <w:r w:rsidRPr="0008655B">
        <w:rPr>
          <w:rFonts w:eastAsia="Times New Roman"/>
          <w:color w:val="000000"/>
          <w:sz w:val="24"/>
          <w:szCs w:val="24"/>
        </w:rPr>
        <w:t xml:space="preserve"> shows how the constellation Native/primitive/queer/dead is opposed to the settler/straight/modern, constituting the racialized and sexualized identities of settler colonialism that rely on a biopolitical framework to justify the genocide of Native peoples. His work also </w:t>
      </w:r>
      <w:r w:rsidRPr="0008655B">
        <w:rPr>
          <w:rFonts w:eastAsia="Times New Roman"/>
          <w:b/>
          <w:bCs/>
          <w:color w:val="000000"/>
          <w:sz w:val="24"/>
          <w:szCs w:val="24"/>
          <w:u w:val="single"/>
        </w:rPr>
        <w:t xml:space="preserve">critiques non-Native queer communities for engaging in “settler homonationalism” and argues that queer communities need to recognize </w:t>
      </w:r>
      <w:r w:rsidRPr="0008655B">
        <w:rPr>
          <w:rFonts w:eastAsia="Times New Roman"/>
          <w:b/>
          <w:bCs/>
          <w:color w:val="000000"/>
          <w:sz w:val="24"/>
          <w:szCs w:val="24"/>
          <w:u w:val="single"/>
        </w:rPr>
        <w:lastRenderedPageBreak/>
        <w:t xml:space="preserve">their positionality as settlers. </w:t>
      </w:r>
      <w:r w:rsidRPr="0008655B">
        <w:rPr>
          <w:rFonts w:eastAsia="Times New Roman"/>
          <w:color w:val="000000"/>
          <w:sz w:val="24"/>
          <w:szCs w:val="24"/>
        </w:rPr>
        <w:t xml:space="preserve">This means politically organizing around this recognition and respecting the sovereignty of Native communities and queer Native communities. Importantly, Morgensen’s work does more than critique anti-Native racism and white supremacy. He also shows the ways </w:t>
      </w:r>
      <w:r w:rsidRPr="0008655B">
        <w:rPr>
          <w:rFonts w:eastAsia="Times New Roman"/>
          <w:color w:val="000000"/>
          <w:sz w:val="24"/>
          <w:szCs w:val="24"/>
          <w:u w:val="single"/>
        </w:rPr>
        <w:t xml:space="preserve">settler colonialism </w:t>
      </w:r>
      <w:r w:rsidRPr="0008655B">
        <w:rPr>
          <w:rFonts w:eastAsia="Times New Roman"/>
          <w:i/>
          <w:iCs/>
          <w:color w:val="000000"/>
          <w:sz w:val="24"/>
          <w:szCs w:val="24"/>
          <w:u w:val="single"/>
        </w:rPr>
        <w:t xml:space="preserve">relies </w:t>
      </w:r>
      <w:r w:rsidRPr="0008655B">
        <w:rPr>
          <w:rFonts w:eastAsia="Times New Roman"/>
          <w:color w:val="000000"/>
          <w:sz w:val="24"/>
          <w:szCs w:val="24"/>
          <w:u w:val="single"/>
        </w:rPr>
        <w:t>on straight and queer representations of settler sexualities to construct settlers as superior to Native peoples as a result of settlers’ modern and therefore more “advanced” sexual beliefs and practices.</w:t>
      </w:r>
      <w:r w:rsidRPr="0008655B">
        <w:rPr>
          <w:rFonts w:eastAsia="Times New Roman"/>
          <w:color w:val="000000"/>
          <w:sz w:val="24"/>
          <w:szCs w:val="24"/>
        </w:rPr>
        <w:t xml:space="preserve"> My work, like Morgensen’s work, shows how settler colonialism relies on representations of Native sexual primitivism in order to make settler sexualities more logical, modern, and capable of productively governing former Native lands. Another key component of my dissertation is how </w:t>
      </w:r>
      <w:r w:rsidRPr="0008655B">
        <w:rPr>
          <w:rFonts w:eastAsia="Times New Roman"/>
          <w:b/>
          <w:bCs/>
          <w:color w:val="000000"/>
          <w:sz w:val="24"/>
          <w:szCs w:val="24"/>
          <w:u w:val="single"/>
        </w:rPr>
        <w:t xml:space="preserve">Native sexualities are seen as inferior to settler sexualities because Native peoples cannot conform to the heteronormative nuclear family. </w:t>
      </w:r>
      <w:r w:rsidRPr="0008655B">
        <w:rPr>
          <w:rFonts w:eastAsia="Times New Roman"/>
          <w:color w:val="000000"/>
          <w:sz w:val="24"/>
          <w:szCs w:val="24"/>
        </w:rPr>
        <w:t xml:space="preserve">Mark Rifkin shows how heteronormative kinship (the heteronuclear family) excludes Native peoples by denaturalizing Native place based kinship. Rifkin argues: </w:t>
      </w:r>
      <w:r w:rsidRPr="0008655B">
        <w:rPr>
          <w:rFonts w:eastAsia="Times New Roman"/>
          <w:b/>
          <w:bCs/>
          <w:color w:val="000000"/>
          <w:sz w:val="24"/>
          <w:szCs w:val="24"/>
          <w:u w:val="single"/>
        </w:rPr>
        <w:t>A queer methodology organized around kinship that places native peoples at its center, however, does not take the (settler)state as its de facto frame, instead attending to forms of place-based political collectivity abjected or rendered unintelligible within U.S. governance.</w:t>
      </w:r>
      <w:r w:rsidRPr="0008655B">
        <w:rPr>
          <w:rFonts w:eastAsia="Times New Roman"/>
          <w:color w:val="000000"/>
          <w:sz w:val="24"/>
          <w:szCs w:val="24"/>
        </w:rPr>
        <w:t xml:space="preserve"> From this perspective, heteronormativity is not an internal set of distinctions within citizenship or among national subjects but a system that emerges in relation to the ongoing imperial project of (re)producing the settler state as against competing indigenous formations.</w:t>
      </w:r>
      <w:r w:rsidRPr="0008655B">
        <w:rPr>
          <w:rFonts w:eastAsia="Times New Roman"/>
          <w:color w:val="000000"/>
          <w:sz w:val="16"/>
          <w:szCs w:val="16"/>
        </w:rPr>
        <w:t xml:space="preserve">xiii </w:t>
      </w:r>
      <w:r w:rsidRPr="0008655B">
        <w:rPr>
          <w:rFonts w:eastAsia="Times New Roman"/>
          <w:color w:val="000000"/>
          <w:sz w:val="24"/>
          <w:szCs w:val="24"/>
        </w:rPr>
        <w:t xml:space="preserve">Both Rifkin and Morgensen’s ideas discuss settler colonialism as an ongoing imperial project that uses discourses of sexualities to maintain heteropatriarchy, genocide, and the U.S. nation as a natural outcome of the conquest of Native America. Rifkin discusses how Native kinship threatens U.S. citizenship and nationalism. Settler colonialism and Indigenous nations are set against one another. The lack of heteronormativity in Native kinship systems, which undergird Native national formations makes settler colonial heteronormative systems of governance superior to Native governance because settler colonial is defined through belonging or not belonging to the heteronormative settler state. In other words, </w:t>
      </w:r>
      <w:r w:rsidRPr="0008655B">
        <w:rPr>
          <w:rFonts w:eastAsia="Times New Roman"/>
          <w:b/>
          <w:bCs/>
          <w:color w:val="000000"/>
          <w:sz w:val="24"/>
          <w:szCs w:val="24"/>
          <w:u w:val="single"/>
        </w:rPr>
        <w:t>heteronormativity needs to be understood as constituting settler colonialism and queer theory needs to question heteronormativity as not only homophobic but as a system of colonial racialized violence.</w:t>
      </w:r>
      <w:r w:rsidRPr="0008655B">
        <w:rPr>
          <w:rFonts w:eastAsia="Times New Roman"/>
          <w:color w:val="000000"/>
          <w:sz w:val="24"/>
          <w:szCs w:val="24"/>
        </w:rPr>
        <w:t xml:space="preserve"> My dissertation works with these ideas to question the logics of heteronormativity, settler colonialism, and the U.S. nation by exposing the violence of settler colonialism in sexualized cultural representations of Native peoples. My project builds on the labor of other scholars who are working at the intersection of queer and Indigenous studies. How are queered Native bodies made into docile bodies that then become open to subjugation by colonial and imperial powers? How does the queering of Native bodies affect Native sovereignty struggles? Can Native peoples decolonize themselves without taking colonial discourses of sexualities seriously? What might some of the results of a decolonizing revolutionary movement for Native people that challenged heteropatriarchy look like? How could a decolonizing movement that challenged biopower be constructed as a coalitional and community-building movement? </w:t>
      </w:r>
    </w:p>
    <w:p xmlns:wp14="http://schemas.microsoft.com/office/word/2010/wordml" w:rsidRPr="0008655B" w:rsidR="008263E8" w:rsidP="008263E8" w:rsidRDefault="008263E8" w14:paraId="722B00AE" wp14:textId="77777777">
      <w:pPr>
        <w:spacing w:after="0" w:line="240" w:lineRule="auto"/>
        <w:rPr>
          <w:rFonts w:ascii="Times New Roman" w:hAnsi="Times New Roman" w:eastAsia="Times New Roman" w:cs="Times New Roman"/>
          <w:sz w:val="24"/>
          <w:szCs w:val="24"/>
        </w:rPr>
      </w:pPr>
      <w:r w:rsidRPr="0008655B">
        <w:rPr>
          <w:rFonts w:eastAsia="Times New Roman"/>
          <w:color w:val="000000"/>
        </w:rPr>
        <w:tab/>
      </w:r>
      <w:r w:rsidRPr="0008655B">
        <w:rPr>
          <w:rFonts w:eastAsia="Times New Roman"/>
          <w:color w:val="000000"/>
        </w:rPr>
        <w:tab/>
      </w:r>
      <w:r w:rsidRPr="0008655B">
        <w:rPr>
          <w:rFonts w:eastAsia="Times New Roman"/>
          <w:color w:val="000000"/>
        </w:rPr>
        <w:tab/>
      </w:r>
      <w:r w:rsidRPr="0008655B">
        <w:rPr>
          <w:rFonts w:eastAsia="Times New Roman"/>
          <w:color w:val="000000"/>
        </w:rPr>
        <w:tab/>
      </w:r>
    </w:p>
    <w:p xmlns:wp14="http://schemas.microsoft.com/office/word/2010/wordml" w:rsidR="008263E8" w:rsidP="008263E8" w:rsidRDefault="008263E8" w14:paraId="0FAEFFB9" wp14:textId="77777777">
      <w:pPr>
        <w:pStyle w:val="Heading3"/>
      </w:pPr>
      <w:r>
        <w:rPr>
          <w:rStyle w:val="Style13ptBold"/>
          <w:b/>
          <w:sz w:val="32"/>
          <w:szCs w:val="32"/>
        </w:rPr>
        <w:lastRenderedPageBreak/>
        <w:t>Settlerism K--</w:t>
      </w:r>
      <w:r>
        <w:t>AFF Solves</w:t>
      </w:r>
    </w:p>
    <w:p xmlns:wp14="http://schemas.microsoft.com/office/word/2010/wordml" w:rsidRPr="0008655B" w:rsidR="008263E8" w:rsidP="008263E8" w:rsidRDefault="008263E8" w14:paraId="15619D32" wp14:textId="77777777">
      <w:pPr>
        <w:pStyle w:val="Heading4"/>
      </w:pPr>
      <w:r w:rsidRPr="0008655B">
        <w:t>Only the aff can solve-- Native people are sexually violated and forced into cultures of silence around sexuality and queerness as a result of ongoing genocide-- the aff’s tactic of undermining heteronormativity and the nuclear family is imperative in opening space for the theorization of positive, queer sexualities against the settler state.</w:t>
      </w:r>
    </w:p>
    <w:p xmlns:wp14="http://schemas.microsoft.com/office/word/2010/wordml" w:rsidRPr="0008655B" w:rsidR="008263E8" w:rsidP="008263E8" w:rsidRDefault="008263E8" w14:paraId="492DF4F3" wp14:textId="77777777">
      <w:pPr>
        <w:spacing w:after="0" w:line="240" w:lineRule="auto"/>
        <w:rPr>
          <w:rFonts w:ascii="Times New Roman" w:hAnsi="Times New Roman" w:eastAsia="Times New Roman" w:cs="Times New Roman"/>
          <w:sz w:val="24"/>
          <w:szCs w:val="24"/>
        </w:rPr>
      </w:pPr>
      <w:r w:rsidRPr="004F37A0">
        <w:rPr>
          <w:rStyle w:val="Style13ptBold"/>
        </w:rPr>
        <w:t>Finley 12</w:t>
      </w:r>
      <w:r w:rsidRPr="0008655B">
        <w:rPr>
          <w:rFonts w:eastAsia="Times New Roman"/>
          <w:color w:val="000000"/>
          <w:sz w:val="24"/>
          <w:szCs w:val="24"/>
        </w:rPr>
        <w:t xml:space="preserve"> [Christine April Finley is an assistant professor of American Studies and Ethnicity at the University of Southern California, “Decolonizing Sexualized Cultural Images of Native Peoples: ‘Bringing Sexy Back’ To Native Studies” a dissertation submitted for Doctor of Philosophy at University of Michigan, 2012, p 7-10 //tjb]</w:t>
      </w:r>
    </w:p>
    <w:p xmlns:wp14="http://schemas.microsoft.com/office/word/2010/wordml" w:rsidRPr="0008655B" w:rsidR="008263E8" w:rsidP="008263E8" w:rsidRDefault="008263E8" w14:paraId="42C6D796" wp14:textId="77777777">
      <w:pPr>
        <w:spacing w:after="0" w:line="240" w:lineRule="auto"/>
        <w:rPr>
          <w:rFonts w:ascii="Times New Roman" w:hAnsi="Times New Roman" w:eastAsia="Times New Roman" w:cs="Times New Roman"/>
          <w:sz w:val="24"/>
          <w:szCs w:val="24"/>
        </w:rPr>
      </w:pPr>
    </w:p>
    <w:p xmlns:wp14="http://schemas.microsoft.com/office/word/2010/wordml" w:rsidRPr="0008655B" w:rsidR="008263E8" w:rsidP="008263E8" w:rsidRDefault="008263E8" w14:paraId="408D53E4" wp14:textId="77777777">
      <w:pPr>
        <w:spacing w:after="0" w:line="240" w:lineRule="auto"/>
        <w:rPr>
          <w:rFonts w:ascii="Times New Roman" w:hAnsi="Times New Roman" w:eastAsia="Times New Roman" w:cs="Times New Roman"/>
          <w:sz w:val="24"/>
          <w:szCs w:val="24"/>
        </w:rPr>
      </w:pPr>
      <w:r w:rsidRPr="0008655B">
        <w:rPr>
          <w:rFonts w:eastAsia="Times New Roman"/>
          <w:color w:val="000000"/>
          <w:sz w:val="24"/>
          <w:szCs w:val="24"/>
        </w:rPr>
        <w:t xml:space="preserve">The role of gender in reifying colonial power has become an increasingly important analytic in Native studies in the past few years, with the publication of special issues on Native feminisms in </w:t>
      </w:r>
      <w:r w:rsidRPr="0008655B">
        <w:rPr>
          <w:rFonts w:eastAsia="Times New Roman"/>
          <w:i/>
          <w:iCs/>
          <w:color w:val="000000"/>
          <w:sz w:val="24"/>
          <w:szCs w:val="24"/>
        </w:rPr>
        <w:t xml:space="preserve">American Quarterly </w:t>
      </w:r>
      <w:r w:rsidRPr="0008655B">
        <w:rPr>
          <w:rFonts w:eastAsia="Times New Roman"/>
          <w:color w:val="000000"/>
          <w:sz w:val="24"/>
          <w:szCs w:val="24"/>
        </w:rPr>
        <w:t xml:space="preserve">(2008) and </w:t>
      </w:r>
      <w:r w:rsidRPr="0008655B">
        <w:rPr>
          <w:rFonts w:eastAsia="Times New Roman"/>
          <w:i/>
          <w:iCs/>
          <w:color w:val="000000"/>
          <w:sz w:val="24"/>
          <w:szCs w:val="24"/>
        </w:rPr>
        <w:t xml:space="preserve">Wicazo Sa Review </w:t>
      </w:r>
      <w:r w:rsidRPr="0008655B">
        <w:rPr>
          <w:rFonts w:eastAsia="Times New Roman"/>
          <w:color w:val="000000"/>
          <w:sz w:val="24"/>
          <w:szCs w:val="24"/>
        </w:rPr>
        <w:t>(2009), and a number of exciting panels at the 2008 Native American and Indigenous Studies Conference in Athens, Georgia.</w:t>
      </w:r>
      <w:r w:rsidRPr="0008655B">
        <w:rPr>
          <w:rFonts w:eastAsia="Times New Roman"/>
          <w:color w:val="000000"/>
          <w:sz w:val="16"/>
          <w:szCs w:val="16"/>
        </w:rPr>
        <w:t xml:space="preserve">vii </w:t>
      </w:r>
      <w:r w:rsidRPr="0008655B">
        <w:rPr>
          <w:rFonts w:eastAsia="Times New Roman"/>
          <w:b/>
          <w:bCs/>
          <w:color w:val="000000"/>
          <w:sz w:val="24"/>
          <w:szCs w:val="24"/>
          <w:u w:val="single"/>
        </w:rPr>
        <w:t>While gender is not a main theoretical framework in Native studies, discussions of gender occur more frequently than do those about sexuality.</w:t>
      </w:r>
      <w:r w:rsidRPr="0008655B">
        <w:rPr>
          <w:rFonts w:eastAsia="Times New Roman"/>
          <w:color w:val="000000"/>
          <w:sz w:val="24"/>
          <w:szCs w:val="24"/>
        </w:rPr>
        <w:t xml:space="preserve"> In Native studies, </w:t>
      </w:r>
      <w:r w:rsidRPr="0008655B">
        <w:rPr>
          <w:rFonts w:eastAsia="Times New Roman"/>
          <w:b/>
          <w:bCs/>
          <w:color w:val="000000"/>
          <w:sz w:val="24"/>
          <w:szCs w:val="24"/>
          <w:u w:val="single"/>
        </w:rPr>
        <w:t xml:space="preserve">gender is not as taboo as sexuality, especially when it comes to Native sexualities. Yet, discussions of sexualities in Native studies </w:t>
      </w:r>
      <w:r w:rsidRPr="0008655B">
        <w:rPr>
          <w:rFonts w:eastAsia="Times New Roman"/>
          <w:b/>
          <w:bCs/>
          <w:i/>
          <w:iCs/>
          <w:color w:val="000000"/>
          <w:sz w:val="24"/>
          <w:szCs w:val="24"/>
          <w:u w:val="single"/>
        </w:rPr>
        <w:t xml:space="preserve">require </w:t>
      </w:r>
      <w:r w:rsidRPr="0008655B">
        <w:rPr>
          <w:rFonts w:eastAsia="Times New Roman"/>
          <w:b/>
          <w:bCs/>
          <w:color w:val="000000"/>
          <w:sz w:val="24"/>
          <w:szCs w:val="24"/>
          <w:u w:val="single"/>
        </w:rPr>
        <w:t>a gendered analysis of colonialism, as well as an admission that Native peoples have sex and express their genders and sexualities in many different ways.</w:t>
      </w:r>
      <w:r w:rsidRPr="0008655B">
        <w:rPr>
          <w:rFonts w:eastAsia="Times New Roman"/>
          <w:color w:val="000000"/>
          <w:sz w:val="24"/>
          <w:szCs w:val="24"/>
        </w:rPr>
        <w:t xml:space="preserve"> In light of this, </w:t>
      </w:r>
      <w:r w:rsidRPr="0008655B">
        <w:rPr>
          <w:rFonts w:eastAsia="Times New Roman"/>
          <w:color w:val="000000"/>
          <w:sz w:val="24"/>
          <w:szCs w:val="24"/>
          <w:u w:val="single"/>
        </w:rPr>
        <w:t>two new exciting fields of Native scholarship have emerged: Native feminisms and queer Indigenous studies</w:t>
      </w:r>
      <w:r w:rsidRPr="0008655B">
        <w:rPr>
          <w:rFonts w:eastAsia="Times New Roman"/>
          <w:color w:val="000000"/>
          <w:sz w:val="24"/>
          <w:szCs w:val="24"/>
        </w:rPr>
        <w:t xml:space="preserve">. Scholars in these subfields argue that </w:t>
      </w:r>
      <w:r w:rsidRPr="0008655B">
        <w:rPr>
          <w:rFonts w:eastAsia="Times New Roman"/>
          <w:b/>
          <w:bCs/>
          <w:color w:val="000000"/>
          <w:sz w:val="24"/>
          <w:szCs w:val="24"/>
          <w:u w:val="single"/>
        </w:rPr>
        <w:t>ignoring the gendered and sexualized nature of settler colonialism further consolidates heteropatriarchy and leaves Native nations vulnerable to biopolitical logics that support genocide.</w:t>
      </w:r>
      <w:r w:rsidRPr="0008655B">
        <w:rPr>
          <w:rFonts w:eastAsia="Times New Roman"/>
          <w:color w:val="000000"/>
          <w:sz w:val="24"/>
          <w:szCs w:val="24"/>
        </w:rPr>
        <w:t xml:space="preserve"> The problem is that </w:t>
      </w:r>
      <w:r w:rsidRPr="0008655B">
        <w:rPr>
          <w:rFonts w:eastAsia="Times New Roman"/>
          <w:b/>
          <w:bCs/>
          <w:color w:val="000000"/>
          <w:sz w:val="24"/>
          <w:szCs w:val="24"/>
          <w:u w:val="single"/>
        </w:rPr>
        <w:t>many scholars in Native studies remain invested in heteronormativity as a form of anti-colonial resistance.</w:t>
      </w:r>
      <w:r w:rsidRPr="0008655B">
        <w:rPr>
          <w:rFonts w:eastAsia="Times New Roman"/>
          <w:color w:val="000000"/>
          <w:sz w:val="24"/>
          <w:szCs w:val="24"/>
        </w:rPr>
        <w:t xml:space="preserve"> Like queerness itself, queer Indigenous studies is accused of decadence, an accusation that is sometimes delivered under the guise of objecting to the use of theory. I would argue that the study of sexualities and queer theory is not decadent, nor is it too theoretical. Heteropatriarchy must be challenged, because </w:t>
      </w:r>
      <w:r w:rsidRPr="0008655B">
        <w:rPr>
          <w:rFonts w:eastAsia="Times New Roman"/>
          <w:b/>
          <w:bCs/>
          <w:color w:val="000000"/>
          <w:sz w:val="24"/>
          <w:szCs w:val="24"/>
          <w:u w:val="single"/>
        </w:rPr>
        <w:t>heteropatriarchy is an intricate component of the colonization of Native America.</w:t>
      </w:r>
      <w:r w:rsidRPr="0008655B">
        <w:rPr>
          <w:rFonts w:eastAsia="Times New Roman"/>
          <w:color w:val="000000"/>
          <w:sz w:val="24"/>
          <w:szCs w:val="24"/>
        </w:rPr>
        <w:t xml:space="preserve"> </w:t>
      </w:r>
      <w:r w:rsidRPr="0008655B">
        <w:rPr>
          <w:rFonts w:eastAsia="Times New Roman"/>
          <w:b/>
          <w:bCs/>
          <w:color w:val="000000"/>
          <w:sz w:val="24"/>
          <w:szCs w:val="24"/>
          <w:u w:val="single"/>
        </w:rPr>
        <w:t>This lack of attention to the study of sexualities does not allow for a full analysis of settler colonialism and the genocidal logics of biopower.</w:t>
      </w:r>
      <w:r w:rsidRPr="0008655B">
        <w:rPr>
          <w:rFonts w:eastAsia="Times New Roman"/>
          <w:color w:val="000000"/>
          <w:sz w:val="24"/>
          <w:szCs w:val="24"/>
        </w:rPr>
        <w:t xml:space="preserve"> This reaction against the study of sexualities in Native studies should be reconsidered. </w:t>
      </w:r>
      <w:r w:rsidRPr="0008655B">
        <w:rPr>
          <w:rFonts w:eastAsia="Times New Roman"/>
          <w:color w:val="000000"/>
          <w:sz w:val="24"/>
          <w:szCs w:val="24"/>
          <w:u w:val="single"/>
        </w:rPr>
        <w:t>An important analysis of colonial power for Native studies and Native nations can be found in Michel Foucault’s theories of sexuality and biopower.</w:t>
      </w:r>
      <w:r w:rsidRPr="0008655B">
        <w:rPr>
          <w:rFonts w:eastAsia="Times New Roman"/>
          <w:color w:val="000000"/>
          <w:sz w:val="24"/>
          <w:szCs w:val="24"/>
        </w:rPr>
        <w:t xml:space="preserve"> He argues that the modern racial state comes into being by producing “sex” as a quality of bodies and populations. Foucault goes on to note that historically this “gave rise...to comprehensive measures, statistical assessments, and interventions aimed at the entire social body or at groups taken as a whole. Sex was a means of access to both the life of the body and the life of the species.”</w:t>
      </w:r>
      <w:r w:rsidRPr="0008655B">
        <w:rPr>
          <w:rFonts w:eastAsia="Times New Roman"/>
          <w:color w:val="000000"/>
          <w:sz w:val="16"/>
          <w:szCs w:val="16"/>
        </w:rPr>
        <w:t xml:space="preserve">viii </w:t>
      </w:r>
      <w:r w:rsidRPr="0008655B">
        <w:rPr>
          <w:rFonts w:eastAsia="Times New Roman"/>
          <w:color w:val="000000"/>
          <w:sz w:val="24"/>
          <w:szCs w:val="24"/>
          <w:u w:val="single"/>
        </w:rPr>
        <w:t>The management of sex</w:t>
      </w:r>
      <w:r w:rsidRPr="0008655B">
        <w:rPr>
          <w:rFonts w:eastAsia="Times New Roman"/>
          <w:color w:val="000000"/>
          <w:sz w:val="24"/>
          <w:szCs w:val="24"/>
        </w:rPr>
        <w:t>, then,</w:t>
      </w:r>
      <w:r w:rsidRPr="0008655B">
        <w:rPr>
          <w:rFonts w:eastAsia="Times New Roman"/>
          <w:color w:val="000000"/>
          <w:sz w:val="24"/>
          <w:szCs w:val="24"/>
          <w:u w:val="single"/>
        </w:rPr>
        <w:t xml:space="preserve"> becomes a way for state power to manage life and death more generally</w:t>
      </w:r>
      <w:r w:rsidRPr="0008655B">
        <w:rPr>
          <w:rFonts w:eastAsia="Times New Roman"/>
          <w:b/>
          <w:bCs/>
          <w:color w:val="000000"/>
          <w:sz w:val="24"/>
          <w:szCs w:val="24"/>
          <w:u w:val="single"/>
        </w:rPr>
        <w:t>.</w:t>
      </w:r>
      <w:r w:rsidRPr="0008655B">
        <w:rPr>
          <w:rFonts w:eastAsia="Times New Roman"/>
          <w:color w:val="000000"/>
          <w:sz w:val="24"/>
          <w:szCs w:val="24"/>
        </w:rPr>
        <w:t xml:space="preserve"> Native peoples are especially vulnerable to genocidal practices by the settler colonial state because of Native peoples’ ownership and control over land and resources that the settler state desires. </w:t>
      </w:r>
      <w:r w:rsidRPr="0008655B">
        <w:rPr>
          <w:rFonts w:eastAsia="Times New Roman"/>
          <w:b/>
          <w:bCs/>
          <w:color w:val="000000"/>
          <w:sz w:val="24"/>
          <w:szCs w:val="24"/>
          <w:u w:val="single"/>
        </w:rPr>
        <w:t xml:space="preserve">If the management of death (genocide) is at </w:t>
      </w:r>
      <w:r w:rsidRPr="0008655B">
        <w:rPr>
          <w:rFonts w:eastAsia="Times New Roman"/>
          <w:b/>
          <w:bCs/>
          <w:color w:val="000000"/>
          <w:sz w:val="24"/>
          <w:szCs w:val="24"/>
          <w:u w:val="single"/>
        </w:rPr>
        <w:lastRenderedPageBreak/>
        <w:t>least partly enacted through sex, then Native studies must invest in the study of sex and sexualities in relation to the settler colonial state</w:t>
      </w:r>
      <w:r w:rsidRPr="0008655B">
        <w:rPr>
          <w:rFonts w:eastAsia="Times New Roman"/>
          <w:color w:val="000000"/>
          <w:sz w:val="24"/>
          <w:szCs w:val="24"/>
        </w:rPr>
        <w:t>. Scholars in Native studies increasingly agree that biopower defines the colonization of Native peoples, making sexuality, gender, and race linchpins for the power of the settler state.</w:t>
      </w:r>
      <w:r w:rsidRPr="0008655B">
        <w:rPr>
          <w:rFonts w:eastAsia="Times New Roman"/>
          <w:color w:val="000000"/>
          <w:sz w:val="16"/>
          <w:szCs w:val="16"/>
        </w:rPr>
        <w:t xml:space="preserve">ix </w:t>
      </w:r>
      <w:r w:rsidRPr="0008655B">
        <w:rPr>
          <w:rFonts w:eastAsia="Times New Roman"/>
          <w:color w:val="000000"/>
          <w:sz w:val="24"/>
          <w:szCs w:val="24"/>
        </w:rPr>
        <w:t xml:space="preserve">Histories of biopower deeply affected Native people’s relationship to the body and to sexuality. Being surrounded by discourses of death, annihilation, and conquest, embedded in almost every popular image of Native peoples, negatively affects Native peoples’ self-esteem, contributing to numerous personal and collective challenges. Most images of Native peoples produced by popular culture are of Pocahontas or Sacajawea. Typically, these Native women are placed within narratives that would have them betraying their race and sacrificing themselves and Native lands for their love of white men. </w:t>
      </w:r>
      <w:r w:rsidRPr="0008655B">
        <w:rPr>
          <w:rFonts w:eastAsia="Times New Roman"/>
          <w:b/>
          <w:bCs/>
          <w:color w:val="000000"/>
          <w:sz w:val="24"/>
          <w:szCs w:val="24"/>
          <w:u w:val="single"/>
        </w:rPr>
        <w:t xml:space="preserve">Looking at repetitive images of Native bodies ripped apart physically, mentally, spiritually and sexually by settler colonialism reminds Native peoples that the inevitable expectation for them is death. How can Native peoples feel good about their bodies and sexuality when these are the dominant images and historical facts of their lives? Conquest requires learning a new set of rules for intimacy. </w:t>
      </w:r>
      <w:r w:rsidRPr="0008655B">
        <w:rPr>
          <w:rFonts w:eastAsia="Times New Roman"/>
          <w:color w:val="000000"/>
          <w:sz w:val="24"/>
          <w:szCs w:val="24"/>
          <w:u w:val="single"/>
        </w:rPr>
        <w:t>Despite these negative images, Native peoples continue to survive and feel sexual desire</w:t>
      </w:r>
      <w:r w:rsidRPr="0008655B">
        <w:rPr>
          <w:rFonts w:eastAsia="Times New Roman"/>
          <w:color w:val="000000"/>
          <w:sz w:val="24"/>
          <w:szCs w:val="24"/>
        </w:rPr>
        <w:t xml:space="preserve">. </w:t>
      </w:r>
      <w:r w:rsidRPr="0008655B">
        <w:rPr>
          <w:rFonts w:eastAsia="Times New Roman"/>
          <w:b/>
          <w:bCs/>
          <w:color w:val="000000"/>
          <w:sz w:val="24"/>
          <w:szCs w:val="24"/>
          <w:u w:val="single"/>
        </w:rPr>
        <w:t>Natives, and lots of other folks, like sex but are terrified to discuss it.</w:t>
      </w:r>
      <w:r w:rsidRPr="0008655B">
        <w:rPr>
          <w:rFonts w:eastAsia="Times New Roman"/>
          <w:color w:val="000000"/>
          <w:sz w:val="24"/>
          <w:szCs w:val="24"/>
        </w:rPr>
        <w:t xml:space="preserve"> For many tribes, this shame around sex started in the boarding schools, and sexual shame has been passed down for generations.</w:t>
      </w:r>
      <w:r w:rsidRPr="0008655B">
        <w:rPr>
          <w:rFonts w:eastAsia="Times New Roman"/>
          <w:color w:val="000000"/>
          <w:sz w:val="16"/>
          <w:szCs w:val="16"/>
        </w:rPr>
        <w:t xml:space="preserve">x </w:t>
      </w:r>
      <w:r w:rsidRPr="0008655B">
        <w:rPr>
          <w:rFonts w:eastAsia="Times New Roman"/>
          <w:color w:val="000000"/>
          <w:sz w:val="24"/>
          <w:szCs w:val="24"/>
          <w:u w:val="single"/>
        </w:rPr>
        <w:t>Native communities have adapted silence around sexuality to survive the imposition of colonialism in the United States</w:t>
      </w:r>
      <w:r w:rsidRPr="0008655B">
        <w:rPr>
          <w:rFonts w:eastAsia="Times New Roman"/>
          <w:color w:val="000000"/>
          <w:sz w:val="24"/>
          <w:szCs w:val="24"/>
        </w:rPr>
        <w:t xml:space="preserve">. While the silence around sex and sexualities in Native communities is in some respects similar to that found in mainstream U.S. society, </w:t>
      </w:r>
      <w:r w:rsidRPr="0008655B">
        <w:rPr>
          <w:rFonts w:eastAsia="Times New Roman"/>
          <w:b/>
          <w:bCs/>
          <w:color w:val="000000"/>
          <w:sz w:val="24"/>
          <w:szCs w:val="24"/>
          <w:u w:val="single"/>
        </w:rPr>
        <w:t>this attitude of silence has dire consequences for Native peoples, because of the relationship of sexuality to colonial power.</w:t>
      </w:r>
      <w:r w:rsidRPr="0008655B">
        <w:rPr>
          <w:rFonts w:eastAsia="Times New Roman"/>
          <w:color w:val="000000"/>
          <w:sz w:val="24"/>
          <w:szCs w:val="24"/>
        </w:rPr>
        <w:t xml:space="preserve"> Colonialism constitutes biopolitics, which marks the Native for death because of the biological and political threat they pose to the U.S. nation-state. </w:t>
      </w:r>
      <w:r w:rsidRPr="0008655B">
        <w:rPr>
          <w:rFonts w:eastAsia="Times New Roman"/>
          <w:b/>
          <w:bCs/>
          <w:color w:val="000000"/>
          <w:sz w:val="24"/>
          <w:szCs w:val="24"/>
          <w:u w:val="single"/>
        </w:rPr>
        <w:t xml:space="preserve">Biopolitical logics are advanced through sexualization, racialization, and the gendering of colonial and non-colonial subjects. Sexuality is difficult terrain to approach in Native communities, since it brings up many ugly realities and colonial legacies of sexual violence. </w:t>
      </w:r>
      <w:r w:rsidRPr="0008655B">
        <w:rPr>
          <w:rFonts w:eastAsia="Times New Roman"/>
          <w:color w:val="000000"/>
          <w:sz w:val="24"/>
          <w:szCs w:val="24"/>
        </w:rPr>
        <w:t>As Andrea Smith argues, sexual violence is both an ideological and a physical tool of U.S. colonialism.</w:t>
      </w:r>
      <w:r w:rsidRPr="0008655B">
        <w:rPr>
          <w:rFonts w:eastAsia="Times New Roman"/>
          <w:color w:val="000000"/>
          <w:sz w:val="16"/>
          <w:szCs w:val="16"/>
        </w:rPr>
        <w:t xml:space="preserve">xi </w:t>
      </w:r>
      <w:r w:rsidRPr="0008655B">
        <w:rPr>
          <w:rFonts w:eastAsia="Times New Roman"/>
          <w:color w:val="000000"/>
          <w:sz w:val="24"/>
          <w:szCs w:val="24"/>
        </w:rPr>
        <w:t xml:space="preserve">Because of this reality, there is a high rate of sexual abuse in Native communities. Non-Native pedophiles target children in Native nations because there is little chance of perpetrators being brought to justice or caught by tribal police, since non-Natives on tribal lands are not bound to the same laws as Natives. Historically, and arguably in the present, Native women have been targeted for medical sterilizations. In some Native nations, tribal councils have adapted heterosexist marriage acts into their tribal constitutions. All of this proves that </w:t>
      </w:r>
      <w:r w:rsidRPr="0008655B">
        <w:rPr>
          <w:rFonts w:eastAsia="Times New Roman"/>
          <w:b/>
          <w:bCs/>
          <w:color w:val="000000"/>
          <w:sz w:val="24"/>
          <w:szCs w:val="24"/>
          <w:u w:val="single"/>
        </w:rPr>
        <w:t>the hyper-sexualization and dehumanization of Native peoples negatively affects Native communities.</w:t>
      </w:r>
      <w:r w:rsidRPr="0008655B">
        <w:rPr>
          <w:rFonts w:eastAsia="Times New Roman"/>
          <w:color w:val="000000"/>
          <w:sz w:val="24"/>
          <w:szCs w:val="24"/>
        </w:rPr>
        <w:t xml:space="preserve"> The response to these horrific crimes has often been silence both by the victims and Native communities as a whole. Native nations have also made laws concerning sexual abuse and rape, so conversations regarding inappropriate behavior of sexual expression do occur in Native nations. The problem is that </w:t>
      </w:r>
      <w:r w:rsidRPr="0008655B">
        <w:rPr>
          <w:rFonts w:eastAsia="Times New Roman"/>
          <w:b/>
          <w:bCs/>
          <w:color w:val="000000"/>
          <w:sz w:val="24"/>
          <w:szCs w:val="24"/>
          <w:u w:val="single"/>
        </w:rPr>
        <w:t xml:space="preserve">conversations about safe and fun sex rarely happen because conversations about sex usually only focus on what sexual behaviors are wrong and bad. Sexuality cannot be repressed because it is everywhere. Yet the relationship between colonial power and normative discourses of sexualities is not a part of these dialogues. </w:t>
      </w:r>
      <w:r w:rsidRPr="0008655B">
        <w:rPr>
          <w:rFonts w:eastAsia="Times New Roman"/>
          <w:b/>
          <w:bCs/>
          <w:color w:val="000000"/>
          <w:sz w:val="24"/>
          <w:szCs w:val="24"/>
          <w:u w:val="single"/>
        </w:rPr>
        <w:lastRenderedPageBreak/>
        <w:t>Heterosexism and the structure of the nuclear family need to be thought of as a colonial system of violence.</w:t>
      </w:r>
      <w:r w:rsidRPr="0008655B">
        <w:rPr>
          <w:rFonts w:eastAsia="Times New Roman"/>
          <w:color w:val="000000"/>
          <w:sz w:val="24"/>
          <w:szCs w:val="24"/>
        </w:rPr>
        <w:t xml:space="preserve"> </w:t>
      </w:r>
    </w:p>
    <w:p xmlns:wp14="http://schemas.microsoft.com/office/word/2010/wordml" w:rsidRPr="00F05799" w:rsidR="008263E8" w:rsidP="008263E8" w:rsidRDefault="008263E8" w14:paraId="6E1831B3" wp14:textId="77777777"/>
    <w:p xmlns:wp14="http://schemas.microsoft.com/office/word/2010/wordml" w:rsidR="008263E8" w:rsidP="008263E8" w:rsidRDefault="008263E8" w14:paraId="3BDA15A2" wp14:textId="77777777">
      <w:pPr>
        <w:pStyle w:val="Heading3"/>
      </w:pPr>
      <w:r>
        <w:lastRenderedPageBreak/>
        <w:t>Psychoanalysis</w:t>
      </w:r>
    </w:p>
    <w:p xmlns:wp14="http://schemas.microsoft.com/office/word/2010/wordml" w:rsidR="008263E8" w:rsidP="008263E8" w:rsidRDefault="008263E8" w14:paraId="671466C4" wp14:textId="77777777">
      <w:pPr>
        <w:pStyle w:val="Heading4"/>
      </w:pPr>
      <w:r>
        <w:t>The set of beliefs that psychoanalysis relies on are based on the desire to be led, which manifests in fascist and genocidal projects</w:t>
      </w:r>
    </w:p>
    <w:p xmlns:wp14="http://schemas.microsoft.com/office/word/2010/wordml" w:rsidRPr="00FB2D65" w:rsidR="008263E8" w:rsidP="008263E8" w:rsidRDefault="008263E8" w14:paraId="4C28866E" wp14:textId="77777777">
      <w:r w:rsidRPr="00FB2D65">
        <w:rPr>
          <w:rStyle w:val="Style13ptBold"/>
        </w:rPr>
        <w:t>Seem 72</w:t>
      </w:r>
      <w:r w:rsidRPr="00FB2D65">
        <w:t xml:space="preserve"> (Mark Seem, translator of Gilles Deleuze’s and Felix Guattari’s Anti-Oedipus, Introduction to the English Version of Anti-Oedipus, 1972, pg xv-xvii)//ANH</w:t>
      </w:r>
    </w:p>
    <w:p xmlns:wp14="http://schemas.microsoft.com/office/word/2010/wordml" w:rsidRPr="0014601F" w:rsidR="008263E8" w:rsidP="008263E8" w:rsidRDefault="008263E8" w14:paraId="4A627C00" wp14:textId="77777777">
      <w:pPr>
        <w:rPr>
          <w:rStyle w:val="StyleUnderline"/>
        </w:rPr>
      </w:pPr>
      <w:r>
        <w:t xml:space="preserve">The Anti-Ego "Lie down, then, on the soft couch which the analyst provides, and try to think up something different. </w:t>
      </w:r>
      <w:r w:rsidRPr="00455935">
        <w:rPr>
          <w:rStyle w:val="StyleUnderline"/>
        </w:rPr>
        <w:t>The analyst has endless time and patience; every minute you detain him means money in his pocket</w:t>
      </w:r>
      <w:r>
        <w:t xml:space="preserve">. . . . Whether you whine, howl, beg, weep, cajole, pray or curse—he listens. He is just a big ear minus a sympathetic nervous system. </w:t>
      </w:r>
      <w:r w:rsidRPr="00455935">
        <w:rPr>
          <w:rStyle w:val="StyleUnderline"/>
        </w:rPr>
        <w:t>He is impervious to everything but truth</w:t>
      </w:r>
      <w:r>
        <w:t xml:space="preserve">. If you think it pays to fool him then fool him. Who will be the loser? If you think he can help you, and not yourself, then stick to him until you rot."1 * So concludes Henry Miller in Sexus, and </w:t>
      </w:r>
      <w:r w:rsidRPr="00517C05">
        <w:rPr>
          <w:rStyle w:val="StyleUnderline"/>
        </w:rPr>
        <w:t>Gilles Deleuze and Felix Guattari are quick to agree in their attack on psychoanalysis' own Oedipus complex (the holy family: daddy-mommy-me</w:t>
      </w:r>
      <w:r>
        <w:t xml:space="preserve">), an attack that is at times brutal and without pity, at other times sympathetic and full of a profound love of life, and often enormously amusing. </w:t>
      </w:r>
      <w:r w:rsidRPr="00517C05">
        <w:rPr>
          <w:rStyle w:val="StyleUnderline"/>
        </w:rPr>
        <w:t>An attack on the ego, on what is all-too-human in mankind, on oedipalized and oedipalizing analyses and neurotic modes of living.</w:t>
      </w:r>
      <w:r>
        <w:t xml:space="preserve"> In confronting and finally overturning the Oedipal rock on which Man has chosen to take his stand, Anti-Oedipus comes as a kind of sequel to another similar venture, the attack on Christ, Christianity, and the herd in Nietzsche's The Antichrist. For who would deny, Anti-Oedipus begins, that </w:t>
      </w:r>
      <w:r w:rsidRPr="00517C05">
        <w:rPr>
          <w:rStyle w:val="StyleUnderline"/>
        </w:rPr>
        <w:t xml:space="preserve">psychoanalysis was from the start, </w:t>
      </w:r>
      <w:r w:rsidRPr="00517C05">
        <w:t>still is,</w:t>
      </w:r>
      <w:r w:rsidRPr="00517C05">
        <w:rPr>
          <w:rStyle w:val="StyleUnderline"/>
        </w:rPr>
        <w:t xml:space="preserve"> and perhaps always will be a well-constituted church and a form of treatment based on a set of beliefs that only the very faithful could adhere to, ie., those who believe in a security that amounts to being lost in the herd and defined in terms of common and external goals? But where do such beliefs originate? What are they based on?</w:t>
      </w:r>
      <w:r>
        <w:t xml:space="preserve"> For it is absolutely hopeless to think in terms of security, as Miller states in Sexus; "there is none. The man who looks for security, even in the mind, is like a man who would chop off his limbs in order to have artificial ones which will give him no pain or trouble" (page 428). No pain, no trouble—this is the neurotic's dream of a tranquilized and conflict-free existence. </w:t>
      </w:r>
      <w:r w:rsidRPr="00517C05">
        <w:rPr>
          <w:rStyle w:val="StyleUnderline"/>
        </w:rPr>
        <w:t>Such a set of beliefs</w:t>
      </w:r>
      <w:r>
        <w:t xml:space="preserve">, Deleuze and Guattari demonstrate, </w:t>
      </w:r>
      <w:r w:rsidRPr="00FB2D65">
        <w:rPr>
          <w:rStyle w:val="StyleUnderline"/>
        </w:rPr>
        <w:t>such a herd instinct, is based on the desire to be led, the desire to have someone else legislate life.</w:t>
      </w:r>
      <w:r>
        <w:t xml:space="preserve"> </w:t>
      </w:r>
      <w:r w:rsidRPr="00517C05">
        <w:rPr>
          <w:rStyle w:val="StyleUnderline"/>
        </w:rPr>
        <w:t>The very desire that was brought so glaringly into focus in Europe with Hitler, Mussolini, and fascism; the desire that is still at work, making us all sick</w:t>
      </w:r>
      <w:r>
        <w:t xml:space="preserve">, today. Anti-Oedipus starts by reviving Reich's completely serious question with respect to the rise of fascism: </w:t>
      </w:r>
      <w:r w:rsidRPr="0014601F">
        <w:rPr>
          <w:rStyle w:val="StyleUnderline"/>
        </w:rPr>
        <w:t>'How could the masses be made to desire their own repression</w:t>
      </w:r>
      <w:r>
        <w:t xml:space="preserve">?' This is a question which the English and Americans are reluctant to deal with directly, tending too often to respond: "Fascism is a phenomenon that took place elsewhere, something that could only happen to others, but not to us; it's their problem." Is it though? Is fascism really a problem for others to deal with? Even </w:t>
      </w:r>
      <w:r w:rsidRPr="0014601F">
        <w:rPr>
          <w:rStyle w:val="StyleUnderline"/>
        </w:rPr>
        <w:t xml:space="preserve">revolutionary groups deal gingerly with the fascisizing elements we all carry deep within us, and yet they often possess a rarely analyzed but overriding group 'superego' that leads them to state, </w:t>
      </w:r>
      <w:r>
        <w:t xml:space="preserve">much like Nietzsche's man of ressentiment, </w:t>
      </w:r>
      <w:r w:rsidRPr="0014601F">
        <w:rPr>
          <w:rStyle w:val="StyleUnderline"/>
        </w:rPr>
        <w:t>that the other is evil</w:t>
      </w:r>
      <w:r>
        <w:t xml:space="preserve"> (the Fascist! the Capitalist! the Communist!), </w:t>
      </w:r>
      <w:r w:rsidRPr="0014601F">
        <w:rPr>
          <w:rStyle w:val="StyleUnderline"/>
        </w:rPr>
        <w:t>and hence that they themselves are good.</w:t>
      </w:r>
      <w:r>
        <w:t xml:space="preserve"> This conclusion is reached as an afterthought and a justification, a supremely se//-righteous rationalization for a politics that can only "squint" at life, through the thick clouds of foul-smelling air that permeates secret meeting places and "security" councils. </w:t>
      </w:r>
      <w:r w:rsidRPr="0014601F">
        <w:rPr>
          <w:rStyle w:val="StyleUnderline"/>
        </w:rPr>
        <w:t>The man of ressentiment</w:t>
      </w:r>
      <w:r>
        <w:t xml:space="preserve">, as Nietzsche explains, "loves hiding places, secret paths and back doors, everything covert entices him as his world, his security, his refreshment; he understands </w:t>
      </w:r>
      <w:r>
        <w:lastRenderedPageBreak/>
        <w:t xml:space="preserve">how to keep silent, how not to forget, how to wait, how to be provisionally self-deprecating and humble."2 Such a man, Nietzsche concludes, </w:t>
      </w:r>
      <w:r w:rsidRPr="0014601F">
        <w:rPr>
          <w:rStyle w:val="StyleUnderline"/>
        </w:rPr>
        <w:t>needs very much to believe in some neutral, independent "subject"—the ego—for he is prompted by an instinct of self-affirmation</w:t>
      </w:r>
      <w:r>
        <w:t xml:space="preserve"> and Jeff-preservation </w:t>
      </w:r>
      <w:r w:rsidRPr="0014601F">
        <w:rPr>
          <w:rStyle w:val="StyleUnderline"/>
        </w:rPr>
        <w:t>that cares little about preserving or affirming life</w:t>
      </w:r>
      <w:r>
        <w:t xml:space="preserve">, an instinct "in which every lie is sanctified."3 </w:t>
      </w:r>
      <w:r w:rsidRPr="0014601F">
        <w:rPr>
          <w:rStyle w:val="StyleUnderline"/>
        </w:rPr>
        <w:t xml:space="preserve">This is the realm of the silent majority. </w:t>
      </w:r>
      <w:r>
        <w:t xml:space="preserve">And </w:t>
      </w:r>
      <w:r w:rsidRPr="0014601F">
        <w:rPr>
          <w:rStyle w:val="StyleUnderline"/>
        </w:rPr>
        <w:t>it is into these back rooms, behind the closed doors of the analyst's office, in the wings of the Oedipal theater, that Deleuze and Guattari weave their way, exclaiming as does Nietzsche that it smells bad there, and that what is needed is "a breath of fresh air, a relationship with the outside world."</w:t>
      </w:r>
    </w:p>
    <w:p xmlns:wp14="http://schemas.microsoft.com/office/word/2010/wordml" w:rsidRPr="00FB2D65" w:rsidR="008263E8" w:rsidP="008263E8" w:rsidRDefault="008263E8" w14:paraId="1D246955" wp14:textId="77777777">
      <w:pPr>
        <w:pStyle w:val="Heading4"/>
      </w:pPr>
      <w:r w:rsidRPr="00FB2D65">
        <w:t>Psychoanalysis isn’t falsifiable</w:t>
      </w:r>
    </w:p>
    <w:p xmlns:wp14="http://schemas.microsoft.com/office/word/2010/wordml" w:rsidRPr="00FB2D65" w:rsidR="008263E8" w:rsidP="008263E8" w:rsidRDefault="008263E8" w14:paraId="1D7BBE0E" wp14:textId="77777777">
      <w:r w:rsidRPr="00FB2D65">
        <w:rPr>
          <w:rStyle w:val="Style13ptBold"/>
        </w:rPr>
        <w:t>McConachie 7</w:t>
      </w:r>
      <w:r w:rsidRPr="00FB2D65">
        <w:t xml:space="preserve"> (Bruce, Emeritus Professor of Theatre Arts and Performance Studies at the University of Pittsburgh, Ph.D from the University of Wisconsin, “Falsifiable Theories for Theatre and Performance Studies,” published in Theatre Journal Vol. 59, Number 4.  December 2007. pg 571-572)//ANH</w:t>
      </w:r>
    </w:p>
    <w:p xmlns:wp14="http://schemas.microsoft.com/office/word/2010/wordml" w:rsidRPr="009A5342" w:rsidR="008263E8" w:rsidP="008263E8" w:rsidRDefault="008263E8" w14:paraId="0EABEF81" wp14:textId="77777777">
      <w:pPr>
        <w:rPr>
          <w:rStyle w:val="StyleUnderline"/>
        </w:rPr>
      </w:pPr>
      <w:r w:rsidRPr="009A5342">
        <w:rPr>
          <w:sz w:val="16"/>
        </w:rPr>
        <w:t xml:space="preserve">Can the master theorists in our critical theory consensus make the same claim? </w:t>
      </w:r>
      <w:r w:rsidRPr="009A5342">
        <w:rPr>
          <w:rStyle w:val="StyleUnderline"/>
        </w:rPr>
        <w:t>All scientific assertions are potentially falsifiable</w:t>
      </w:r>
      <w:r w:rsidRPr="009A5342">
        <w:rPr>
          <w:sz w:val="16"/>
        </w:rPr>
        <w:t xml:space="preserve"> </w:t>
      </w:r>
      <w:r w:rsidRPr="009A5342">
        <w:rPr>
          <w:rStyle w:val="StyleUnderline"/>
        </w:rPr>
        <w:t>through the use of the scientific method</w:t>
      </w:r>
      <w:r w:rsidRPr="009A5342">
        <w:rPr>
          <w:sz w:val="16"/>
        </w:rPr>
        <w:t xml:space="preserve">, but what experiments or logics would the master theorists accept as a basis for the falsifiability of their ideas? Looking at the theorists featured in Critical Theory and Performance, one might say that they represent a range of approaches that admit of greater or lesser degrees of falsifiability. At one end of the continuum, the theories of Bourdieu, Habermas, Gramsci, and Williams generally work within the falsifiability protocols of social science, which (though open to dispute) have been fairly well established for fifty years. When Raymond Williams's version of Gramsci's hegemony theory was gaining a curious audience among historians, its potential falsifiability was widely discussed.46 While </w:t>
      </w:r>
      <w:r w:rsidRPr="009A5342">
        <w:rPr>
          <w:rStyle w:val="StyleUnderline"/>
        </w:rPr>
        <w:t>social scientists</w:t>
      </w:r>
      <w:r w:rsidRPr="009A5342">
        <w:rPr>
          <w:sz w:val="16"/>
        </w:rPr>
        <w:t>, including historian</w:t>
      </w:r>
      <w:r>
        <w:rPr>
          <w:sz w:val="16"/>
        </w:rPr>
        <w:t xml:space="preserve"> </w:t>
      </w:r>
      <w:r w:rsidRPr="009A5342">
        <w:rPr>
          <w:sz w:val="16"/>
        </w:rPr>
        <w:t xml:space="preserve">s, </w:t>
      </w:r>
      <w:r w:rsidRPr="009A5342">
        <w:rPr>
          <w:rStyle w:val="StyleUnderline"/>
        </w:rPr>
        <w:t>cannot apply falsifiability to their work with the same rigor as scientists</w:t>
      </w:r>
      <w:r w:rsidRPr="009A5342">
        <w:rPr>
          <w:sz w:val="16"/>
        </w:rPr>
        <w:t xml:space="preserve"> who work with nonhuman subjects, their standards concerning evidence, economy, and consistency are high.47 </w:t>
      </w:r>
      <w:r w:rsidRPr="009A5342">
        <w:rPr>
          <w:rStyle w:val="StyleUnderline"/>
        </w:rPr>
        <w:t>Somewhere in the middle of the continuum of falsifiability</w:t>
      </w:r>
      <w:r w:rsidRPr="009A5342">
        <w:rPr>
          <w:sz w:val="16"/>
        </w:rPr>
        <w:t xml:space="preserve">, perhaps, </w:t>
      </w:r>
      <w:r w:rsidRPr="009A5342">
        <w:rPr>
          <w:rStyle w:val="StyleUnderline"/>
        </w:rPr>
        <w:t>are the psychoanalytic theories of Freud, their synthesis with semiotics in Lacan, and the many theorists who build their own ideas on some version of a psychoanalytic base</w:t>
      </w:r>
      <w:r w:rsidRPr="009A5342">
        <w:rPr>
          <w:sz w:val="16"/>
        </w:rPr>
        <w:t xml:space="preserve">. Their advocates often claim scientific validity for these theories. </w:t>
      </w:r>
      <w:r w:rsidRPr="009A5342">
        <w:rPr>
          <w:rStyle w:val="StyleUnderline"/>
        </w:rPr>
        <w:t>Most psychologists</w:t>
      </w:r>
      <w:r w:rsidRPr="009A5342">
        <w:rPr>
          <w:sz w:val="16"/>
        </w:rPr>
        <w:t xml:space="preserve">, however, </w:t>
      </w:r>
      <w:r w:rsidRPr="00FB2D65">
        <w:rPr>
          <w:rStyle w:val="StyleUnderline"/>
        </w:rPr>
        <w:t>have rejected psychoanalysis and its spin-offs as unfalsifiable</w:t>
      </w:r>
      <w:r w:rsidRPr="009A5342">
        <w:rPr>
          <w:sz w:val="16"/>
        </w:rPr>
        <w:t xml:space="preserve">. In her Psychoanalysis and Cognitive Science, for example, Wilma Bucci concludes that Freud's </w:t>
      </w:r>
      <w:r w:rsidRPr="009A5342">
        <w:rPr>
          <w:rStyle w:val="StyleUnderline"/>
        </w:rPr>
        <w:t>meta-psychology has not "been subject to the empirical evaluation and theory development that is necessary for a scientific field."</w:t>
      </w:r>
      <w:r w:rsidRPr="009A5342">
        <w:rPr>
          <w:sz w:val="16"/>
        </w:rPr>
        <w:t xml:space="preserve"> Specifically, the type of systematic inference that is applied in cognitive science and in all </w:t>
      </w:r>
      <w:r w:rsidRPr="009A5342">
        <w:rPr>
          <w:rStyle w:val="StyleUnderline"/>
        </w:rPr>
        <w:t>modern science requires explicit definitions that limit the meaning of the concepts, correspondence rules mapping hypothetical constructs and intervening variables onto observable events, and means of assessing reliability of observation</w:t>
      </w:r>
      <w:r w:rsidRPr="009A5342">
        <w:rPr>
          <w:sz w:val="16"/>
        </w:rPr>
        <w:t xml:space="preserve">. Each of </w:t>
      </w:r>
      <w:r w:rsidRPr="009A5342">
        <w:rPr>
          <w:rStyle w:val="StyleUnderline"/>
        </w:rPr>
        <w:t>the indicators that analysts rely on to make inferences about the conscious and unconscious states of other persons</w:t>
      </w:r>
      <w:r w:rsidRPr="009A5342">
        <w:rPr>
          <w:sz w:val="16"/>
        </w:rPr>
        <w:t xml:space="preserve"> (as  about one's own conscious states</w:t>
      </w:r>
      <w:r w:rsidRPr="009A5342">
        <w:rPr>
          <w:rStyle w:val="StyleUnderline"/>
        </w:rPr>
        <w:t>) must itself be independently validated as having the implications that are assumed.</w:t>
      </w:r>
      <w:r w:rsidRPr="009A5342">
        <w:rPr>
          <w:sz w:val="16"/>
        </w:rPr>
        <w:t xml:space="preserve">48 In defense, Freudians and </w:t>
      </w:r>
      <w:r w:rsidRPr="009A5342">
        <w:rPr>
          <w:rStyle w:val="StyleUnderline"/>
        </w:rPr>
        <w:t>Lacanians</w:t>
      </w:r>
      <w:r w:rsidRPr="009A5342">
        <w:rPr>
          <w:sz w:val="16"/>
        </w:rPr>
        <w:t xml:space="preserve"> often </w:t>
      </w:r>
      <w:r w:rsidRPr="009A5342">
        <w:rPr>
          <w:rStyle w:val="StyleUnderline"/>
        </w:rPr>
        <w:t>claim that their theories are consonant with good science because their concepts have been scientifically validated in therapeutic sessions</w:t>
      </w:r>
      <w:r w:rsidRPr="009A5342">
        <w:rPr>
          <w:sz w:val="16"/>
        </w:rPr>
        <w:t xml:space="preserve">.49 But </w:t>
      </w:r>
      <w:r w:rsidRPr="00FB2D65">
        <w:rPr>
          <w:rStyle w:val="StyleUnderline"/>
        </w:rPr>
        <w:t>clinical success</w:t>
      </w:r>
      <w:r w:rsidRPr="009A5342">
        <w:rPr>
          <w:sz w:val="16"/>
        </w:rPr>
        <w:t xml:space="preserve">, however it is measured, </w:t>
      </w:r>
      <w:r w:rsidRPr="00FB2D65">
        <w:rPr>
          <w:rStyle w:val="StyleUnderline"/>
        </w:rPr>
        <w:t>is not the same as empirical verification</w:t>
      </w:r>
      <w:r w:rsidRPr="009A5342">
        <w:rPr>
          <w:rStyle w:val="StyleUnderline"/>
        </w:rPr>
        <w:t xml:space="preserve">. Just because "the talking cure" has been effective in some cases </w:t>
      </w:r>
      <w:r w:rsidRPr="00FB2D65">
        <w:rPr>
          <w:rStyle w:val="StyleUnderline"/>
        </w:rPr>
        <w:t>does not mean that Freud's or Lacan's explanation for why it worked is valid</w:t>
      </w:r>
      <w:r w:rsidRPr="009A5342">
        <w:rPr>
          <w:sz w:val="16"/>
        </w:rPr>
        <w:t xml:space="preserve">. Humans have had many explanations for fire over the centuries, but understanding why and how combustion really works must rely on recent physics and chemistry. At the other end of the continuum are theorists such as Baudrillard, Derrida, Feral, and other poststructuralists, whose </w:t>
      </w:r>
      <w:r w:rsidRPr="009A5342">
        <w:rPr>
          <w:rStyle w:val="StyleUnderline"/>
        </w:rPr>
        <w:t>radical skepticism challenges the ability of science or any other discourse to provide a valid standard of falsifiability</w:t>
      </w:r>
      <w:r w:rsidRPr="009A5342">
        <w:rPr>
          <w:sz w:val="16"/>
        </w:rPr>
        <w:t xml:space="preserve">. The relativism of poststructuralism, including </w:t>
      </w:r>
      <w:r w:rsidRPr="009A5342">
        <w:rPr>
          <w:rStyle w:val="StyleUnderline"/>
        </w:rPr>
        <w:t>its challenges to empirical verification</w:t>
      </w:r>
      <w:r w:rsidRPr="009A5342">
        <w:rPr>
          <w:sz w:val="16"/>
        </w:rPr>
        <w:t xml:space="preserve">, </w:t>
      </w:r>
      <w:r w:rsidRPr="009A5342">
        <w:rPr>
          <w:rStyle w:val="StyleUnderline"/>
        </w:rPr>
        <w:t>defies any protocols that might stabilize knowledge based on the slippery signifiers provided by language</w:t>
      </w:r>
      <w:r w:rsidRPr="009A5342">
        <w:rPr>
          <w:sz w:val="16"/>
        </w:rPr>
        <w:t xml:space="preserve">. Despite what they take to be the inherent contradictions of textual assertions, </w:t>
      </w:r>
      <w:r w:rsidRPr="009A5342">
        <w:rPr>
          <w:sz w:val="16"/>
        </w:rPr>
        <w:lastRenderedPageBreak/>
        <w:t xml:space="preserve">poststruc turalists from Lyotard to Derrida rely chiefly on logic and argumentation rather than scientific or historical evidence. Within the assumptions of poststructuralism, Derrida's gnomic remark, "There is nothing beyond the text," is simply unfalsifiable. The critic who wishes to rely on what Derrida might have meant in that statement, however, will have to ignore a great deal of good science in linguistics and evolutionary psychology to be able to assess the probable truth of Derrida's assertion.50 Brian </w:t>
      </w:r>
      <w:r w:rsidRPr="009A5342">
        <w:rPr>
          <w:rStyle w:val="StyleUnderline"/>
        </w:rPr>
        <w:t>Vickers challenges the weak scientific credentials of several of the master theorists</w:t>
      </w:r>
      <w:r w:rsidRPr="009A5342">
        <w:rPr>
          <w:sz w:val="16"/>
        </w:rPr>
        <w:t xml:space="preserve"> that many humanist academics have embraced. As he points out with acerbity: </w:t>
      </w:r>
      <w:r w:rsidRPr="00FB2D65">
        <w:rPr>
          <w:rStyle w:val="StyleUnderline"/>
        </w:rPr>
        <w:t>Freud's work is notoriously speculative, a vast theoretical edifice elaborated with a mere pretense of corroboration, citing "clinical observations" which turn out to be false, with contrary evidence suppressed, data manipulated, building up over a forty-year period a self-obscuring, self-protective mythology</w:t>
      </w:r>
      <w:r w:rsidRPr="009A5342">
        <w:rPr>
          <w:sz w:val="16"/>
        </w:rPr>
        <w:t xml:space="preserve"> The system of Derrida, although disavowing systematicity, is based on several unproven theses about the nature of language which are supported by a vast expanding web of idiosyncratic terminology.... </w:t>
      </w:r>
      <w:r w:rsidRPr="009A5342">
        <w:rPr>
          <w:rStyle w:val="StyleUnderline"/>
        </w:rPr>
        <w:t>Lacan's system, even more vastly elaborated ... is a series of devices for evading accountability</w:t>
      </w:r>
      <w:r w:rsidRPr="009A5342">
        <w:rPr>
          <w:sz w:val="16"/>
        </w:rPr>
        <w:t xml:space="preserve">. . . . Foucault places himself above criticism.51 Whether all of Vickers's charges are valid may be less important than his general point: he presents suggestive evidence that </w:t>
      </w:r>
      <w:r w:rsidRPr="009A5342">
        <w:rPr>
          <w:rStyle w:val="StyleUnderline"/>
        </w:rPr>
        <w:t>these master theorists tried to place their ideas beyond the protocols of falsifiability.</w:t>
      </w:r>
    </w:p>
    <w:p xmlns:wp14="http://schemas.microsoft.com/office/word/2010/wordml" w:rsidRPr="006C71B6" w:rsidR="008263E8" w:rsidP="008263E8" w:rsidRDefault="008263E8" w14:paraId="54E11D2A" wp14:textId="77777777">
      <w:pPr>
        <w:rPr>
          <w:rFonts w:cs="Calibri"/>
        </w:rPr>
      </w:pPr>
    </w:p>
    <w:p xmlns:wp14="http://schemas.microsoft.com/office/word/2010/wordml" w:rsidRPr="006C71B6" w:rsidR="008263E8" w:rsidP="008263E8" w:rsidRDefault="008263E8" w14:paraId="551C78E8" wp14:textId="77777777">
      <w:pPr>
        <w:pStyle w:val="Heading2"/>
      </w:pPr>
      <w:r>
        <w:lastRenderedPageBreak/>
        <w:t xml:space="preserve">Queer Migration </w:t>
      </w:r>
      <w:r w:rsidRPr="006C71B6">
        <w:t>NEG</w:t>
      </w:r>
    </w:p>
    <w:p xmlns:wp14="http://schemas.microsoft.com/office/word/2010/wordml" w:rsidRPr="006C71B6" w:rsidR="008263E8" w:rsidP="008263E8" w:rsidRDefault="008263E8" w14:paraId="0B1838D6" wp14:textId="77777777">
      <w:pPr>
        <w:pStyle w:val="Heading3"/>
        <w:rPr>
          <w:rFonts w:cs="Calibri"/>
        </w:rPr>
      </w:pPr>
      <w:r w:rsidRPr="006C71B6">
        <w:rPr>
          <w:rFonts w:cs="Calibri"/>
        </w:rPr>
        <w:lastRenderedPageBreak/>
        <w:t>Biopower can’t describe anti-queer violence</w:t>
      </w:r>
    </w:p>
    <w:p xmlns:wp14="http://schemas.microsoft.com/office/word/2010/wordml" w:rsidRPr="006C71B6" w:rsidR="008263E8" w:rsidP="008263E8" w:rsidRDefault="008263E8" w14:paraId="1B83AF7C" wp14:textId="77777777">
      <w:pPr>
        <w:pStyle w:val="Heading4"/>
      </w:pPr>
      <w:r w:rsidRPr="006C71B6">
        <w:t xml:space="preserve">Conversations of biopower consolidate gender back to mere signifiers which fails to achieve liberation for trans people – that leads to the worst form of trans violence </w:t>
      </w:r>
    </w:p>
    <w:p xmlns:wp14="http://schemas.microsoft.com/office/word/2010/wordml" w:rsidRPr="006C71B6" w:rsidR="008263E8" w:rsidP="008263E8" w:rsidRDefault="008263E8" w14:paraId="3F9F4DCC" wp14:textId="77777777">
      <w:pPr>
        <w:rPr>
          <w:rFonts w:cs="Calibri"/>
        </w:rPr>
      </w:pPr>
      <w:r w:rsidRPr="007B12C2">
        <w:rPr>
          <w:rStyle w:val="Style13ptBold"/>
        </w:rPr>
        <w:t>Stryker 14</w:t>
      </w:r>
      <w:r w:rsidRPr="006C71B6">
        <w:rPr>
          <w:rFonts w:cs="Calibri"/>
        </w:rPr>
        <w:t xml:space="preserve"> (Susan, associate professor of gender and women’s studies and director of the Institute for LGBT Studies at the University of Arizona and serves as general coeditor of TSQ: Transgender Studies Quarterly, “Biopolitics”,)/DD</w:t>
      </w:r>
    </w:p>
    <w:p xmlns:wp14="http://schemas.microsoft.com/office/word/2010/wordml" w:rsidR="008263E8" w:rsidP="008263E8" w:rsidRDefault="008263E8" w14:paraId="11593151" wp14:textId="77777777">
      <w:pPr>
        <w:rPr>
          <w:rFonts w:cs="Calibri"/>
        </w:rPr>
      </w:pPr>
      <w:r w:rsidRPr="006C71B6">
        <w:rPr>
          <w:rFonts w:cs="Calibri"/>
        </w:rPr>
        <w:t xml:space="preserve">The term biopolitics dates to the early twentieth century (Lemke 2011), but it is only in Michel Foucault’s work from the 1970s forward that the concept (sometimes denominated by him as biopower) begins to be considered a constitutive aspect of governance within Eurocentric modernity (Foucault 1978, 1997, 2004). </w:t>
      </w:r>
      <w:r w:rsidRPr="006C71B6">
        <w:rPr>
          <w:rFonts w:cs="Calibri"/>
          <w:b/>
          <w:u w:val="single"/>
        </w:rPr>
        <w:t>Biopolitics, generally speaking, describes the calculus of costs and benefits through which the biological capacities of a population are optimally managed for state or state-like ends</w:t>
      </w:r>
      <w:r w:rsidRPr="006C71B6">
        <w:rPr>
          <w:rFonts w:cs="Calibri"/>
        </w:rPr>
        <w:t xml:space="preserve">. In its Foucauldian formulation, </w:t>
      </w:r>
      <w:r w:rsidRPr="006C71B6">
        <w:rPr>
          <w:rFonts w:cs="Calibri"/>
          <w:b/>
          <w:u w:val="single"/>
        </w:rPr>
        <w:t>the term refers specifically to the combination of disciplinary and excitatory practices aimed at each and every body, which results in the somaticization by individuals of the bodily norms and ideals that regulate the entire population to which they belong.</w:t>
      </w:r>
      <w:r w:rsidRPr="006C71B6">
        <w:rPr>
          <w:rFonts w:cs="Calibri"/>
        </w:rPr>
        <w:t xml:space="preserve"> In Foucauldian biopolitics, </w:t>
      </w:r>
      <w:r w:rsidRPr="006C71B6">
        <w:rPr>
          <w:rFonts w:cs="Calibri"/>
          <w:b/>
          <w:u w:val="single"/>
        </w:rPr>
        <w:t>the individualizing and collectivizing poles of biopower are conjoined by the domain of sexuality, by which Foucault means reproductive capacity as well as modes of subjective identification, the expression of desire, and the pursuit of erotic pleasure</w:t>
      </w:r>
      <w:r w:rsidRPr="006C71B6">
        <w:rPr>
          <w:rFonts w:cs="Calibri"/>
        </w:rPr>
        <w:t xml:space="preserve">. </w:t>
      </w:r>
      <w:r w:rsidRPr="006C71B6">
        <w:rPr>
          <w:rFonts w:cs="Calibri"/>
          <w:b/>
          <w:u w:val="single"/>
        </w:rPr>
        <w:t>Sexuality</w:t>
      </w:r>
      <w:r w:rsidRPr="006C71B6">
        <w:rPr>
          <w:rFonts w:cs="Calibri"/>
        </w:rPr>
        <w:t xml:space="preserve">, in this double sense of the biological reproduction of new bodies that make up the body politic as well as the ensemble of techniques that produce individualized subjectivities available for aggregation, </w:t>
      </w:r>
      <w:r w:rsidRPr="006C71B6">
        <w:rPr>
          <w:rFonts w:cs="Calibri"/>
          <w:b/>
          <w:u w:val="single"/>
        </w:rPr>
        <w:t xml:space="preserve">supplies the capillary space of power’s circulation throughout the biopoliticized populus. </w:t>
      </w:r>
      <w:r w:rsidRPr="006C71B6">
        <w:rPr>
          <w:rFonts w:cs="Calibri"/>
        </w:rPr>
        <w:t xml:space="preserve">To accept Foucault’s account of sexuality’s biopolitical function is to encounter a lacuna in his theoretical oeuvre: the near-total absence of a gender analysis. This is perhaps unsurprising given the anglophone roots of the gender concept, which was developed by the psychologist JohnMoney and his colleagues at Johns Hopkins University in the 1950s during their research on intersexuality, and which was only gradually making its way into the humanities and social science departments of the English-speaking academy in the 1970s when Foucault was delivering his first lectures on biopolitics in France (Germon 2009; Scott 1986). Yet </w:t>
      </w:r>
      <w:r w:rsidRPr="006C71B6">
        <w:rPr>
          <w:rFonts w:cs="Calibri"/>
          <w:b/>
          <w:u w:val="single"/>
        </w:rPr>
        <w:t>as an account of how embodied subjects acquire behaviors and form particularized identities and of how social organization relies upon the sometimes fixed, sometimes flexible categorization of bodies with differing biological capacities, gender as an analytical concept is commensurable with a Foucauldian perspective on biopolitics.</w:t>
      </w:r>
      <w:r w:rsidRPr="006C71B6">
        <w:rPr>
          <w:rFonts w:cs="Calibri"/>
        </w:rPr>
        <w:t xml:space="preserve"> </w:t>
      </w:r>
      <w:r w:rsidRPr="006C71B6">
        <w:rPr>
          <w:rFonts w:cs="Calibri"/>
          <w:b/>
          <w:u w:val="single"/>
        </w:rPr>
        <w:t>Gendering practices are inextricably enmeshed with sexuality. The identity of the desiring subject and that of the object of desire are characterized by gender. Gender difference undergirds the homo/hetero distinction</w:t>
      </w:r>
      <w:r w:rsidRPr="006C71B6">
        <w:rPr>
          <w:rFonts w:cs="Calibri"/>
        </w:rPr>
        <w:t xml:space="preserve">. Gender conventions code permissible and disallowed forms of erotic expression, and gender stereotyping is strongly linked with practices of bodily normativization. </w:t>
      </w:r>
      <w:r w:rsidRPr="006C71B6">
        <w:rPr>
          <w:rFonts w:cs="Calibri"/>
          <w:b/>
          <w:u w:val="single"/>
        </w:rPr>
        <w:t xml:space="preserve">Gender subjectivizes individuals in such a manner that socially constructed categories of personhood typically come to be experienced as innate and ontologically given. </w:t>
      </w:r>
      <w:r w:rsidRPr="006C71B6">
        <w:rPr>
          <w:rFonts w:cs="Calibri"/>
        </w:rPr>
        <w:t xml:space="preserve">It is a system filled with habits and traditions, underpinned by ideological, religious, and scientific supports that all conspire to give bodies the appearance of a natural inevitability, when in fact embodiment is a highly contingent and reconfigurable artifice that coordinates a particular material body with a particular biopolitical apparatus. </w:t>
      </w:r>
      <w:r w:rsidRPr="006C71B6">
        <w:rPr>
          <w:rFonts w:cs="Calibri"/>
          <w:b/>
          <w:u w:val="single"/>
        </w:rPr>
        <w:t xml:space="preserve">Approached biopolitically, gender does not pertain primarily to questions of representation—that is, to forming correct or incorrect images of the alignment of a signifying sex (male or </w:t>
      </w:r>
      <w:r w:rsidRPr="006C71B6">
        <w:rPr>
          <w:rFonts w:cs="Calibri"/>
          <w:b/>
          <w:u w:val="single"/>
        </w:rPr>
        <w:lastRenderedPageBreak/>
        <w:t>female) with a signified social category (man or woman) or psychical disposition (masculine or feminine</w:t>
      </w:r>
      <w:r w:rsidRPr="006C71B6">
        <w:rPr>
          <w:rFonts w:cs="Calibri"/>
        </w:rPr>
        <w:t>). Gender, rather, is an apparatus within which all bodies are taken up, which creates material effects through bureaucratic tracking that begins with birth, ends with death, and traverses all manner of state-issued or state-sanctioned documentation practices in between</w:t>
      </w:r>
      <w:r w:rsidRPr="006C71B6">
        <w:rPr>
          <w:rFonts w:cs="Calibri"/>
          <w:b/>
          <w:u w:val="single"/>
        </w:rPr>
        <w:t>. It is thus an integral part of the mechanism through which power settles a given population onto a given territory through a given set of administrative structures and practices</w:t>
      </w:r>
      <w:r w:rsidRPr="006C71B6">
        <w:rPr>
          <w:rFonts w:cs="Calibri"/>
        </w:rPr>
        <w:t xml:space="preserve">. Transgender phenomena—anything that calls our attention to the contingency and unnaturalness of gender normativity—appear at the margins of the biopolitically operated-upon body, at those fleeting and variable points at which particular bodies exceed or elude capture within the gender apparatus when they defy the logic of the biopolitical calculus or present a case that confounds an administrative rule or bureaucratic practice. Consequently, </w:t>
      </w:r>
      <w:r w:rsidRPr="006C71B6">
        <w:rPr>
          <w:rFonts w:cs="Calibri"/>
          <w:b/>
          <w:u w:val="single"/>
        </w:rPr>
        <w:t>transgender phenomena constantly flicker across the threshold of viability, simultaneously courting danger and attracting death even as they promise life in new forms, along new pathways</w:t>
      </w:r>
      <w:r w:rsidRPr="006C71B6">
        <w:rPr>
          <w:rFonts w:cs="Calibri"/>
        </w:rPr>
        <w:t xml:space="preserve">. </w:t>
      </w:r>
      <w:r w:rsidRPr="006C71B6">
        <w:rPr>
          <w:rFonts w:cs="Calibri"/>
          <w:b/>
          <w:u w:val="single"/>
        </w:rPr>
        <w:t>Bodies that manifest such transgender phenomena have typically become vulnerable to a panoply of structural oppressions and repressions; they are more likely to be passed over for social investment and less likely to be cultivated as useful for the body politic</w:t>
      </w:r>
      <w:r w:rsidRPr="006C71B6">
        <w:rPr>
          <w:rFonts w:cs="Calibri"/>
        </w:rPr>
        <w:t xml:space="preserve">. </w:t>
      </w:r>
      <w:r w:rsidRPr="006C71B6">
        <w:rPr>
          <w:rFonts w:cs="Calibri"/>
          <w:b/>
          <w:u w:val="single"/>
        </w:rPr>
        <w:t>They experience microaggressions that cumulatively erode the quality of psychical life, and they also encounter major forms of violence, including deliberate killing.</w:t>
      </w:r>
      <w:r w:rsidRPr="006C71B6">
        <w:rPr>
          <w:rFonts w:cs="Calibri"/>
        </w:rPr>
        <w:t xml:space="preserve"> And yet, increasingly, some transgender subjects who previously might have been marked for death now find themselves hailed as legally recognized, protected, depathologized, rights-bearing minority subjects within biopolitical strategies for the cultivation of life from which they previously had been excluded, often to the point of death. </w:t>
      </w:r>
      <w:r w:rsidRPr="006C71B6">
        <w:rPr>
          <w:rFonts w:cs="Calibri"/>
          <w:b/>
          <w:u w:val="single"/>
        </w:rPr>
        <w:t>The criterion for this bifurcation of the population along the border of life and death is race</w:t>
      </w:r>
      <w:r w:rsidRPr="006C71B6">
        <w:rPr>
          <w:rFonts w:cs="Calibri"/>
        </w:rPr>
        <w:t xml:space="preserve">, which Foucault (1997: 254) describes as ‘‘the basic mechanism of power.’’ Certainly, </w:t>
      </w:r>
      <w:r w:rsidRPr="006C71B6">
        <w:rPr>
          <w:rFonts w:cs="Calibri"/>
          <w:b/>
          <w:u w:val="single"/>
        </w:rPr>
        <w:t>trans bodies of color (particularly if they are poor and feminized) are disproportionately targeted by the death-dealing, ‘‘necropolitical’’ operations of biopower (Mbembe 2003), while bodies deemed white are more likely to experience viability.</w:t>
      </w:r>
      <w:r w:rsidRPr="006C71B6">
        <w:rPr>
          <w:rFonts w:cs="Calibri"/>
        </w:rPr>
        <w:t xml:space="preserve"> However, Foucault critically disarticulates race and color to enable a theorization of racism capable of doing more than pointing out that people of color tend to suffer more than whites, and this theorization is particularly useful for transgender studies. Foucault (1997: 80) understands racism as an artificial biologization of social, cultural, linguistic, or economic differences within a supposedly biologically monist population—that is, as a selective evolutionary process of ‘‘speciation’’ through which new kinds of social entities that are considered biologically distinct from one another emerge. </w:t>
      </w:r>
      <w:r w:rsidRPr="006C71B6">
        <w:rPr>
          <w:rFonts w:cs="Calibri"/>
          <w:b/>
          <w:u w:val="single"/>
        </w:rPr>
        <w:t>The racism through which biopower operates can be described as a ‘‘somatechnical assemblage’’</w:t>
      </w:r>
      <w:r w:rsidRPr="006C71B6">
        <w:rPr>
          <w:rFonts w:cs="Calibri"/>
        </w:rPr>
        <w:t xml:space="preserve"> (Pugliese and Stryker 2009: 2–3) that brings together a hierarchizing schema of values and preferences, sets of lifeaffirming or death-making techniques that enact those values and preferences, and a variety of phenotypic, morphological, or genitative qualities and characteristics associated with individual bodies, upon which those techniques operate. Race and racism are therefore broadly understood as the enmeshment of hierarchizing cultural values with hierarchized biological attributes to produce distinct categories of beings who are divided into those rendered vulnerable to premature death and those nurtured to maximize their life. </w:t>
      </w:r>
      <w:r w:rsidRPr="006C71B6">
        <w:rPr>
          <w:rFonts w:cs="Calibri"/>
          <w:b/>
          <w:u w:val="single"/>
        </w:rPr>
        <w:t>Race thus construed conceptually underpins the biopolitical division not only of color from whiteness but of men from women, of queers from straights, of abled-bodied from disabled, and of cisgender from transgender, to the extent that a body on one side of any of these binaries is conceptualized as biologically distinct from a body on the other side.</w:t>
      </w:r>
      <w:r w:rsidRPr="006C71B6">
        <w:rPr>
          <w:rFonts w:cs="Calibri"/>
        </w:rPr>
        <w:t xml:space="preserve"> The caesura, or break, that race introduces into the body politic allows the population to be segmented and selected, enhanced or eliminated, according to biological notions of heritability, </w:t>
      </w:r>
      <w:r w:rsidRPr="006C71B6">
        <w:rPr>
          <w:rFonts w:cs="Calibri"/>
        </w:rPr>
        <w:lastRenderedPageBreak/>
        <w:t xml:space="preserve">degeneracy, foreignness, differentness, or unassimilability—all in the name of ‘‘defending’’ society and making it ‘‘pure.’’ </w:t>
      </w:r>
      <w:r w:rsidRPr="006C71B6">
        <w:rPr>
          <w:rFonts w:cs="Calibri"/>
          <w:b/>
          <w:u w:val="single"/>
        </w:rPr>
        <w:t>Contemporary transgender identities, populations, and sociopolitical movements exemplify this process of biopolitical racialization. Biopower constitutes transgender as a category that it surveils, splits, and sorts in order to move some trans bodies toward emergent possibilities for transgender normativity and citizenship while consigning others to decreased chances for lif</w:t>
      </w:r>
      <w:r w:rsidRPr="006C71B6">
        <w:rPr>
          <w:rFonts w:cs="Calibri"/>
        </w:rPr>
        <w:t>e. Recent work in transgender studies addressing this biopolitical problematic includes Dean Spade 2011, Toby Beauchamp 2009, Aren Z. Aizura 2012, and C. Riley Snorton and Jin Haritaworn 2013. A critical theoretical task now confronting the field is to advance effective strategies for noncompliance and noncomplicity with the biopolitical project itself.</w:t>
      </w:r>
    </w:p>
    <w:p xmlns:wp14="http://schemas.microsoft.com/office/word/2010/wordml" w:rsidR="008263E8" w:rsidP="008263E8" w:rsidRDefault="008263E8" w14:paraId="55EC7A8B" wp14:textId="77777777">
      <w:pPr>
        <w:pStyle w:val="Heading3"/>
      </w:pPr>
      <w:r>
        <w:lastRenderedPageBreak/>
        <w:t>State phobia</w:t>
      </w:r>
    </w:p>
    <w:p xmlns:wp14="http://schemas.microsoft.com/office/word/2010/wordml" w:rsidR="008263E8" w:rsidP="008263E8" w:rsidRDefault="008263E8" w14:paraId="5394C156" wp14:textId="77777777">
      <w:pPr>
        <w:pStyle w:val="Heading4"/>
        <w:rPr>
          <w:rStyle w:val="Style13ptBold"/>
        </w:rPr>
      </w:pPr>
      <w:r>
        <w:t xml:space="preserve">Their exclusively state-phobic radical politics of anti-homonationalism inevitably reproduces neoliberal governmentalities while also denying the clear benefits the state can provide and has provided. In order to effectively decolonize and develop emancipatory politics in the global South, queer theory needs to determine how to reconfigure the state and create legal remedies to the state’s injustices; they can remain critical of the state without devolving into pure state-phobia. </w:t>
      </w:r>
    </w:p>
    <w:p xmlns:wp14="http://schemas.microsoft.com/office/word/2010/wordml" w:rsidRPr="0022342E" w:rsidR="008263E8" w:rsidP="008263E8" w:rsidRDefault="008263E8" w14:paraId="76B3BD30" wp14:textId="77777777">
      <w:r w:rsidRPr="0022342E">
        <w:rPr>
          <w:rStyle w:val="Style13ptBold"/>
        </w:rPr>
        <w:t>Dhawan 15</w:t>
      </w:r>
      <w:r w:rsidRPr="0022342E">
        <w:t xml:space="preserve"> (Nikita, Professor of Political Science at the University of Innsbruck and Director of the Research Platform Gender Studies, “Homonationalism and State-Phobia: The Postcolonial Predicament of Queering Modernities,” 2015, pg 62-67)//ANH</w:t>
      </w:r>
    </w:p>
    <w:p xmlns:wp14="http://schemas.microsoft.com/office/word/2010/wordml" w:rsidRPr="00525EDF" w:rsidR="008263E8" w:rsidP="008263E8" w:rsidRDefault="008263E8" w14:paraId="39EDB32A" wp14:textId="77777777">
      <w:pPr>
        <w:rPr>
          <w:sz w:val="16"/>
        </w:rPr>
      </w:pPr>
      <w:r w:rsidRPr="00105879">
        <w:rPr>
          <w:rStyle w:val="StyleUnderline"/>
        </w:rPr>
        <w:t xml:space="preserve">One of my main difficulties with current politics of anti-homonationalism and pink-watching is their </w:t>
      </w:r>
      <w:r w:rsidRPr="00007AB8">
        <w:rPr>
          <w:rStyle w:val="StyleUnderline"/>
        </w:rPr>
        <w:t>rejection of any engagement with the state</w:t>
      </w:r>
      <w:r w:rsidRPr="008133B6">
        <w:rPr>
          <w:sz w:val="16"/>
        </w:rPr>
        <w:t xml:space="preserve">, which is censured as a form of co-option and appeasement. </w:t>
      </w:r>
      <w:r w:rsidRPr="00105879">
        <w:rPr>
          <w:rStyle w:val="StyleUnderline"/>
        </w:rPr>
        <w:t>They almost seem to oppose the political agenda of providing non-normative sexualities with social recognition and legal protection through rights and policies, because this would mean acknowledging the existence of other forms of violence that are not reducible to Western racism and imperialism even as they are not entirely disconnected from them.</w:t>
      </w:r>
      <w:r w:rsidRPr="008133B6">
        <w:rPr>
          <w:sz w:val="16"/>
        </w:rPr>
        <w:t xml:space="preserve"> </w:t>
      </w:r>
      <w:r w:rsidRPr="00007AB8">
        <w:rPr>
          <w:rStyle w:val="StyleUnderline"/>
        </w:rPr>
        <w:t>This form of anti-statism denies others some of the protections postcolonial queers enjoy</w:t>
      </w:r>
      <w:r w:rsidRPr="00105879">
        <w:rPr>
          <w:rStyle w:val="StyleUnderline"/>
        </w:rPr>
        <w:t xml:space="preserve"> on the privileged side of transnationality, who live in states where homosexuality has been decriminalized</w:t>
      </w:r>
      <w:r w:rsidRPr="008133B6">
        <w:rPr>
          <w:sz w:val="16"/>
        </w:rPr>
        <w:t xml:space="preserve">. </w:t>
      </w:r>
      <w:r w:rsidRPr="00105879">
        <w:rPr>
          <w:rStyle w:val="StyleUnderline"/>
        </w:rPr>
        <w:t xml:space="preserve">Anyone who addresses the issue </w:t>
      </w:r>
      <w:r w:rsidRPr="008133B6">
        <w:rPr>
          <w:sz w:val="16"/>
        </w:rPr>
        <w:t xml:space="preserve">of homophobia in minority cultures </w:t>
      </w:r>
      <w:r w:rsidRPr="00105879">
        <w:rPr>
          <w:rStyle w:val="StyleUnderline"/>
        </w:rPr>
        <w:t>is simply racist</w:t>
      </w:r>
      <w:r w:rsidRPr="008133B6">
        <w:rPr>
          <w:sz w:val="16"/>
        </w:rPr>
        <w:t xml:space="preserve"> and any talk of homophobic violence causes trouble for sexual minorities in their communities or countries. </w:t>
      </w:r>
      <w:r w:rsidRPr="00105879">
        <w:rPr>
          <w:rStyle w:val="StyleUnderline"/>
        </w:rPr>
        <w:t>Anyone who supports ideals of equality, freedom, or emancipation is labeled ‘Western’</w:t>
      </w:r>
      <w:r w:rsidRPr="008133B6">
        <w:rPr>
          <w:sz w:val="16"/>
        </w:rPr>
        <w:t xml:space="preserve"> or functions as a trophy for liberal and conservative forces. My response to this position is that they do not take the consequences of colonialism seriously if they think decolonization is simply circumventing the legacies of modernity and the language of rights, equality, freedom and emancipation. While theorists like Puar rightly draw on Foucault to unpack how non-normative sexualities are deployed in the biopolitical production of different populations in relation to one another, namely, how European queers are constituted in terms of requiring protection from the threat of homophobic migrants at home and regressive Muslim cultures elsewhere. At the same time, </w:t>
      </w:r>
      <w:r w:rsidRPr="00105879">
        <w:rPr>
          <w:rStyle w:val="StyleUnderline"/>
        </w:rPr>
        <w:t xml:space="preserve">one of my primary objects against Puar and </w:t>
      </w:r>
      <w:r w:rsidRPr="00007AB8">
        <w:rPr>
          <w:rStyle w:val="StyleUnderline"/>
        </w:rPr>
        <w:t>the politics of anti-homonationalism</w:t>
      </w:r>
      <w:r w:rsidRPr="00105879">
        <w:rPr>
          <w:rStyle w:val="StyleUnderline"/>
        </w:rPr>
        <w:t xml:space="preserve"> is that they </w:t>
      </w:r>
      <w:r w:rsidRPr="00007AB8">
        <w:rPr>
          <w:rStyle w:val="StyleUnderline"/>
        </w:rPr>
        <w:t>tend to dehistoricize, demonize and essentialize the state reducing it to its penal functions</w:t>
      </w:r>
      <w:r w:rsidRPr="008133B6">
        <w:rPr>
          <w:sz w:val="16"/>
        </w:rPr>
        <w:t xml:space="preserve">. In her discussions of Israeli ‘pink-washing’ or decriminalization of homosexuality in India, </w:t>
      </w:r>
      <w:r w:rsidRPr="00105879">
        <w:rPr>
          <w:rStyle w:val="StyleUnderline"/>
        </w:rPr>
        <w:t>Puar</w:t>
      </w:r>
      <w:r w:rsidRPr="008133B6">
        <w:rPr>
          <w:sz w:val="16"/>
        </w:rPr>
        <w:t xml:space="preserve"> gives the impression ‘as if ’ there is no difference between the US and Germany, or between Israel and India. This </w:t>
      </w:r>
      <w:r w:rsidRPr="00105879">
        <w:rPr>
          <w:rStyle w:val="StyleUnderline"/>
        </w:rPr>
        <w:t xml:space="preserve">dangerously disregards Foucault’s critique of state-phobia </w:t>
      </w:r>
      <w:r w:rsidRPr="008133B6">
        <w:rPr>
          <w:sz w:val="16"/>
        </w:rPr>
        <w:t xml:space="preserve">in his governmentality lectures, </w:t>
      </w:r>
      <w:r w:rsidRPr="00105879">
        <w:rPr>
          <w:rStyle w:val="StyleUnderline"/>
        </w:rPr>
        <w:t>where he</w:t>
      </w:r>
      <w:r w:rsidRPr="008133B6">
        <w:rPr>
          <w:sz w:val="16"/>
        </w:rPr>
        <w:t xml:space="preserve"> simultaneously </w:t>
      </w:r>
      <w:r w:rsidRPr="00105879">
        <w:rPr>
          <w:rStyle w:val="StyleUnderline"/>
        </w:rPr>
        <w:t>targets</w:t>
      </w:r>
      <w:r w:rsidRPr="008133B6">
        <w:rPr>
          <w:sz w:val="16"/>
        </w:rPr>
        <w:t xml:space="preserve"> Marxists, </w:t>
      </w:r>
      <w:r w:rsidRPr="00105879">
        <w:rPr>
          <w:rStyle w:val="StyleUnderline"/>
        </w:rPr>
        <w:t>ultra-left radicals</w:t>
      </w:r>
      <w:r w:rsidRPr="008133B6">
        <w:rPr>
          <w:sz w:val="16"/>
        </w:rPr>
        <w:t xml:space="preserve">, liberals, neo-liberals, </w:t>
      </w:r>
      <w:r w:rsidRPr="00105879">
        <w:rPr>
          <w:rStyle w:val="StyleUnderline"/>
        </w:rPr>
        <w:t>which consider the state as predator that must be contained and ‘defanged’</w:t>
      </w:r>
      <w:r w:rsidRPr="008133B6">
        <w:rPr>
          <w:sz w:val="16"/>
        </w:rPr>
        <w:t xml:space="preserve"> (refer to Dhawan 2013). Rejecting Nietzsche’s image of the state as the ‘coldest of all cold monsters’, </w:t>
      </w:r>
      <w:r w:rsidRPr="00105879">
        <w:rPr>
          <w:rStyle w:val="StyleUnderline"/>
        </w:rPr>
        <w:t>Foucault views the state an effect rather than cause of governmental practices and rationalities</w:t>
      </w:r>
      <w:r w:rsidRPr="008133B6">
        <w:rPr>
          <w:sz w:val="16"/>
        </w:rPr>
        <w:t xml:space="preserve">. Foucault’s historical investigations unfold how the experience with fascism und totalitarianism during National Socialism and Stalinism led to the rise of state-phobia in Europe. In order to reconfigure the relation between government and society, the </w:t>
      </w:r>
      <w:r w:rsidRPr="00105879">
        <w:rPr>
          <w:rStyle w:val="StyleUnderline"/>
        </w:rPr>
        <w:t>subsequent efforts sought to replace the despotic state or police state through rule of law and constitutional state</w:t>
      </w:r>
      <w:r w:rsidRPr="008133B6">
        <w:rPr>
          <w:sz w:val="16"/>
        </w:rPr>
        <w:t xml:space="preserve">. According to Foucault, since the late 1970s </w:t>
      </w:r>
      <w:r w:rsidRPr="00105879">
        <w:rPr>
          <w:rStyle w:val="StyleUnderline"/>
        </w:rPr>
        <w:t>anti-statism rapidly became the basis of liberal and left politics in the form of critique of securitization and repressive apparatus.</w:t>
      </w:r>
      <w:r w:rsidRPr="008133B6">
        <w:rPr>
          <w:sz w:val="16"/>
        </w:rPr>
        <w:t xml:space="preserve"> This translated for instance into uncritical solidarity with soviet dissidents. Both amongst the liberals as well as amongst the left, </w:t>
      </w:r>
      <w:r w:rsidRPr="00360FC2">
        <w:rPr>
          <w:rStyle w:val="StyleUnderline"/>
        </w:rPr>
        <w:t>the idea of state as threat gained traction, particularly in the context of fear of atomic war</w:t>
      </w:r>
      <w:r w:rsidRPr="008133B6">
        <w:rPr>
          <w:sz w:val="16"/>
        </w:rPr>
        <w:t xml:space="preserve">. </w:t>
      </w:r>
      <w:r w:rsidRPr="00360FC2">
        <w:rPr>
          <w:rStyle w:val="StyleUnderline"/>
        </w:rPr>
        <w:t xml:space="preserve">Foucault problematizes the state-phobia of </w:t>
      </w:r>
      <w:r w:rsidRPr="008133B6">
        <w:rPr>
          <w:sz w:val="16"/>
        </w:rPr>
        <w:t xml:space="preserve">liberal as well as </w:t>
      </w:r>
      <w:r w:rsidRPr="00360FC2">
        <w:rPr>
          <w:rStyle w:val="StyleUnderline"/>
        </w:rPr>
        <w:t>left politics, in that they fail to distinguish between administrative state, welfare state, bureaucratic state, fascist state and totalitarian state</w:t>
      </w:r>
      <w:r w:rsidRPr="008133B6">
        <w:rPr>
          <w:sz w:val="16"/>
        </w:rPr>
        <w:t xml:space="preserve">. He distances himself from such an inflationary form of liberal and left statephobia. In contrast Foucault understands the state as ‘the </w:t>
      </w:r>
      <w:r w:rsidRPr="008133B6">
        <w:rPr>
          <w:sz w:val="16"/>
        </w:rPr>
        <w:lastRenderedPageBreak/>
        <w:t>mobile effect of a regime of multiple governmentalities’ that overlap, but also contradict each other (2008: 77</w:t>
      </w:r>
      <w:r w:rsidRPr="00A342D3">
        <w:rPr>
          <w:rStyle w:val="StyleUnderline"/>
        </w:rPr>
        <w:t>). This dynamic and ambivalent function of the state is dangerously ignored by</w:t>
      </w:r>
      <w:r w:rsidRPr="008133B6">
        <w:rPr>
          <w:sz w:val="16"/>
        </w:rPr>
        <w:t xml:space="preserve"> scholars like </w:t>
      </w:r>
      <w:r w:rsidRPr="00A342D3">
        <w:rPr>
          <w:rStyle w:val="StyleUnderline"/>
        </w:rPr>
        <w:t xml:space="preserve">Puar, </w:t>
      </w:r>
      <w:r w:rsidRPr="00007AB8">
        <w:rPr>
          <w:rStyle w:val="StyleUnderline"/>
        </w:rPr>
        <w:t>whose critique of the state gravitates towards state-phobia in that every attempt by queer individuals and groups to negotiate with the state is denounced as homonationalism</w:t>
      </w:r>
      <w:r w:rsidRPr="008133B6">
        <w:rPr>
          <w:sz w:val="16"/>
        </w:rPr>
        <w:t xml:space="preserve">. One must bear in mind that </w:t>
      </w:r>
      <w:r w:rsidRPr="00A342D3">
        <w:rPr>
          <w:rStyle w:val="StyleUnderline"/>
        </w:rPr>
        <w:t>there is a very fine line between critique of the state and statephobia and anti-statism</w:t>
      </w:r>
      <w:r w:rsidRPr="008133B6">
        <w:rPr>
          <w:sz w:val="16"/>
        </w:rPr>
        <w:t xml:space="preserve">. The latter is marked by a deep distrust of state institutions per se. As Foucault compellingly argues, </w:t>
      </w:r>
      <w:r w:rsidRPr="00007AB8">
        <w:rPr>
          <w:rStyle w:val="StyleUnderline"/>
        </w:rPr>
        <w:t>state-phobia forms a foundational premise for the emergence of neoliberal governmentality</w:t>
      </w:r>
      <w:r w:rsidRPr="00A342D3">
        <w:rPr>
          <w:rStyle w:val="StyleUnderline"/>
        </w:rPr>
        <w:t xml:space="preserve"> and conflates critique of state and critique of domination</w:t>
      </w:r>
      <w:r w:rsidRPr="008133B6">
        <w:rPr>
          <w:sz w:val="16"/>
        </w:rPr>
        <w:t xml:space="preserve">, with the state being characterized as the origin of all violence. </w:t>
      </w:r>
      <w:r w:rsidRPr="00A342D3">
        <w:rPr>
          <w:rStyle w:val="StyleUnderline"/>
        </w:rPr>
        <w:t xml:space="preserve">The challenge for postcolonial queer theory is to formulate critique of the state and critique of hegemonic heteronormativity </w:t>
      </w:r>
      <w:r w:rsidRPr="00007AB8">
        <w:rPr>
          <w:rStyle w:val="StyleUnderline"/>
        </w:rPr>
        <w:t>without reproducing state-phobia</w:t>
      </w:r>
      <w:r w:rsidRPr="008133B6">
        <w:rPr>
          <w:sz w:val="16"/>
        </w:rPr>
        <w:t xml:space="preserve">. Finally liberal and left state-phobia is informed by a Eurocentrism, in that </w:t>
      </w:r>
      <w:r w:rsidRPr="00C864B1">
        <w:rPr>
          <w:rStyle w:val="StyleUnderline"/>
        </w:rPr>
        <w:t>a</w:t>
      </w:r>
      <w:r w:rsidRPr="008133B6">
        <w:rPr>
          <w:sz w:val="16"/>
        </w:rPr>
        <w:t xml:space="preserve"> particular, </w:t>
      </w:r>
      <w:r w:rsidRPr="00C864B1">
        <w:rPr>
          <w:rStyle w:val="StyleUnderline"/>
        </w:rPr>
        <w:t>specific European experience with fascism is universalized thereby erasing different historical processes of state-formation</w:t>
      </w:r>
      <w:r w:rsidRPr="008133B6">
        <w:rPr>
          <w:sz w:val="16"/>
        </w:rPr>
        <w:t xml:space="preserve"> and state-building in postcolonial contexts. </w:t>
      </w:r>
      <w:r w:rsidRPr="00C864B1">
        <w:rPr>
          <w:rStyle w:val="StyleUnderline"/>
        </w:rPr>
        <w:t>Puars critique</w:t>
      </w:r>
      <w:r w:rsidRPr="008133B6">
        <w:rPr>
          <w:sz w:val="16"/>
        </w:rPr>
        <w:t xml:space="preserve"> of USA, Israel und India </w:t>
      </w:r>
      <w:r w:rsidRPr="00C864B1">
        <w:rPr>
          <w:rStyle w:val="StyleUnderline"/>
        </w:rPr>
        <w:t xml:space="preserve">homogenizes very diverse anti-discrimination policies and laws </w:t>
      </w:r>
      <w:r w:rsidRPr="008133B6">
        <w:rPr>
          <w:sz w:val="16"/>
        </w:rPr>
        <w:t>simply</w:t>
      </w:r>
      <w:r w:rsidRPr="00C864B1">
        <w:rPr>
          <w:rStyle w:val="StyleUnderline"/>
        </w:rPr>
        <w:t xml:space="preserve"> as politics of appeasement</w:t>
      </w:r>
      <w:r w:rsidRPr="008133B6">
        <w:rPr>
          <w:sz w:val="16"/>
        </w:rPr>
        <w:t xml:space="preserve">. This approach is risky in its simplicity. Interestingly </w:t>
      </w:r>
      <w:r w:rsidRPr="00C864B1">
        <w:rPr>
          <w:rStyle w:val="StyleUnderline"/>
        </w:rPr>
        <w:t>states like Saudi Arabia or Mauritania, where homosexual acts are punishable with death penalty are spared in Puar’s writings.</w:t>
      </w:r>
      <w:r w:rsidRPr="008133B6">
        <w:rPr>
          <w:sz w:val="16"/>
        </w:rPr>
        <w:t xml:space="preserve"> Moreover, </w:t>
      </w:r>
      <w:r w:rsidRPr="00C864B1">
        <w:rPr>
          <w:rStyle w:val="StyleUnderline"/>
        </w:rPr>
        <w:t>she</w:t>
      </w:r>
      <w:r w:rsidRPr="008133B6">
        <w:rPr>
          <w:sz w:val="16"/>
        </w:rPr>
        <w:t xml:space="preserve"> equates the provisional decriminalization of same sex acts in India and invalidation of sodomy laws in USA as examples of homonationalism, </w:t>
      </w:r>
      <w:r w:rsidRPr="00C864B1">
        <w:rPr>
          <w:rStyle w:val="StyleUnderline"/>
        </w:rPr>
        <w:t>discount</w:t>
      </w:r>
      <w:r w:rsidRPr="008133B6">
        <w:rPr>
          <w:sz w:val="16"/>
        </w:rPr>
        <w:t xml:space="preserve">ing </w:t>
      </w:r>
      <w:r w:rsidRPr="00C864B1">
        <w:rPr>
          <w:rStyle w:val="StyleUnderline"/>
        </w:rPr>
        <w:t xml:space="preserve">the differences between </w:t>
      </w:r>
      <w:r w:rsidRPr="008133B6">
        <w:rPr>
          <w:sz w:val="16"/>
        </w:rPr>
        <w:t>two very</w:t>
      </w:r>
      <w:r w:rsidRPr="00C864B1">
        <w:rPr>
          <w:rStyle w:val="StyleUnderline"/>
        </w:rPr>
        <w:t xml:space="preserve"> different historical and regional contexts</w:t>
      </w:r>
      <w:r w:rsidRPr="008133B6">
        <w:rPr>
          <w:sz w:val="16"/>
        </w:rPr>
        <w:t xml:space="preserve">. The two </w:t>
      </w:r>
      <w:r w:rsidRPr="00007AB8">
        <w:rPr>
          <w:rStyle w:val="StyleUnderline"/>
        </w:rPr>
        <w:t>legal reforms are a result of complex social and legal struggles that produce ambivalent and diverse effects</w:t>
      </w:r>
      <w:r w:rsidRPr="00C864B1">
        <w:rPr>
          <w:rStyle w:val="StyleUnderline"/>
        </w:rPr>
        <w:t>, which are questionably disregarded</w:t>
      </w:r>
      <w:r w:rsidRPr="008133B6">
        <w:rPr>
          <w:sz w:val="16"/>
        </w:rPr>
        <w:t xml:space="preserve">. If Europe universalized its norms and epistemologies through colonialism, then decolonization is incomplete without the deuniversalization and provincialization of Euro-American experiences and politics. This would entail a nuanced historical analysis of diverse configurations. In this context </w:t>
      </w:r>
      <w:r w:rsidRPr="00C864B1">
        <w:rPr>
          <w:rStyle w:val="StyleUnderline"/>
        </w:rPr>
        <w:t>the specific German experience with fascism and totalitarianism must not be imposed seamlessly on postcolonial contexts to promote a transnational state-phobic queer politics. This would be disastrous</w:t>
      </w:r>
      <w:r w:rsidRPr="008133B6">
        <w:rPr>
          <w:sz w:val="16"/>
        </w:rPr>
        <w:t xml:space="preserve">. This raises the question: </w:t>
      </w:r>
      <w:r w:rsidRPr="00C864B1">
        <w:rPr>
          <w:rStyle w:val="StyleUnderline"/>
        </w:rPr>
        <w:t>Why is Foucault’s critique of state-phobia disregarded</w:t>
      </w:r>
      <w:r w:rsidRPr="008133B6">
        <w:rPr>
          <w:sz w:val="16"/>
        </w:rPr>
        <w:t xml:space="preserve">, not just by radical queer politics but even by Foucaultians themselves. Here I claim that this comes from an inconsistency and ambivalence in Foucault’s own position. Foucault diagnoses sexuality as a key zone of government, as a fundamental object of regulation in liberal-capitalist states. Securitization and sexuality, danger and protection, family and nation function as stock phrases of governmental practices. Accordingly when it comes to the issue of legislation of sexuality, one gets a sense of Foucault’s distrust of the state that he otherwise warns others to overcome. To give you a concrete example: In a round-table discussion in 1977, Foucault made the controversial proposal to treat rape like a ‘punch in the face’. Foucault recommends ‘desexualization of rape’ as a strategy against disciplinary power. The sexual definition of rape, he argues, reinforces the genitalization of the body, thereby justifying the disciplinary targeting of sexuality. He provocatively asks why an assault with a penis should be distinguished legally from an assault with any other body part. His aim is to delink desire and crime, sexuality and the law in an attempt to immunize sexuality from becoming target of state intervention. At this point I detect an inconsistency in Foucault’s positions as he shows signs of state-phobia (Dhawan 2013). By reclassifying rape from criminal law into a civil offense, punishable by damages, Foucault seeks to immunize sexual acts from state punishment namely, incarceration of the rapists. Modern law, in his view, has the function of discipline, surveillance, and normalization. Through a legal redefinition of the crime, Foucault anticipates a shift in discourse that constructs women as ‘pre-victims’, even as he seeks to protect male sexuality from the disciplinary force of the law. Keeping in mind Foucault’s reflections on governmentality, one could argue that the establishment of women as vulnerable in discourse and policy constitutes them as subjects of government. This rationalizes the regulation of their bodies and mobilities as well as mobilizes paternalistic protection that reinforce processes of gender formation. Foucault advances a powerful case for the desexualization of rape that would place sexuality outside the purview of state intervention. Even as one can understand Foucault’s distrust of the judiciary, in his attempt to remove sexuality from legislation, he risks misjudging the role of law. Suggesting a departure from law, would imply parting from many of the structures that protect one from violence and discrimination, that are made possible through state monopoly on violence. In this regard Foucault is just as state-phobic as the neoliberals and anarchists whom he critiques for imagining a good society through a split of the state and civil society. As Foucault himself warns </w:t>
      </w:r>
      <w:r w:rsidRPr="00C864B1">
        <w:rPr>
          <w:rStyle w:val="StyleUnderline"/>
        </w:rPr>
        <w:t>state-phobia is deeply inscribed in</w:t>
      </w:r>
      <w:r w:rsidRPr="008133B6">
        <w:rPr>
          <w:sz w:val="16"/>
        </w:rPr>
        <w:t xml:space="preserve"> liberal and </w:t>
      </w:r>
      <w:r w:rsidRPr="00C864B1">
        <w:rPr>
          <w:rStyle w:val="StyleUnderline"/>
        </w:rPr>
        <w:t>neo-liberal ideas of civil society. The wickedness of the state is juxtaposed against the inherent goodness of civil society, so that the aim is the ‘whithering away of the state’.</w:t>
      </w:r>
      <w:r w:rsidRPr="008133B6">
        <w:rPr>
          <w:sz w:val="16"/>
        </w:rPr>
        <w:t xml:space="preserve"> This anti-state-centric approach to political power, locates radical politics in extra-state space of innovation. This is why Puar and others reject pragmatic politics of same-sex marriage or antidiscrimination legislations. In contrast they support civil society campaigns like pink-watching that increasingly deploy the strategy of surveillance for shaming states into good behavior. Even as one critiques the harnessing of gender and sexuality by neo-liberal capitalism, </w:t>
      </w:r>
      <w:r w:rsidRPr="0021636B">
        <w:rPr>
          <w:rStyle w:val="StyleUnderline"/>
        </w:rPr>
        <w:t xml:space="preserve">the rejection of all feministqueer politics oriented towards the state as part of a biopolitical agenda is </w:t>
      </w:r>
      <w:r w:rsidRPr="0021636B">
        <w:rPr>
          <w:rStyle w:val="StyleUnderline"/>
        </w:rPr>
        <w:lastRenderedPageBreak/>
        <w:t>disingenuous state-phobic rhetoric. Postcolonial-queer-feminists are caught in an ambivalent, double-bind</w:t>
      </w:r>
      <w:r w:rsidRPr="008133B6">
        <w:rPr>
          <w:sz w:val="16"/>
        </w:rPr>
        <w:t xml:space="preserve"> vis-à-vis the state: </w:t>
      </w:r>
      <w:r w:rsidRPr="0021636B">
        <w:rPr>
          <w:rStyle w:val="StyleUnderline"/>
        </w:rPr>
        <w:t>On</w:t>
      </w:r>
      <w:r w:rsidRPr="008133B6">
        <w:rPr>
          <w:sz w:val="16"/>
        </w:rPr>
        <w:t xml:space="preserve"> the o</w:t>
      </w:r>
      <w:r w:rsidRPr="0021636B">
        <w:rPr>
          <w:rStyle w:val="StyleUnderline"/>
        </w:rPr>
        <w:t>ne hand, the state</w:t>
      </w:r>
      <w:r w:rsidRPr="008133B6">
        <w:rPr>
          <w:sz w:val="16"/>
        </w:rPr>
        <w:t xml:space="preserve"> </w:t>
      </w:r>
      <w:r w:rsidRPr="0021636B">
        <w:rPr>
          <w:rStyle w:val="StyleUnderline"/>
        </w:rPr>
        <w:t>has</w:t>
      </w:r>
      <w:r w:rsidRPr="008133B6">
        <w:rPr>
          <w:sz w:val="16"/>
        </w:rPr>
        <w:t xml:space="preserve"> historically </w:t>
      </w:r>
      <w:r w:rsidRPr="0021636B">
        <w:rPr>
          <w:rStyle w:val="StyleUnderline"/>
        </w:rPr>
        <w:t>been the source of violence and repression through the criminalization and pathologization of non-normative sexual practices</w:t>
      </w:r>
      <w:r w:rsidRPr="008133B6">
        <w:rPr>
          <w:sz w:val="16"/>
        </w:rPr>
        <w:t xml:space="preserve">. </w:t>
      </w:r>
      <w:r w:rsidRPr="0021636B">
        <w:rPr>
          <w:rStyle w:val="StyleUnderline"/>
        </w:rPr>
        <w:t>And yet, queer strategies seek to instrumentalize the state to promote sexual justice</w:t>
      </w:r>
      <w:r w:rsidRPr="008133B6">
        <w:rPr>
          <w:sz w:val="16"/>
        </w:rPr>
        <w:t xml:space="preserve">. Even as the state is known to perpetuate heteronormative ideologies, which are founding myths of nations, </w:t>
      </w:r>
      <w:r w:rsidRPr="0021636B">
        <w:rPr>
          <w:rStyle w:val="StyleUnderline"/>
        </w:rPr>
        <w:t>the hope is that the state can function as a site of redress of gender and sexual inequality</w:t>
      </w:r>
      <w:r w:rsidRPr="008133B6">
        <w:rPr>
          <w:sz w:val="16"/>
        </w:rPr>
        <w:t xml:space="preserve">. Despite the problematic track-record with regard to sexual politics of all nation-states, whether European or non-European, </w:t>
      </w:r>
      <w:r w:rsidRPr="0021636B">
        <w:rPr>
          <w:rStyle w:val="StyleUnderline"/>
        </w:rPr>
        <w:t>it is dangerous to disregard the immense political implications of state-phobic positions, which are increasingly popular in radical discourses in the West</w:t>
      </w:r>
      <w:r w:rsidRPr="008133B6">
        <w:rPr>
          <w:sz w:val="16"/>
        </w:rPr>
        <w:t xml:space="preserve">. As the recent re-criminalization of homosexuality in Uganda, India and Nigeria demonstrate, </w:t>
      </w:r>
      <w:r w:rsidRPr="00007AB8">
        <w:rPr>
          <w:rStyle w:val="StyleUnderline"/>
        </w:rPr>
        <w:t>negotiations with state are indispensable and imperative for emancipatory queer politics in the global South</w:t>
      </w:r>
      <w:r w:rsidRPr="008133B6">
        <w:rPr>
          <w:sz w:val="16"/>
        </w:rPr>
        <w:t xml:space="preserve">. This is not a plea for statism; rather, </w:t>
      </w:r>
      <w:r w:rsidRPr="0021636B">
        <w:rPr>
          <w:rStyle w:val="StyleUnderline"/>
        </w:rPr>
        <w:t xml:space="preserve">one must be aware of the dangers of the replacement of state with non-state actors as motors of justice. </w:t>
      </w:r>
      <w:r w:rsidRPr="008133B6">
        <w:rPr>
          <w:sz w:val="16"/>
        </w:rPr>
        <w:t xml:space="preserve">Against this background, </w:t>
      </w:r>
      <w:r w:rsidRPr="0021636B">
        <w:rPr>
          <w:rStyle w:val="StyleUnderline"/>
        </w:rPr>
        <w:t>the recent anti-statist stance within postcolonial queer scholarship</w:t>
      </w:r>
      <w:r w:rsidRPr="008133B6">
        <w:rPr>
          <w:sz w:val="16"/>
        </w:rPr>
        <w:t xml:space="preserve"> is alarming, as it </w:t>
      </w:r>
      <w:r w:rsidRPr="0021636B">
        <w:rPr>
          <w:rStyle w:val="StyleUnderline"/>
        </w:rPr>
        <w:t>ignores the importance of the state for those citizens who do not have access to transnational counterpublic spheres to address their grievances</w:t>
      </w:r>
      <w:r w:rsidRPr="008133B6">
        <w:rPr>
          <w:sz w:val="16"/>
        </w:rPr>
        <w:t xml:space="preserve">. </w:t>
      </w:r>
      <w:r w:rsidRPr="0021636B">
        <w:rPr>
          <w:rStyle w:val="StyleUnderline"/>
        </w:rPr>
        <w:t>Decolonization</w:t>
      </w:r>
      <w:r w:rsidRPr="008133B6">
        <w:rPr>
          <w:sz w:val="16"/>
        </w:rPr>
        <w:t xml:space="preserve">, whether in USA, Israel or India, </w:t>
      </w:r>
      <w:r w:rsidRPr="0021636B">
        <w:rPr>
          <w:rStyle w:val="StyleUnderline"/>
        </w:rPr>
        <w:t xml:space="preserve">cannot be achieved merely through a strategy of shaming the state. </w:t>
      </w:r>
      <w:r w:rsidRPr="008133B6">
        <w:rPr>
          <w:sz w:val="16"/>
        </w:rPr>
        <w:t xml:space="preserve">Rather in the GramscianSpivakian sense, </w:t>
      </w:r>
      <w:r w:rsidRPr="0021636B">
        <w:rPr>
          <w:rStyle w:val="StyleUnderline"/>
        </w:rPr>
        <w:t>it is imperative to enable vulnerable disenfranchised individuals and groups to access the state</w:t>
      </w:r>
      <w:r w:rsidRPr="008133B6">
        <w:rPr>
          <w:sz w:val="16"/>
        </w:rPr>
        <w:t xml:space="preserve"> (Dhawan 2013). Accordingly, instead of a for or against position vis-à-vis the state, </w:t>
      </w:r>
      <w:r w:rsidRPr="00007AB8">
        <w:rPr>
          <w:rStyle w:val="StyleUnderline"/>
        </w:rPr>
        <w:t>the more challenging question is how to reconfigure the state</w:t>
      </w:r>
      <w:r w:rsidRPr="0021636B">
        <w:rPr>
          <w:rStyle w:val="StyleUnderline"/>
        </w:rPr>
        <w:t>, given that its institutions and policies are the mobile effect of a regime of multiple governmentalities</w:t>
      </w:r>
      <w:r w:rsidRPr="008133B6">
        <w:rPr>
          <w:sz w:val="16"/>
        </w:rPr>
        <w:t xml:space="preserve">. Thus </w:t>
      </w:r>
      <w:r w:rsidRPr="0021636B">
        <w:rPr>
          <w:rStyle w:val="StyleUnderline"/>
        </w:rPr>
        <w:t>the challenge is how to pursue a non-statephobic queer politics that at the same time neither rationalizes the biopolitical state project nor makes the queer bodies governable.</w:t>
      </w:r>
      <w:r w:rsidRPr="008133B6">
        <w:rPr>
          <w:sz w:val="16"/>
        </w:rPr>
        <w:t xml:space="preserve"> In postcolonial contexts, </w:t>
      </w:r>
      <w:r w:rsidRPr="0021636B">
        <w:rPr>
          <w:rStyle w:val="StyleUnderline"/>
        </w:rPr>
        <w:t>the state is</w:t>
      </w:r>
      <w:r w:rsidRPr="008133B6">
        <w:rPr>
          <w:sz w:val="16"/>
        </w:rPr>
        <w:t xml:space="preserve"> like a pharmakon, namely, </w:t>
      </w:r>
      <w:r w:rsidRPr="00007AB8">
        <w:rPr>
          <w:rStyle w:val="StyleUnderline"/>
        </w:rPr>
        <w:t>both poison and medicine</w:t>
      </w:r>
      <w:r w:rsidRPr="008133B6">
        <w:rPr>
          <w:sz w:val="16"/>
        </w:rPr>
        <w:t xml:space="preserve">. </w:t>
      </w:r>
      <w:r w:rsidRPr="008133B6">
        <w:rPr>
          <w:rStyle w:val="StyleUnderline"/>
        </w:rPr>
        <w:t>Postcolonial queer politics must explore strategies of converting poison into counterpoison</w:t>
      </w:r>
      <w:r w:rsidRPr="008133B6">
        <w:rPr>
          <w:sz w:val="16"/>
        </w:rPr>
        <w:t xml:space="preserve"> (Spivak 2007: 71). Herein the ambivalent function of the state must be addressed. As Pharmakon, </w:t>
      </w:r>
      <w:r w:rsidRPr="00007AB8">
        <w:rPr>
          <w:rStyle w:val="StyleUnderline"/>
        </w:rPr>
        <w:t>the inherent condradictions must be engaged with: Violence and justice, ideology and emancipation, law and discipline</w:t>
      </w:r>
      <w:r w:rsidRPr="008133B6">
        <w:rPr>
          <w:sz w:val="16"/>
        </w:rPr>
        <w:t xml:space="preserve">. If, following Foucault, </w:t>
      </w:r>
      <w:r w:rsidRPr="008133B6">
        <w:rPr>
          <w:rStyle w:val="StyleUnderline"/>
        </w:rPr>
        <w:t>the state has no stable essence</w:t>
      </w:r>
      <w:r w:rsidRPr="008133B6">
        <w:rPr>
          <w:sz w:val="16"/>
        </w:rPr>
        <w:t xml:space="preserve">, then it is marked by undecidability or doubleness. </w:t>
      </w:r>
      <w:r w:rsidRPr="008133B6">
        <w:rPr>
          <w:rStyle w:val="StyleUnderline"/>
        </w:rPr>
        <w:t>The sole focus on the negative aspects</w:t>
      </w:r>
      <w:r w:rsidRPr="008133B6">
        <w:rPr>
          <w:sz w:val="16"/>
        </w:rPr>
        <w:t xml:space="preserve"> of the Pharmakon, namely the destructive and repressive traits, </w:t>
      </w:r>
      <w:r w:rsidRPr="00007AB8">
        <w:rPr>
          <w:rStyle w:val="StyleUnderline"/>
        </w:rPr>
        <w:t>neutralizes and ignores the enabling and empowering aspects</w:t>
      </w:r>
      <w:r w:rsidRPr="008133B6">
        <w:rPr>
          <w:sz w:val="16"/>
        </w:rPr>
        <w:t xml:space="preserve">. </w:t>
      </w:r>
      <w:r w:rsidRPr="00007AB8">
        <w:rPr>
          <w:rStyle w:val="StyleUnderline"/>
        </w:rPr>
        <w:t>Thus postcolonial-queer-feminist politics must transform poison into remedy and formulate critique of the state beyond state-phobia</w:t>
      </w:r>
      <w:r w:rsidRPr="008133B6">
        <w:rPr>
          <w:sz w:val="16"/>
        </w:rPr>
        <w:t>. A challenging task, but anything else would be too risky!</w:t>
      </w:r>
    </w:p>
    <w:p xmlns:wp14="http://schemas.microsoft.com/office/word/2010/wordml" w:rsidR="008263E8" w:rsidP="008263E8" w:rsidRDefault="008263E8" w14:paraId="77F20B9C" wp14:textId="77777777">
      <w:pPr>
        <w:pStyle w:val="Heading3"/>
      </w:pPr>
      <w:r>
        <w:lastRenderedPageBreak/>
        <w:t>Queer Theory Bad</w:t>
      </w:r>
    </w:p>
    <w:p xmlns:wp14="http://schemas.microsoft.com/office/word/2010/wordml" w:rsidRPr="001A1903" w:rsidR="008263E8" w:rsidP="008263E8" w:rsidRDefault="008263E8" w14:paraId="69B3E2E4" wp14:textId="77777777">
      <w:pPr>
        <w:pStyle w:val="Heading4"/>
      </w:pPr>
      <w:r w:rsidRPr="001A1903">
        <w:t>Queer theory focus</w:t>
      </w:r>
      <w:r>
        <w:t>es in the individual; this</w:t>
      </w:r>
      <w:r w:rsidRPr="001A1903">
        <w:t xml:space="preserve"> hinders community and makes it more difficult to effect change and identify with others.</w:t>
      </w:r>
    </w:p>
    <w:p xmlns:wp14="http://schemas.microsoft.com/office/word/2010/wordml" w:rsidRPr="0061731C" w:rsidR="008263E8" w:rsidP="008263E8" w:rsidRDefault="008263E8" w14:paraId="7DC4C52C" wp14:textId="77777777">
      <w:r w:rsidRPr="0061731C">
        <w:rPr>
          <w:rStyle w:val="Style13ptBold"/>
        </w:rPr>
        <w:t xml:space="preserve">Yep, Lovaas, and Elia 03 </w:t>
      </w:r>
      <w:r>
        <w:t>[</w:t>
      </w:r>
      <w:r w:rsidRPr="0061731C">
        <w:t>Professors @ San Francisco University, 2003. (Gust, Karen, and John, Journal of Homosexual Studies, Vol. 45, No. 2/3/4,, p. 45, JCE)</w:t>
      </w:r>
    </w:p>
    <w:p xmlns:wp14="http://schemas.microsoft.com/office/word/2010/wordml" w:rsidRPr="00B35885" w:rsidR="008263E8" w:rsidP="008263E8" w:rsidRDefault="008263E8" w14:paraId="7B2E3202" wp14:textId="77777777">
      <w:pPr>
        <w:pStyle w:val="card"/>
        <w:ind w:left="0"/>
        <w:rPr>
          <w:rFonts w:cs="Calibri"/>
          <w:sz w:val="16"/>
        </w:rPr>
      </w:pPr>
      <w:r w:rsidRPr="001A1903">
        <w:rPr>
          <w:rFonts w:cs="Calibri"/>
          <w:sz w:val="16"/>
        </w:rPr>
        <w:t xml:space="preserve">On the other hand, </w:t>
      </w:r>
      <w:r w:rsidRPr="001A1903">
        <w:rPr>
          <w:rStyle w:val="underline"/>
          <w:rFonts w:cs="Calibri"/>
        </w:rPr>
        <w:t>queer theorists are criticized for their neglect of community organizing, based on a shared identity, to promote social change</w:t>
      </w:r>
      <w:r w:rsidRPr="001A1903">
        <w:rPr>
          <w:rFonts w:cs="Calibri"/>
          <w:sz w:val="16"/>
        </w:rPr>
        <w:t xml:space="preserve">. Kirsch (2000), for example, argues that </w:t>
      </w:r>
      <w:r w:rsidRPr="001A1903">
        <w:rPr>
          <w:rStyle w:val="underline"/>
          <w:rFonts w:cs="Calibri"/>
        </w:rPr>
        <w:t>instead of focusing on specific areas of oppression and strategies to change them, queer theory focuses on the individual as a site of change</w:t>
      </w:r>
      <w:r w:rsidRPr="001A1903">
        <w:rPr>
          <w:rFonts w:cs="Calibri"/>
          <w:sz w:val="16"/>
        </w:rPr>
        <w:t xml:space="preserve">. </w:t>
      </w:r>
      <w:r w:rsidRPr="001A1903">
        <w:rPr>
          <w:rStyle w:val="underline"/>
          <w:rFonts w:cs="Calibri"/>
        </w:rPr>
        <w:t>Such a move insulates individuals and hinders community building. In other words, collective identities and power in numbers are politically effective. Collective identities require clear membership boundaries, that is, discrete in-group/out-group distinctions</w:t>
      </w:r>
      <w:r w:rsidRPr="001A1903">
        <w:rPr>
          <w:rFonts w:cs="Calibri"/>
          <w:sz w:val="16"/>
        </w:rPr>
        <w:t xml:space="preserve"> (Gamson, 1997). Kirsch (2000) cautions us that </w:t>
      </w:r>
      <w:r w:rsidRPr="001A1903">
        <w:rPr>
          <w:rStyle w:val="underline"/>
          <w:rFonts w:cs="Calibri"/>
        </w:rPr>
        <w:t>queer theory, with a focus on individual self-expression, might actually be harmful to people by making it more difficult to identify with others. Queer theory</w:t>
      </w:r>
      <w:r w:rsidRPr="001A1903">
        <w:rPr>
          <w:rFonts w:cs="Calibri"/>
          <w:sz w:val="16"/>
        </w:rPr>
        <w:t>, Kirsch vociferously argues, “</w:t>
      </w:r>
      <w:r w:rsidRPr="001A1903">
        <w:rPr>
          <w:rStyle w:val="underline"/>
          <w:rFonts w:cs="Calibri"/>
        </w:rPr>
        <w:t>needs to be refocused to take into account the realities of everyday life in a capitalist world system. This means an end to academic posturing, where obfuscation is more valued than strategies for recognition and community-building</w:t>
      </w:r>
      <w:r w:rsidRPr="001A1903">
        <w:rPr>
          <w:rFonts w:cs="Calibri"/>
          <w:sz w:val="16"/>
        </w:rPr>
        <w:t xml:space="preserve">” (2000, p. 123). </w:t>
      </w:r>
    </w:p>
    <w:p xmlns:wp14="http://schemas.microsoft.com/office/word/2010/wordml" w:rsidRPr="001A1903" w:rsidR="008263E8" w:rsidP="008263E8" w:rsidRDefault="008263E8" w14:paraId="5644AE5F" wp14:textId="77777777">
      <w:pPr>
        <w:pStyle w:val="Heading4"/>
        <w:rPr>
          <w:rFonts w:cs="Calibri"/>
        </w:rPr>
      </w:pPr>
      <w:r w:rsidRPr="001A1903">
        <w:rPr>
          <w:rFonts w:cs="Calibri"/>
        </w:rPr>
        <w:t xml:space="preserve">Queer politics push gender and sexuality to the point of obscuring race altogether – the </w:t>
      </w:r>
      <w:r>
        <w:rPr>
          <w:rFonts w:cs="Calibri"/>
        </w:rPr>
        <w:t>division of queer identities,</w:t>
      </w:r>
      <w:r w:rsidRPr="001A1903">
        <w:rPr>
          <w:rFonts w:cs="Calibri"/>
        </w:rPr>
        <w:t xml:space="preserve"> </w:t>
      </w:r>
      <w:r>
        <w:rPr>
          <w:rFonts w:cs="Calibri"/>
        </w:rPr>
        <w:t xml:space="preserve">and </w:t>
      </w:r>
      <w:r w:rsidRPr="001A1903">
        <w:rPr>
          <w:rFonts w:cs="Calibri"/>
        </w:rPr>
        <w:t>even the use of queer as a label</w:t>
      </w:r>
      <w:r>
        <w:rPr>
          <w:rFonts w:cs="Calibri"/>
        </w:rPr>
        <w:t>,</w:t>
      </w:r>
      <w:r w:rsidRPr="001A1903">
        <w:rPr>
          <w:rFonts w:cs="Calibri"/>
        </w:rPr>
        <w:t xml:space="preserve"> espouse more inclusive holistic understanding</w:t>
      </w:r>
      <w:r>
        <w:rPr>
          <w:rFonts w:cs="Calibri"/>
        </w:rPr>
        <w:t>s</w:t>
      </w:r>
      <w:r w:rsidRPr="001A1903">
        <w:rPr>
          <w:rFonts w:cs="Calibri"/>
        </w:rPr>
        <w:t xml:space="preserve"> of gender coming from culture. </w:t>
      </w:r>
    </w:p>
    <w:p xmlns:wp14="http://schemas.microsoft.com/office/word/2010/wordml" w:rsidRPr="00007AB8" w:rsidR="008263E8" w:rsidP="008263E8" w:rsidRDefault="008263E8" w14:paraId="3457126F" wp14:textId="77777777">
      <w:r w:rsidRPr="00007AB8">
        <w:rPr>
          <w:rStyle w:val="Style13ptBold"/>
        </w:rPr>
        <w:t>Roen 1</w:t>
      </w:r>
      <w:r w:rsidRPr="00007AB8">
        <w:t xml:space="preserve"> [Katrina, Associate Professor of Psychology at Oslo University, “Transgender Theory and Embodiment: the risk of racial marginalization”, Journal of Gender Studies, Vol. 10, No. 3, pg 257-258)JNF</w:t>
      </w:r>
    </w:p>
    <w:p xmlns:wp14="http://schemas.microsoft.com/office/word/2010/wordml" w:rsidRPr="00B35885" w:rsidR="008263E8" w:rsidP="008263E8" w:rsidRDefault="008263E8" w14:paraId="2AF95D09" wp14:textId="77777777">
      <w:pPr>
        <w:pStyle w:val="card"/>
        <w:ind w:left="0"/>
        <w:jc w:val="both"/>
        <w:rPr>
          <w:rFonts w:cs="Calibri"/>
          <w:b/>
          <w:u w:val="single"/>
        </w:rPr>
      </w:pPr>
      <w:r w:rsidRPr="001A1903">
        <w:rPr>
          <w:rStyle w:val="underline"/>
          <w:rFonts w:cs="Calibri"/>
        </w:rPr>
        <w:t>Don provides an example of reclaiming a traditional sexuality/gender subject position which is very distinct from, but in some respects resembles, transgenderism.</w:t>
      </w:r>
      <w:r w:rsidRPr="001A1903">
        <w:rPr>
          <w:rFonts w:cs="Calibri"/>
        </w:rPr>
        <w:t xml:space="preserve"> </w:t>
      </w:r>
      <w:r w:rsidRPr="001A1903">
        <w:rPr>
          <w:rFonts w:cs="Calibri"/>
          <w:sz w:val="16"/>
          <w:szCs w:val="16"/>
        </w:rPr>
        <w:t>He talks about the importance of fa'afafine in Samoan culture, and how his own sense of self-esteem relates to being fa'afafine. To begin with</w:t>
      </w:r>
      <w:r w:rsidRPr="001A1903">
        <w:rPr>
          <w:rStyle w:val="underline"/>
          <w:rFonts w:cs="Calibri"/>
          <w:sz w:val="16"/>
          <w:szCs w:val="16"/>
        </w:rPr>
        <w:t>, he</w:t>
      </w:r>
      <w:r w:rsidRPr="001A1903">
        <w:rPr>
          <w:rFonts w:cs="Calibri"/>
          <w:sz w:val="16"/>
          <w:szCs w:val="16"/>
        </w:rPr>
        <w:t xml:space="preserve"> describes the relationship between his Samoan and fa'afafine</w:t>
      </w:r>
      <w:r w:rsidRPr="001A1903">
        <w:rPr>
          <w:rFonts w:cs="Calibri"/>
        </w:rPr>
        <w:t xml:space="preserve"> </w:t>
      </w:r>
      <w:r w:rsidRPr="001A1903">
        <w:rPr>
          <w:rStyle w:val="underline"/>
          <w:rFonts w:cs="Calibri"/>
        </w:rPr>
        <w:t>identities by saying: 'for me culture is always first and then sexuality', and 'any interaction I have with anybody, the two things I want them to find out about me is the fact that I'm Samoan first and foremost and ... [secondly] that I'm fa'afafine'</w:t>
      </w:r>
      <w:r w:rsidRPr="001A1903">
        <w:rPr>
          <w:rFonts w:cs="Calibri"/>
        </w:rPr>
        <w:t xml:space="preserve">. In stating his priorities thus, </w:t>
      </w:r>
      <w:r w:rsidRPr="001A1903">
        <w:rPr>
          <w:rStyle w:val="underline"/>
          <w:rFonts w:cs="Calibri"/>
        </w:rPr>
        <w:t>Don sets himself in sharp relief to queer and transgender stances which often highlight gender and sexuality to the point of obscuring race altogether.</w:t>
      </w:r>
      <w:r w:rsidRPr="001A1903">
        <w:rPr>
          <w:rFonts w:cs="Calibri"/>
        </w:rPr>
        <w:t xml:space="preserve"> </w:t>
      </w:r>
      <w:r w:rsidRPr="001A1903">
        <w:rPr>
          <w:rFonts w:cs="Calibri"/>
          <w:sz w:val="16"/>
          <w:szCs w:val="16"/>
        </w:rPr>
        <w:t>Elaborating on this contrast Don describes how, to him, fa'afafine simply 'means like a woman', whereas: All the Palagi [4] [English] terms: gay, faggot, queer ... [they're] awful ... [Those terms] actually tell you how that society views that person. My culture just views it 'like a woman'. And it's like a special woman. It's a knowledgeable woman but recognised [as] ... anatomically male. (Don, interviewed: May, 1996) He describes being taught from an early age that to be fa'afafine was to be valued and respected, despite shifting to New Zealand as a child and having to learn that fa'afafine were far less tolerated there. I was never put down or anything ... I grew up with this really arrogant opinion of myself: for some reason the world is rather special with me in it! Being fa'afafine was really special. Jesus, when I came to New Zealand that was soon cut out! ... I remember my mother saying: 'You mustn't walk like that, Don'; I said: 'Why not?' [and she replied:] 'Well, they don't do that in New Zealand'. ... That's something I never ever accepted. (Don, interviewed: May, 1996)</w:t>
      </w:r>
      <w:r w:rsidRPr="001A1903">
        <w:rPr>
          <w:rFonts w:cs="Calibri"/>
        </w:rPr>
        <w:t xml:space="preserve"> </w:t>
      </w:r>
      <w:r w:rsidRPr="001A1903">
        <w:rPr>
          <w:rStyle w:val="underline"/>
          <w:rFonts w:cs="Calibri"/>
        </w:rPr>
        <w:t>For Don, cultural identity precedes gender/sexuality identity in political importance, but the two are intrinsically linked: one does not make sense without the other.</w:t>
      </w:r>
      <w:r w:rsidRPr="001A1903">
        <w:rPr>
          <w:rFonts w:cs="Calibri"/>
        </w:rPr>
        <w:t xml:space="preserve"> </w:t>
      </w:r>
      <w:r w:rsidRPr="001A1903">
        <w:rPr>
          <w:rFonts w:cs="Calibri"/>
          <w:sz w:val="16"/>
          <w:szCs w:val="16"/>
        </w:rPr>
        <w:t>Although he plays an active role in his local gaylesbitrans support networks,</w:t>
      </w:r>
      <w:r w:rsidRPr="001A1903">
        <w:rPr>
          <w:rFonts w:cs="Calibri"/>
        </w:rPr>
        <w:t xml:space="preserve"> </w:t>
      </w:r>
      <w:r w:rsidRPr="001A1903">
        <w:rPr>
          <w:rStyle w:val="underline"/>
          <w:rFonts w:cs="Calibri"/>
        </w:rPr>
        <w:t xml:space="preserve">he is highly sceptical about the Palagi system of </w:t>
      </w:r>
      <w:r w:rsidRPr="001A1903">
        <w:rPr>
          <w:rStyle w:val="underline"/>
          <w:rFonts w:cs="Calibri"/>
        </w:rPr>
        <w:lastRenderedPageBreak/>
        <w:t xml:space="preserve">dividing and labeling sexualities and genders, preferring to espouse a more holistic approach. </w:t>
      </w:r>
      <w:r w:rsidRPr="001A1903">
        <w:rPr>
          <w:rFonts w:cs="Calibri"/>
        </w:rPr>
        <w:t xml:space="preserve">He is </w:t>
      </w:r>
      <w:r w:rsidRPr="001A1903">
        <w:rPr>
          <w:rFonts w:cs="Calibri"/>
          <w:b/>
          <w:u w:val="single"/>
        </w:rPr>
        <w:t>also critical of</w:t>
      </w:r>
      <w:r w:rsidRPr="001A1903">
        <w:rPr>
          <w:rFonts w:cs="Calibri"/>
        </w:rPr>
        <w:t xml:space="preserve"> Palagi </w:t>
      </w:r>
      <w:r w:rsidRPr="001A1903">
        <w:rPr>
          <w:rFonts w:cs="Calibri"/>
          <w:b/>
          <w:u w:val="single"/>
        </w:rPr>
        <w:t>attempts to reclaim words such as queer</w:t>
      </w:r>
      <w:r w:rsidRPr="001A1903">
        <w:rPr>
          <w:rFonts w:cs="Calibri"/>
        </w:rPr>
        <w:t xml:space="preserve">, suggesting that </w:t>
      </w:r>
      <w:r w:rsidRPr="001A1903">
        <w:rPr>
          <w:rFonts w:cs="Calibri"/>
          <w:b/>
          <w:u w:val="single"/>
        </w:rPr>
        <w:t>this only reflects</w:t>
      </w:r>
      <w:r w:rsidRPr="001A1903">
        <w:rPr>
          <w:rFonts w:cs="Calibri"/>
        </w:rPr>
        <w:t xml:space="preserve"> Palagi </w:t>
      </w:r>
      <w:r w:rsidRPr="001A1903">
        <w:rPr>
          <w:rFonts w:cs="Calibri"/>
          <w:b/>
          <w:u w:val="single"/>
        </w:rPr>
        <w:t>cultures' intolerant attitudes towards sexuality and gender variance</w:t>
      </w:r>
      <w:r w:rsidRPr="001A1903">
        <w:rPr>
          <w:rFonts w:cs="Calibri"/>
        </w:rPr>
        <w:t xml:space="preserve">. </w:t>
      </w:r>
      <w:r w:rsidRPr="001A1903">
        <w:rPr>
          <w:rStyle w:val="underline"/>
          <w:rFonts w:cs="Calibri"/>
        </w:rPr>
        <w:t>Don points out that the division-by-labels of sexuality and gender categories makes it hard to talk about concepts of fa'afafine and holism, for the language assumes categories which obscure the importance of the inclusivity of fa'afafine</w:t>
      </w:r>
      <w:r w:rsidRPr="001A1903">
        <w:rPr>
          <w:rFonts w:cs="Calibri"/>
        </w:rPr>
        <w:t xml:space="preserve">. </w:t>
      </w:r>
      <w:r w:rsidRPr="001A1903">
        <w:rPr>
          <w:rFonts w:cs="Calibri"/>
          <w:sz w:val="16"/>
          <w:szCs w:val="16"/>
        </w:rPr>
        <w:t>For Don, being fa'afafine does not imply dissatisfaction with sexed embodiment nor does it make specifications about partner-gender</w:t>
      </w:r>
      <w:r w:rsidRPr="001A1903">
        <w:rPr>
          <w:rStyle w:val="underline"/>
          <w:rFonts w:cs="Calibri"/>
        </w:rPr>
        <w:t>: fa'afafine is constructed across sexuality and gender.</w:t>
      </w:r>
      <w:r w:rsidRPr="001A1903">
        <w:rPr>
          <w:rFonts w:cs="Calibri"/>
        </w:rPr>
        <w:t xml:space="preserve"> </w:t>
      </w:r>
      <w:r w:rsidRPr="001A1903">
        <w:rPr>
          <w:rFonts w:cs="Calibri"/>
          <w:sz w:val="16"/>
          <w:szCs w:val="16"/>
        </w:rPr>
        <w:t>However</w:t>
      </w:r>
      <w:r w:rsidRPr="001A1903">
        <w:rPr>
          <w:rFonts w:cs="Calibri"/>
          <w:b/>
          <w:sz w:val="16"/>
          <w:szCs w:val="16"/>
        </w:rPr>
        <w:t xml:space="preserve">, </w:t>
      </w:r>
      <w:r w:rsidRPr="001A1903">
        <w:rPr>
          <w:rStyle w:val="underline"/>
          <w:rFonts w:cs="Calibri"/>
          <w:sz w:val="16"/>
          <w:szCs w:val="16"/>
        </w:rPr>
        <w:t>he echoes</w:t>
      </w:r>
      <w:r w:rsidRPr="001A1903">
        <w:rPr>
          <w:rFonts w:cs="Calibri"/>
          <w:sz w:val="16"/>
          <w:szCs w:val="16"/>
        </w:rPr>
        <w:t xml:space="preserve"> his elders in expressing </w:t>
      </w:r>
      <w:r w:rsidRPr="001A1903">
        <w:rPr>
          <w:rStyle w:val="underline"/>
          <w:rFonts w:cs="Calibri"/>
          <w:sz w:val="16"/>
          <w:szCs w:val="16"/>
        </w:rPr>
        <w:t>concern about younger fa'afafine being attracted by the glamour</w:t>
      </w:r>
      <w:r w:rsidRPr="001A1903">
        <w:rPr>
          <w:rFonts w:cs="Calibri"/>
          <w:sz w:val="16"/>
          <w:szCs w:val="16"/>
        </w:rPr>
        <w:t xml:space="preserve"> and lifestyle </w:t>
      </w:r>
      <w:r w:rsidRPr="001A1903">
        <w:rPr>
          <w:rStyle w:val="underline"/>
          <w:rFonts w:cs="Calibri"/>
          <w:sz w:val="16"/>
          <w:szCs w:val="16"/>
        </w:rPr>
        <w:t>of cities</w:t>
      </w:r>
      <w:r w:rsidRPr="001A1903">
        <w:rPr>
          <w:rFonts w:cs="Calibri"/>
          <w:b/>
          <w:sz w:val="16"/>
          <w:szCs w:val="16"/>
        </w:rPr>
        <w:t xml:space="preserve"> </w:t>
      </w:r>
      <w:r w:rsidRPr="001A1903">
        <w:rPr>
          <w:rStyle w:val="underline"/>
          <w:rFonts w:cs="Calibri"/>
          <w:sz w:val="16"/>
          <w:szCs w:val="16"/>
        </w:rPr>
        <w:t xml:space="preserve">where they come to think   of themselves more in terms of western transvestite </w:t>
      </w:r>
      <w:r w:rsidRPr="001A1903">
        <w:rPr>
          <w:rFonts w:cs="Calibri"/>
          <w:sz w:val="16"/>
          <w:szCs w:val="16"/>
        </w:rPr>
        <w:t xml:space="preserve">and transsexual </w:t>
      </w:r>
      <w:r w:rsidRPr="001A1903">
        <w:rPr>
          <w:rStyle w:val="underline"/>
          <w:rFonts w:cs="Calibri"/>
          <w:sz w:val="16"/>
          <w:szCs w:val="16"/>
        </w:rPr>
        <w:t>identities, rather than according to</w:t>
      </w:r>
      <w:r w:rsidRPr="001A1903">
        <w:rPr>
          <w:rFonts w:cs="Calibri"/>
          <w:sz w:val="16"/>
          <w:szCs w:val="16"/>
        </w:rPr>
        <w:t xml:space="preserve"> traditional </w:t>
      </w:r>
      <w:r w:rsidRPr="001A1903">
        <w:rPr>
          <w:rStyle w:val="underline"/>
          <w:rFonts w:cs="Calibri"/>
          <w:sz w:val="16"/>
          <w:szCs w:val="16"/>
        </w:rPr>
        <w:t xml:space="preserve">understandings of fa'afafine Some </w:t>
      </w:r>
      <w:r w:rsidRPr="001A1903">
        <w:rPr>
          <w:rFonts w:cs="Calibri"/>
          <w:sz w:val="16"/>
          <w:szCs w:val="16"/>
        </w:rPr>
        <w:t xml:space="preserve">of these young fa'afafine </w:t>
      </w:r>
      <w:r w:rsidRPr="001A1903">
        <w:rPr>
          <w:rStyle w:val="underline"/>
          <w:rFonts w:cs="Calibri"/>
          <w:sz w:val="16"/>
          <w:szCs w:val="16"/>
        </w:rPr>
        <w:t>opt for sex reassignment surgery.</w:t>
      </w:r>
      <w:r w:rsidRPr="001A1903">
        <w:rPr>
          <w:rFonts w:cs="Calibri"/>
          <w:b/>
          <w:sz w:val="16"/>
          <w:szCs w:val="16"/>
        </w:rPr>
        <w:t xml:space="preserve"> </w:t>
      </w:r>
      <w:r w:rsidRPr="001A1903">
        <w:rPr>
          <w:rFonts w:cs="Calibri"/>
          <w:sz w:val="16"/>
          <w:szCs w:val="16"/>
        </w:rPr>
        <w:t xml:space="preserve">Don hastens to add that he is not simply opposed to sex reassignment surgery: he has some older fa'afafine friends who have waited years, ensuring that they are making the right decision, before going ahead with surgery. Nevertheless, he is concerned about the general westernization and subsequent degra¬dation of fa'afafine identities, saying: 'I know of some of the traditional fa'afafines and each time I've gone back to Samoa it's always been the case "Oh gosh, we're being reduced to a ... cock in a frock" '. Don's willingness to accept that some of his fa'afafine friends seek sex reassignment surgery, accompanied by his concern for younger fa'afafine who are completely seduced by Palagi understandings of sexuality and gender, remind me of Besnier's comment: `Further discussion of gender liminality in Polynesia cannot take place without locating the category in a specific historical context and must address its relationship to modernization and change' (1994, p. 328). To </w:t>
      </w:r>
      <w:r w:rsidRPr="001A1903">
        <w:rPr>
          <w:rStyle w:val="underline"/>
          <w:rFonts w:cs="Calibri"/>
          <w:sz w:val="16"/>
          <w:szCs w:val="16"/>
        </w:rPr>
        <w:t xml:space="preserve">this I add that </w:t>
      </w:r>
      <w:r w:rsidRPr="001A1903">
        <w:rPr>
          <w:rStyle w:val="underline"/>
          <w:rFonts w:cs="Calibri"/>
        </w:rPr>
        <w:t xml:space="preserve">discussion of transgenderism would benefit from further consideration of the effects of westernisation on gender liminality: not for the sake of a simplistic reclaiming of a 'third gender' </w:t>
      </w:r>
      <w:r w:rsidRPr="001A1903">
        <w:rPr>
          <w:rFonts w:cs="Calibri"/>
        </w:rPr>
        <w:t xml:space="preserve">[5] </w:t>
      </w:r>
      <w:r w:rsidRPr="001A1903">
        <w:rPr>
          <w:rStyle w:val="underline"/>
          <w:rFonts w:cs="Calibri"/>
        </w:rPr>
        <w:t xml:space="preserve">status, but for the sake of contextualising transgender theorising with respect to cross-cultural under-standings of gender as those understandings change over time. </w:t>
      </w:r>
    </w:p>
    <w:p xmlns:wp14="http://schemas.microsoft.com/office/word/2010/wordml" w:rsidR="008263E8" w:rsidP="008263E8" w:rsidRDefault="008263E8" w14:paraId="31F5E105" wp14:textId="77777777">
      <w:pPr>
        <w:pStyle w:val="Heading3"/>
      </w:pPr>
      <w:r>
        <w:lastRenderedPageBreak/>
        <w:t>Queering Kinship DA</w:t>
      </w:r>
    </w:p>
    <w:p xmlns:wp14="http://schemas.microsoft.com/office/word/2010/wordml" w:rsidRPr="00EB672A" w:rsidR="008263E8" w:rsidP="008263E8" w:rsidRDefault="008263E8" w14:paraId="3F7F0A5B" wp14:textId="77777777">
      <w:pPr>
        <w:pStyle w:val="Heading4"/>
      </w:pPr>
      <w:r w:rsidRPr="00EB672A">
        <w:t>The 1ac reproduces the family-as-contract discourse it claims to oppose in its assertion that “queer kinships are just different.” The contractualism that undergirds their affirmation of queer family invokes the reenactment of conventional gender and familial roles, turning the aff.</w:t>
      </w:r>
    </w:p>
    <w:p xmlns:wp14="http://schemas.microsoft.com/office/word/2010/wordml" w:rsidRPr="00EB672A" w:rsidR="008263E8" w:rsidP="008263E8" w:rsidRDefault="008263E8" w14:paraId="55A3637B" wp14:textId="77777777">
      <w:r w:rsidRPr="00EB672A">
        <w:rPr>
          <w:rStyle w:val="Style13ptBold"/>
        </w:rPr>
        <w:t>Mitropoulos 12</w:t>
      </w:r>
      <w:r w:rsidRPr="00EB672A">
        <w:t xml:space="preserve"> – Angela, Contract and Contagion: From Biopolitics to Oikonomia, Minor Compositions Open Access, 2012</w:t>
      </w:r>
    </w:p>
    <w:p xmlns:wp14="http://schemas.microsoft.com/office/word/2010/wordml" w:rsidR="008263E8" w:rsidP="008263E8" w:rsidRDefault="008263E8" w14:paraId="47AA1199" wp14:textId="77777777">
      <w:pPr>
        <w:pStyle w:val="NormalWeb"/>
        <w:spacing w:before="0" w:beforeAutospacing="0" w:after="160" w:afterAutospacing="0"/>
      </w:pPr>
      <w:r>
        <w:rPr>
          <w:rFonts w:ascii="Arial" w:hAnsi="Arial" w:cs="Arial"/>
          <w:b/>
          <w:bCs/>
          <w:color w:val="000000"/>
          <w:sz w:val="22"/>
          <w:szCs w:val="22"/>
          <w:u w:val="single"/>
        </w:rPr>
        <w:t xml:space="preserve">REPRODUCING VALUE Sue-Ellen Case astutely remarked that “[q]ueer sexual practice ... impels one out of the generational production of what has been called ‘life’ and history.”54 But this does not necessarily mean that </w:t>
      </w:r>
      <w:r>
        <w:rPr>
          <w:rFonts w:ascii="Arial" w:hAnsi="Arial" w:cs="Arial"/>
          <w:b/>
          <w:bCs/>
          <w:color w:val="000000"/>
          <w:sz w:val="22"/>
          <w:szCs w:val="22"/>
          <w:u w:val="single"/>
          <w:shd w:val="clear" w:color="auto" w:fill="00FF00"/>
        </w:rPr>
        <w:t>there are</w:t>
      </w:r>
      <w:r>
        <w:rPr>
          <w:rFonts w:ascii="Arial" w:hAnsi="Arial" w:cs="Arial"/>
          <w:b/>
          <w:bCs/>
          <w:color w:val="000000"/>
          <w:sz w:val="22"/>
          <w:szCs w:val="22"/>
          <w:u w:val="single"/>
        </w:rPr>
        <w:t xml:space="preserve"> not </w:t>
      </w:r>
      <w:r>
        <w:rPr>
          <w:rFonts w:ascii="Arial" w:hAnsi="Arial" w:cs="Arial"/>
          <w:b/>
          <w:bCs/>
          <w:color w:val="000000"/>
          <w:sz w:val="22"/>
          <w:szCs w:val="22"/>
          <w:u w:val="single"/>
          <w:shd w:val="clear" w:color="auto" w:fill="00FF00"/>
        </w:rPr>
        <w:t>significant instances where the reach for identity assumes genealogical forms</w:t>
      </w:r>
      <w:r>
        <w:rPr>
          <w:rFonts w:ascii="Arial" w:hAnsi="Arial" w:cs="Arial"/>
          <w:color w:val="000000"/>
          <w:sz w:val="22"/>
          <w:szCs w:val="22"/>
        </w:rPr>
        <w:t xml:space="preserve">. </w:t>
      </w:r>
      <w:r>
        <w:rPr>
          <w:rFonts w:ascii="Arial" w:hAnsi="Arial" w:cs="Arial"/>
          <w:b/>
          <w:bCs/>
          <w:color w:val="000000"/>
          <w:sz w:val="22"/>
          <w:szCs w:val="22"/>
          <w:u w:val="single"/>
        </w:rPr>
        <w:t xml:space="preserve">As I argue in the subsequent chapter, </w:t>
      </w:r>
      <w:r>
        <w:rPr>
          <w:rFonts w:ascii="Arial" w:hAnsi="Arial" w:cs="Arial"/>
          <w:b/>
          <w:bCs/>
          <w:color w:val="000000"/>
          <w:sz w:val="22"/>
          <w:szCs w:val="22"/>
          <w:u w:val="single"/>
          <w:shd w:val="clear" w:color="auto" w:fill="00FF00"/>
        </w:rPr>
        <w:t xml:space="preserve">neoliberalism has entailed a greater emphasis on </w:t>
      </w:r>
      <w:r>
        <w:rPr>
          <w:rFonts w:ascii="Arial" w:hAnsi="Arial" w:cs="Arial"/>
          <w:b/>
          <w:bCs/>
          <w:color w:val="000000"/>
          <w:sz w:val="22"/>
          <w:szCs w:val="22"/>
          <w:u w:val="single"/>
        </w:rPr>
        <w:t xml:space="preserve">marriage and </w:t>
      </w:r>
      <w:r>
        <w:rPr>
          <w:rFonts w:ascii="Arial" w:hAnsi="Arial" w:cs="Arial"/>
          <w:b/>
          <w:bCs/>
          <w:color w:val="000000"/>
          <w:sz w:val="22"/>
          <w:szCs w:val="22"/>
          <w:u w:val="single"/>
          <w:shd w:val="clear" w:color="auto" w:fill="00FF00"/>
        </w:rPr>
        <w:t>familial attachments</w:t>
      </w:r>
      <w:r>
        <w:rPr>
          <w:rFonts w:ascii="Arial" w:hAnsi="Arial" w:cs="Arial"/>
          <w:color w:val="000000"/>
          <w:sz w:val="22"/>
          <w:szCs w:val="22"/>
          <w:shd w:val="clear" w:color="auto" w:fill="00FF00"/>
        </w:rPr>
        <w:t>.</w:t>
      </w:r>
      <w:r>
        <w:rPr>
          <w:rFonts w:ascii="Arial" w:hAnsi="Arial" w:cs="Arial"/>
          <w:color w:val="000000"/>
          <w:sz w:val="22"/>
          <w:szCs w:val="22"/>
        </w:rPr>
        <w:t xml:space="preserve"> </w:t>
      </w:r>
      <w:r>
        <w:rPr>
          <w:rFonts w:ascii="Arial" w:hAnsi="Arial" w:cs="Arial"/>
          <w:b/>
          <w:bCs/>
          <w:color w:val="000000"/>
          <w:sz w:val="22"/>
          <w:szCs w:val="22"/>
          <w:u w:val="single"/>
        </w:rPr>
        <w:t xml:space="preserve">Yet while this points, as I suggest, to the shaky foundations of the oikonomic, it is nevertheless also </w:t>
      </w:r>
      <w:r>
        <w:rPr>
          <w:rFonts w:ascii="Arial" w:hAnsi="Arial" w:cs="Arial"/>
          <w:b/>
          <w:bCs/>
          <w:color w:val="000000"/>
          <w:sz w:val="22"/>
          <w:szCs w:val="22"/>
          <w:u w:val="single"/>
          <w:shd w:val="clear" w:color="auto" w:fill="00FF00"/>
        </w:rPr>
        <w:t>the case that the genealogical re-appears in its modified forms</w:t>
      </w:r>
      <w:r>
        <w:rPr>
          <w:rFonts w:ascii="Arial" w:hAnsi="Arial" w:cs="Arial"/>
          <w:color w:val="000000"/>
          <w:sz w:val="22"/>
          <w:szCs w:val="22"/>
        </w:rPr>
        <w:t xml:space="preserve">. </w:t>
      </w:r>
      <w:r>
        <w:rPr>
          <w:rFonts w:ascii="Arial" w:hAnsi="Arial" w:cs="Arial"/>
          <w:b/>
          <w:bCs/>
          <w:color w:val="000000"/>
          <w:sz w:val="22"/>
          <w:szCs w:val="22"/>
          <w:u w:val="single"/>
        </w:rPr>
        <w:t xml:space="preserve">Along with the predominance of a re-/productive politics in mainstream gay and lesbian movements, </w:t>
      </w:r>
      <w:r>
        <w:rPr>
          <w:rFonts w:ascii="Arial" w:hAnsi="Arial" w:cs="Arial"/>
          <w:b/>
          <w:bCs/>
          <w:color w:val="000000"/>
          <w:sz w:val="22"/>
          <w:szCs w:val="22"/>
          <w:u w:val="single"/>
          <w:shd w:val="clear" w:color="auto" w:fill="00FF00"/>
        </w:rPr>
        <w:t>the reassertion of the familial re-occurs in the most performative and risky arrangements of economic subsistence, play and attachment</w:t>
      </w:r>
      <w:r>
        <w:rPr>
          <w:rFonts w:ascii="Arial" w:hAnsi="Arial" w:cs="Arial"/>
          <w:color w:val="000000"/>
          <w:sz w:val="22"/>
          <w:szCs w:val="22"/>
        </w:rPr>
        <w:t xml:space="preserve">. </w:t>
      </w:r>
      <w:r>
        <w:rPr>
          <w:rFonts w:ascii="Arial" w:hAnsi="Arial" w:cs="Arial"/>
          <w:b/>
          <w:bCs/>
          <w:color w:val="000000"/>
          <w:sz w:val="22"/>
          <w:szCs w:val="22"/>
          <w:u w:val="single"/>
          <w:shd w:val="clear" w:color="auto" w:fill="00FF00"/>
        </w:rPr>
        <w:t>While Butler has suggested that</w:t>
      </w:r>
      <w:r>
        <w:rPr>
          <w:rFonts w:ascii="Arial" w:hAnsi="Arial" w:cs="Arial"/>
          <w:b/>
          <w:bCs/>
          <w:color w:val="000000"/>
          <w:sz w:val="22"/>
          <w:szCs w:val="22"/>
          <w:u w:val="single"/>
        </w:rPr>
        <w:t xml:space="preserve">, in the case of </w:t>
      </w:r>
      <w:r>
        <w:rPr>
          <w:rFonts w:ascii="Arial" w:hAnsi="Arial" w:cs="Arial"/>
          <w:b/>
          <w:bCs/>
          <w:color w:val="000000"/>
          <w:sz w:val="22"/>
          <w:szCs w:val="22"/>
          <w:u w:val="single"/>
          <w:shd w:val="clear" w:color="auto" w:fill="00FF00"/>
        </w:rPr>
        <w:t>the forms of relation depicted in</w:t>
      </w:r>
      <w:r>
        <w:rPr>
          <w:rFonts w:ascii="Arial" w:hAnsi="Arial" w:cs="Arial"/>
          <w:b/>
          <w:bCs/>
          <w:color w:val="000000"/>
          <w:sz w:val="22"/>
          <w:szCs w:val="22"/>
          <w:u w:val="single"/>
        </w:rPr>
        <w:t xml:space="preserve"> the film </w:t>
      </w:r>
      <w:r>
        <w:rPr>
          <w:rFonts w:ascii="Arial" w:hAnsi="Arial" w:cs="Arial"/>
          <w:b/>
          <w:bCs/>
          <w:color w:val="000000"/>
          <w:sz w:val="22"/>
          <w:szCs w:val="22"/>
          <w:u w:val="single"/>
          <w:shd w:val="clear" w:color="auto" w:fill="00FF00"/>
        </w:rPr>
        <w:t>Paris is Burning,</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00FF00"/>
        </w:rPr>
        <w:t>the “rearticulation of kinship”</w:t>
      </w:r>
      <w:r>
        <w:rPr>
          <w:rFonts w:ascii="Arial" w:hAnsi="Arial" w:cs="Arial"/>
          <w:b/>
          <w:bCs/>
          <w:color w:val="000000"/>
          <w:sz w:val="22"/>
          <w:szCs w:val="22"/>
          <w:u w:val="single"/>
        </w:rPr>
        <w:t xml:space="preserve"> might be grasped as the “repetitions of hegemonic forms of power that fail to repeat loyally and, in that failure, </w:t>
      </w:r>
      <w:r>
        <w:rPr>
          <w:rFonts w:ascii="Arial" w:hAnsi="Arial" w:cs="Arial"/>
          <w:b/>
          <w:bCs/>
          <w:color w:val="000000"/>
          <w:sz w:val="22"/>
          <w:szCs w:val="22"/>
          <w:u w:val="single"/>
          <w:shd w:val="clear" w:color="auto" w:fill="00FF00"/>
        </w:rPr>
        <w:t>open possibilities for resignifying the terms of violation against their violating aims</w:t>
      </w:r>
      <w:r>
        <w:rPr>
          <w:rFonts w:ascii="Arial" w:hAnsi="Arial" w:cs="Arial"/>
          <w:b/>
          <w:bCs/>
          <w:color w:val="000000"/>
          <w:sz w:val="22"/>
          <w:szCs w:val="22"/>
          <w:u w:val="single"/>
        </w:rPr>
        <w:t xml:space="preserve">,” it can also overwhelm “the more fragile effort to build an alternative cultural configuration from or against the more powerful regime.”55 </w:t>
      </w:r>
      <w:r>
        <w:rPr>
          <w:rFonts w:ascii="Arial" w:hAnsi="Arial" w:cs="Arial"/>
          <w:color w:val="000000"/>
          <w:sz w:val="22"/>
          <w:szCs w:val="22"/>
        </w:rPr>
        <w:t>Yet while it is in some senses the case that Paris Is Burning depicts “neither an efficacious insurrection nor a painful resubordination, but an unstable coexistence of both,” demonstrating “the painful pleasures of eroticizing and miming the very norms that wield power,”56</w:t>
      </w:r>
      <w:r>
        <w:rPr>
          <w:rFonts w:ascii="Arial" w:hAnsi="Arial" w:cs="Arial"/>
          <w:b/>
          <w:bCs/>
          <w:color w:val="000000"/>
          <w:sz w:val="22"/>
          <w:szCs w:val="22"/>
          <w:u w:val="single"/>
        </w:rPr>
        <w:t xml:space="preserve"> I would add that </w:t>
      </w:r>
      <w:r>
        <w:rPr>
          <w:rFonts w:ascii="Arial" w:hAnsi="Arial" w:cs="Arial"/>
          <w:b/>
          <w:bCs/>
          <w:color w:val="000000"/>
          <w:sz w:val="22"/>
          <w:szCs w:val="22"/>
          <w:u w:val="single"/>
          <w:shd w:val="clear" w:color="auto" w:fill="00FF00"/>
        </w:rPr>
        <w:t>the ways in which drag performances are organised through houses implies something more than the symbolic presentation of genealogical kinship, class mobility and conventional aspiration</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00FF00"/>
        </w:rPr>
        <w:t>In the ball house culture of drag families</w:t>
      </w:r>
      <w:r>
        <w:rPr>
          <w:rFonts w:ascii="Arial" w:hAnsi="Arial" w:cs="Arial"/>
          <w:b/>
          <w:bCs/>
          <w:color w:val="000000"/>
          <w:sz w:val="22"/>
          <w:szCs w:val="22"/>
          <w:u w:val="single"/>
        </w:rPr>
        <w:t xml:space="preserve">, predominantly composed of Latino/a and African American </w:t>
      </w:r>
      <w:r>
        <w:rPr>
          <w:rFonts w:ascii="Arial" w:hAnsi="Arial" w:cs="Arial"/>
          <w:b/>
          <w:bCs/>
          <w:color w:val="000000"/>
          <w:sz w:val="22"/>
          <w:szCs w:val="22"/>
          <w:u w:val="single"/>
          <w:shd w:val="clear" w:color="auto" w:fill="00FF00"/>
        </w:rPr>
        <w:t>queers gather</w:t>
      </w:r>
      <w:r>
        <w:rPr>
          <w:rFonts w:ascii="Arial" w:hAnsi="Arial" w:cs="Arial"/>
          <w:b/>
          <w:bCs/>
          <w:color w:val="000000"/>
          <w:sz w:val="22"/>
          <w:szCs w:val="22"/>
          <w:u w:val="single"/>
        </w:rPr>
        <w:t xml:space="preserve">ed </w:t>
      </w:r>
      <w:r>
        <w:rPr>
          <w:rFonts w:ascii="Arial" w:hAnsi="Arial" w:cs="Arial"/>
          <w:b/>
          <w:bCs/>
          <w:color w:val="000000"/>
          <w:sz w:val="22"/>
          <w:szCs w:val="22"/>
          <w:u w:val="single"/>
          <w:shd w:val="clear" w:color="auto" w:fill="00FF00"/>
        </w:rPr>
        <w:t>around a ‘house mother,’ or ‘house father,’ the houses operate not only as the performative enactments of conventional gender and familial roles in a queer register</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00FF00"/>
        </w:rPr>
        <w:t>They are also the rather tenuous – though still deeply performative – enactments of contract and oikos</w:t>
      </w:r>
      <w:r>
        <w:rPr>
          <w:rFonts w:ascii="Arial" w:hAnsi="Arial" w:cs="Arial"/>
          <w:color w:val="000000"/>
          <w:sz w:val="22"/>
          <w:szCs w:val="22"/>
        </w:rPr>
        <w:t xml:space="preserve">. </w:t>
      </w:r>
    </w:p>
    <w:p xmlns:wp14="http://schemas.microsoft.com/office/word/2010/wordml" w:rsidR="008263E8" w:rsidP="008263E8" w:rsidRDefault="008263E8" w14:paraId="317DAB37" wp14:textId="77777777">
      <w:pPr>
        <w:pStyle w:val="NormalWeb"/>
        <w:spacing w:before="0" w:beforeAutospacing="0" w:after="160" w:afterAutospacing="0"/>
      </w:pPr>
      <w:r>
        <w:rPr>
          <w:rFonts w:ascii="Arial" w:hAnsi="Arial" w:cs="Arial"/>
          <w:color w:val="000000"/>
          <w:sz w:val="22"/>
          <w:szCs w:val="22"/>
        </w:rPr>
        <w:t xml:space="preserve">In his research on barebacking subculture, Tim Dean has suggested that the practice of ritualised viral transmission arose at the same time “mainstream lesbian and gay politics has been focusing as never before on the issues of marriage and family.” </w:t>
      </w:r>
      <w:r>
        <w:rPr>
          <w:rFonts w:ascii="Arial" w:hAnsi="Arial" w:cs="Arial"/>
          <w:b/>
          <w:bCs/>
          <w:color w:val="000000"/>
          <w:sz w:val="22"/>
          <w:szCs w:val="22"/>
          <w:u w:val="single"/>
          <w:shd w:val="clear" w:color="auto" w:fill="00FF00"/>
        </w:rPr>
        <w:t>For Dean: barebacking subculture … signals profound changes in the social organization of kinship and relationality</w:t>
      </w:r>
      <w:r>
        <w:rPr>
          <w:rFonts w:ascii="Arial" w:hAnsi="Arial" w:cs="Arial"/>
          <w:color w:val="000000"/>
          <w:sz w:val="22"/>
          <w:szCs w:val="22"/>
        </w:rPr>
        <w:t xml:space="preserve">. … sharing viruses has come to be understood as a mechanism of alliance, a way of forming consanguinity with strangers or friends. </w:t>
      </w:r>
      <w:r>
        <w:rPr>
          <w:rFonts w:ascii="Arial" w:hAnsi="Arial" w:cs="Arial"/>
          <w:b/>
          <w:bCs/>
          <w:color w:val="000000"/>
          <w:sz w:val="22"/>
          <w:szCs w:val="22"/>
          <w:u w:val="single"/>
        </w:rPr>
        <w:t>Through HIV, gay men have discovered that they can ‘breed’ without women. … For some of its participants, bareback sex concerns different forms of life, reproduction, and kinship. In barebacking subculture, the generation of the virus takes the place of reproduction</w:t>
      </w:r>
      <w:r>
        <w:rPr>
          <w:rFonts w:ascii="Arial" w:hAnsi="Arial" w:cs="Arial"/>
          <w:color w:val="000000"/>
          <w:sz w:val="22"/>
          <w:szCs w:val="22"/>
        </w:rPr>
        <w:t xml:space="preserve">. Viral consanguinity, Dean argues, came to assume the character of kinship precisely insofar as it was mobilised through forms of care, through communal households, during the early years of the epidemic. </w:t>
      </w:r>
      <w:r>
        <w:rPr>
          <w:rFonts w:ascii="Arial" w:hAnsi="Arial" w:cs="Arial"/>
          <w:b/>
          <w:bCs/>
          <w:color w:val="000000"/>
          <w:sz w:val="22"/>
          <w:szCs w:val="22"/>
          <w:u w:val="single"/>
          <w:shd w:val="clear" w:color="auto" w:fill="00FF00"/>
        </w:rPr>
        <w:t>And yet, as Dean remarks, bareback culture “would be ethically troubling less for its radical departure from mainstream values than for its perpetuation of them</w:t>
      </w:r>
      <w:r>
        <w:rPr>
          <w:rFonts w:ascii="Arial" w:hAnsi="Arial" w:cs="Arial"/>
          <w:color w:val="000000"/>
          <w:sz w:val="22"/>
          <w:szCs w:val="22"/>
        </w:rPr>
        <w:t xml:space="preserve">.”57 </w:t>
      </w:r>
      <w:r>
        <w:rPr>
          <w:rFonts w:ascii="Arial" w:hAnsi="Arial" w:cs="Arial"/>
          <w:b/>
          <w:bCs/>
          <w:color w:val="000000"/>
          <w:sz w:val="22"/>
          <w:szCs w:val="22"/>
          <w:u w:val="single"/>
          <w:shd w:val="clear" w:color="auto" w:fill="00FF00"/>
        </w:rPr>
        <w:t>That is to say, it repeats the familial in the most risky of ways</w:t>
      </w:r>
      <w:r>
        <w:rPr>
          <w:rFonts w:ascii="Arial" w:hAnsi="Arial" w:cs="Arial"/>
          <w:color w:val="000000"/>
          <w:sz w:val="22"/>
          <w:szCs w:val="22"/>
        </w:rPr>
        <w:t xml:space="preserve">. </w:t>
      </w:r>
      <w:r>
        <w:rPr>
          <w:rFonts w:ascii="Arial" w:hAnsi="Arial" w:cs="Arial"/>
          <w:b/>
          <w:bCs/>
          <w:color w:val="000000"/>
          <w:sz w:val="22"/>
          <w:szCs w:val="22"/>
          <w:u w:val="single"/>
          <w:shd w:val="clear" w:color="auto" w:fill="00FF00"/>
        </w:rPr>
        <w:t xml:space="preserve">This culture of breeding the virus composed itself not only as a question of generation and fraternal kinship but also </w:t>
      </w:r>
      <w:r>
        <w:rPr>
          <w:rFonts w:ascii="Arial" w:hAnsi="Arial" w:cs="Arial"/>
          <w:b/>
          <w:bCs/>
          <w:color w:val="000000"/>
          <w:sz w:val="22"/>
          <w:szCs w:val="22"/>
          <w:u w:val="single"/>
          <w:shd w:val="clear" w:color="auto" w:fill="00FF00"/>
        </w:rPr>
        <w:lastRenderedPageBreak/>
        <w:t>invokes the contractual allocation of risk and the performativity of contract discussed previously</w:t>
      </w:r>
      <w:r>
        <w:rPr>
          <w:rFonts w:ascii="Arial" w:hAnsi="Arial" w:cs="Arial"/>
          <w:color w:val="000000"/>
          <w:sz w:val="22"/>
          <w:szCs w:val="22"/>
        </w:rPr>
        <w:t xml:space="preserve">. Writing on the figure of the “gay outlaw,” Leo Bersani has had occasion to refer more than once to Pascal. In one instance, he suggested that one might be drawn to attachments not necessarily by desire but perhaps primordially by formal affinities that diagram our extensions, the particular families of forms to which we belong and without which we would be merely the stranded consciousness hauntingly evoked by Pascal in the Pensées. Pascalian alienation is the separation of consciousness from the positioning of its own body within a universe of familiar forms.58 Elsewhere, he cited Pascal’s aphorism: Le moi est haïssable (The self is detestable). In a more recent piece, Bersani has argued that barebacking partakes of an “ascetic discipline,” whereas Dean had pointed to the “erotics of militarism” and a sacrificial logic as pervasive in bareback culture.59 </w:t>
      </w:r>
      <w:r>
        <w:rPr>
          <w:rFonts w:ascii="Arial" w:hAnsi="Arial" w:cs="Arial"/>
          <w:b/>
          <w:bCs/>
          <w:color w:val="000000"/>
          <w:sz w:val="22"/>
          <w:szCs w:val="22"/>
          <w:u w:val="single"/>
        </w:rPr>
        <w:t xml:space="preserve">What I would like to suggest is that </w:t>
      </w:r>
      <w:r>
        <w:rPr>
          <w:rFonts w:ascii="Arial" w:hAnsi="Arial" w:cs="Arial"/>
          <w:b/>
          <w:bCs/>
          <w:color w:val="000000"/>
          <w:sz w:val="22"/>
          <w:szCs w:val="22"/>
          <w:u w:val="single"/>
          <w:shd w:val="clear" w:color="auto" w:fill="00FF00"/>
        </w:rPr>
        <w:t>this ‘return’ of the</w:t>
      </w:r>
      <w:r>
        <w:rPr>
          <w:rFonts w:ascii="Arial" w:hAnsi="Arial" w:cs="Arial"/>
          <w:b/>
          <w:bCs/>
          <w:color w:val="000000"/>
          <w:sz w:val="22"/>
          <w:szCs w:val="22"/>
          <w:u w:val="single"/>
        </w:rPr>
        <w:t xml:space="preserve"> Pascalian – what I would highlight as the </w:t>
      </w:r>
      <w:r>
        <w:rPr>
          <w:rFonts w:ascii="Arial" w:hAnsi="Arial" w:cs="Arial"/>
          <w:b/>
          <w:bCs/>
          <w:color w:val="000000"/>
          <w:sz w:val="22"/>
          <w:szCs w:val="22"/>
          <w:u w:val="single"/>
          <w:shd w:val="clear" w:color="auto" w:fill="00FF00"/>
        </w:rPr>
        <w:t>performativity of sacrifice and gift in the contractual</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00FF00"/>
        </w:rPr>
        <w:t>the projective geometry of genealogy and common law</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00FF00"/>
        </w:rPr>
        <w:t>the transformation of contingency into the necessity of risk and its oikonomic allocation</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00FF00"/>
        </w:rPr>
        <w:t>the wager that presumes an infinite contract akin to covenant</w:t>
      </w:r>
      <w:r>
        <w:rPr>
          <w:rFonts w:ascii="Arial" w:hAnsi="Arial" w:cs="Arial"/>
          <w:b/>
          <w:bCs/>
          <w:color w:val="000000"/>
          <w:sz w:val="22"/>
          <w:szCs w:val="22"/>
          <w:u w:val="single"/>
        </w:rPr>
        <w:t xml:space="preserve"> – </w:t>
      </w:r>
      <w:r>
        <w:rPr>
          <w:rFonts w:ascii="Arial" w:hAnsi="Arial" w:cs="Arial"/>
          <w:b/>
          <w:bCs/>
          <w:color w:val="000000"/>
          <w:sz w:val="22"/>
          <w:szCs w:val="22"/>
          <w:u w:val="single"/>
          <w:shd w:val="clear" w:color="auto" w:fill="00FF00"/>
        </w:rPr>
        <w:t>is a version of neocontractualism</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00FF00"/>
        </w:rPr>
        <w:t>Paralleling the faith-based initiatives in welfare reforms</w:t>
      </w:r>
      <w:r>
        <w:rPr>
          <w:rFonts w:ascii="Arial" w:hAnsi="Arial" w:cs="Arial"/>
          <w:b/>
          <w:bCs/>
          <w:color w:val="000000"/>
          <w:sz w:val="22"/>
          <w:szCs w:val="22"/>
          <w:u w:val="single"/>
        </w:rPr>
        <w:t xml:space="preserve"> in the United States (and elsewhere) – </w:t>
      </w:r>
      <w:r>
        <w:rPr>
          <w:rFonts w:ascii="Arial" w:hAnsi="Arial" w:cs="Arial"/>
          <w:b/>
          <w:bCs/>
          <w:color w:val="000000"/>
          <w:sz w:val="22"/>
          <w:szCs w:val="22"/>
          <w:u w:val="single"/>
          <w:shd w:val="clear" w:color="auto" w:fill="00FF00"/>
        </w:rPr>
        <w:t>with their emphasis on community and the performativity of faith and contract</w:t>
      </w:r>
      <w:r>
        <w:rPr>
          <w:rFonts w:ascii="Arial" w:hAnsi="Arial" w:cs="Arial"/>
          <w:b/>
          <w:bCs/>
          <w:color w:val="000000"/>
          <w:sz w:val="22"/>
          <w:szCs w:val="22"/>
          <w:u w:val="single"/>
        </w:rPr>
        <w:t xml:space="preserve"> – </w:t>
      </w:r>
      <w:r>
        <w:rPr>
          <w:rFonts w:ascii="Arial" w:hAnsi="Arial" w:cs="Arial"/>
          <w:b/>
          <w:bCs/>
          <w:color w:val="000000"/>
          <w:sz w:val="22"/>
          <w:szCs w:val="22"/>
          <w:u w:val="single"/>
          <w:shd w:val="clear" w:color="auto" w:fill="00FF00"/>
        </w:rPr>
        <w:t>barebacking assumes the demeanour of a return to fraternal welfare and genealogy</w:t>
      </w:r>
      <w:r>
        <w:rPr>
          <w:rFonts w:ascii="Arial" w:hAnsi="Arial" w:cs="Arial"/>
          <w:b/>
          <w:bCs/>
          <w:color w:val="000000"/>
          <w:sz w:val="22"/>
          <w:szCs w:val="22"/>
          <w:u w:val="single"/>
        </w:rPr>
        <w:t xml:space="preserve"> in the midst of what has primarily taken the form of the legal enforcement of marriage chiefly directed toward poor women.60 In this sense, it is perhaps not simply that, as Bersani suggests, </w:t>
      </w:r>
      <w:r>
        <w:rPr>
          <w:rFonts w:ascii="Arial" w:hAnsi="Arial" w:cs="Arial"/>
          <w:b/>
          <w:bCs/>
          <w:color w:val="000000"/>
          <w:sz w:val="22"/>
          <w:szCs w:val="22"/>
          <w:u w:val="single"/>
          <w:shd w:val="clear" w:color="auto" w:fill="00FF00"/>
        </w:rPr>
        <w:t>the crucial distinction between fantasy and reality</w:t>
      </w:r>
      <w:r>
        <w:rPr>
          <w:rFonts w:ascii="Arial" w:hAnsi="Arial" w:cs="Arial"/>
          <w:b/>
          <w:bCs/>
          <w:color w:val="000000"/>
          <w:sz w:val="22"/>
          <w:szCs w:val="22"/>
          <w:u w:val="single"/>
        </w:rPr>
        <w:t xml:space="preserve"> has not been sustained in the masochistic economy of barebacking, but that it </w:t>
      </w:r>
      <w:r>
        <w:rPr>
          <w:rFonts w:ascii="Arial" w:hAnsi="Arial" w:cs="Arial"/>
          <w:b/>
          <w:bCs/>
          <w:color w:val="000000"/>
          <w:sz w:val="22"/>
          <w:szCs w:val="22"/>
          <w:u w:val="single"/>
          <w:shd w:val="clear" w:color="auto" w:fill="00FF00"/>
        </w:rPr>
        <w:t>has been translated into the terms of a neoliberal oikonomia with such ease</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00FF00"/>
        </w:rPr>
        <w:t>The Foucauldian ethic of intimate self-management,</w:t>
      </w:r>
      <w:r>
        <w:rPr>
          <w:rFonts w:ascii="Arial" w:hAnsi="Arial" w:cs="Arial"/>
          <w:b/>
          <w:bCs/>
          <w:color w:val="000000"/>
          <w:sz w:val="22"/>
          <w:szCs w:val="22"/>
          <w:u w:val="single"/>
        </w:rPr>
        <w:t xml:space="preserve"> apparent </w:t>
      </w:r>
      <w:r>
        <w:rPr>
          <w:rFonts w:ascii="Arial" w:hAnsi="Arial" w:cs="Arial"/>
          <w:b/>
          <w:bCs/>
          <w:color w:val="000000"/>
          <w:sz w:val="22"/>
          <w:szCs w:val="22"/>
          <w:u w:val="single"/>
          <w:shd w:val="clear" w:color="auto" w:fill="00FF00"/>
        </w:rPr>
        <w:t>in both barebacking</w:t>
      </w:r>
      <w:r>
        <w:rPr>
          <w:rFonts w:ascii="Arial" w:hAnsi="Arial" w:cs="Arial"/>
          <w:b/>
          <w:bCs/>
          <w:color w:val="000000"/>
          <w:sz w:val="22"/>
          <w:szCs w:val="22"/>
          <w:u w:val="single"/>
        </w:rPr>
        <w:t xml:space="preserve"> subculture </w:t>
      </w:r>
      <w:r>
        <w:rPr>
          <w:rFonts w:ascii="Arial" w:hAnsi="Arial" w:cs="Arial"/>
          <w:b/>
          <w:bCs/>
          <w:color w:val="000000"/>
          <w:sz w:val="22"/>
          <w:szCs w:val="22"/>
          <w:u w:val="single"/>
          <w:shd w:val="clear" w:color="auto" w:fill="00FF00"/>
        </w:rPr>
        <w:t>and</w:t>
      </w:r>
      <w:r>
        <w:rPr>
          <w:rFonts w:ascii="Arial" w:hAnsi="Arial" w:cs="Arial"/>
          <w:b/>
          <w:bCs/>
          <w:color w:val="000000"/>
          <w:sz w:val="22"/>
          <w:szCs w:val="22"/>
          <w:u w:val="single"/>
        </w:rPr>
        <w:t xml:space="preserve"> the theocratic </w:t>
      </w:r>
      <w:r>
        <w:rPr>
          <w:rFonts w:ascii="Arial" w:hAnsi="Arial" w:cs="Arial"/>
          <w:b/>
          <w:bCs/>
          <w:color w:val="000000"/>
          <w:sz w:val="22"/>
          <w:szCs w:val="22"/>
          <w:u w:val="single"/>
          <w:shd w:val="clear" w:color="auto" w:fill="00FF00"/>
        </w:rPr>
        <w:t>systems of welfare</w:t>
      </w:r>
      <w:r>
        <w:rPr>
          <w:rFonts w:ascii="Arial" w:hAnsi="Arial" w:cs="Arial"/>
          <w:b/>
          <w:bCs/>
          <w:color w:val="000000"/>
          <w:sz w:val="22"/>
          <w:szCs w:val="22"/>
          <w:u w:val="single"/>
        </w:rPr>
        <w:t xml:space="preserve"> that have gained ground since the Iranian Revolution he celebrated,61 </w:t>
      </w:r>
      <w:r>
        <w:rPr>
          <w:rFonts w:ascii="Arial" w:hAnsi="Arial" w:cs="Arial"/>
          <w:b/>
          <w:bCs/>
          <w:color w:val="000000"/>
          <w:sz w:val="22"/>
          <w:szCs w:val="22"/>
          <w:u w:val="single"/>
          <w:shd w:val="clear" w:color="auto" w:fill="00FF00"/>
        </w:rPr>
        <w:t>is inconceivable without the oikonomic demarcations of gender, sexuality and sex</w:t>
      </w:r>
      <w:r>
        <w:rPr>
          <w:rFonts w:ascii="Arial" w:hAnsi="Arial" w:cs="Arial"/>
          <w:b/>
          <w:bCs/>
          <w:color w:val="000000"/>
          <w:sz w:val="22"/>
          <w:szCs w:val="22"/>
          <w:u w:val="single"/>
        </w:rPr>
        <w:t xml:space="preserve"> Foucault is generally presumed to have been critical of</w:t>
      </w:r>
      <w:r>
        <w:rPr>
          <w:rFonts w:ascii="Arial" w:hAnsi="Arial" w:cs="Arial"/>
          <w:color w:val="000000"/>
          <w:sz w:val="22"/>
          <w:szCs w:val="22"/>
        </w:rPr>
        <w:t>.</w:t>
      </w:r>
    </w:p>
    <w:p xmlns:wp14="http://schemas.microsoft.com/office/word/2010/wordml" w:rsidRPr="00C74392" w:rsidR="008263E8" w:rsidP="008263E8" w:rsidRDefault="008263E8" w14:paraId="47070EE2" wp14:textId="77777777">
      <w:pPr>
        <w:pStyle w:val="Heading4"/>
      </w:pPr>
      <w:r>
        <w:t>The AFF’s endorsement of queer kinship retains attachments to the liberal humanistic concept of the filial that is anti-black and capitalist.  This is especially bad for black queers.</w:t>
      </w:r>
    </w:p>
    <w:p xmlns:wp14="http://schemas.microsoft.com/office/word/2010/wordml" w:rsidRPr="0035731C" w:rsidR="008263E8" w:rsidP="008263E8" w:rsidRDefault="008263E8" w14:paraId="4E923C13" wp14:textId="77777777">
      <w:r w:rsidRPr="0035731C">
        <w:rPr>
          <w:rStyle w:val="Style13ptBold"/>
        </w:rPr>
        <w:t>King’18</w:t>
      </w:r>
      <w:r w:rsidRPr="0035731C">
        <w:t xml:space="preserve"> (Tiffany (Lethabo) King’s research focuses on Black gender formation and sexuality at the intersection of slavery and indigenous genocide in the U.S. and Canada.  Her book project The Black Shoals: Abolition, Decolonization and Conquest is under contract with Duke University Press. The Black Shoals argues that scholarly traditions within Black Studies that examine Indigenous genocide alongside slavery in the Americas have forged ethical and generative engagements with Native studies—and Native thought—that continue to reinvent the political imaginaries of abolition and decolonization. “Black 'Feminisms' and Pessimism: Abolishing Moynihan's Negro Family” January 2018)</w:t>
      </w:r>
      <w:r>
        <w:t>NAE</w:t>
      </w:r>
    </w:p>
    <w:p xmlns:wp14="http://schemas.microsoft.com/office/word/2010/wordml" w:rsidRPr="000A0F26" w:rsidR="008263E8" w:rsidP="008263E8" w:rsidRDefault="008263E8" w14:paraId="4120C7F4" wp14:textId="77777777">
      <w:pPr>
        <w:rPr>
          <w:rStyle w:val="StyleUnderline"/>
        </w:rPr>
      </w:pPr>
      <w:r w:rsidRPr="0035731C">
        <w:rPr>
          <w:sz w:val="16"/>
        </w:rPr>
        <w:t xml:space="preserve">However, </w:t>
      </w:r>
      <w:r w:rsidRPr="0035731C">
        <w:rPr>
          <w:rStyle w:val="StyleUnderline"/>
        </w:rPr>
        <w:t xml:space="preserve">after fifty years of ever-evolving and increasingly </w:t>
      </w:r>
      <w:r w:rsidRPr="00C74392">
        <w:rPr>
          <w:rStyle w:val="StyleUnderline"/>
        </w:rPr>
        <w:t xml:space="preserve">nuanced Black feminist responses to The Report, rarely do critiques and alternative modes of the Black filial interrogate the viability of the notion of the family itself. </w:t>
      </w:r>
      <w:r w:rsidRPr="00C74392">
        <w:rPr>
          <w:rStyle w:val="StyleUnderline"/>
          <w:highlight w:val="green"/>
        </w:rPr>
        <w:t>While,</w:t>
      </w:r>
      <w:r w:rsidRPr="0035731C">
        <w:rPr>
          <w:sz w:val="16"/>
        </w:rPr>
        <w:t xml:space="preserve"> </w:t>
      </w:r>
      <w:r w:rsidRPr="0035731C">
        <w:rPr>
          <w:rStyle w:val="StyleUnderline"/>
          <w:highlight w:val="green"/>
        </w:rPr>
        <w:t>Black feminist</w:t>
      </w:r>
      <w:r w:rsidRPr="0035731C">
        <w:rPr>
          <w:sz w:val="16"/>
        </w:rPr>
        <w:t xml:space="preserve"> responses to The Report and the discourse of Black matriarchy</w:t>
      </w:r>
      <w:r w:rsidRPr="0035731C">
        <w:rPr>
          <w:rStyle w:val="StyleUnderline"/>
        </w:rPr>
        <w:t xml:space="preserve"> </w:t>
      </w:r>
      <w:r w:rsidRPr="0035731C">
        <w:rPr>
          <w:rStyle w:val="StyleUnderline"/>
          <w:highlight w:val="green"/>
        </w:rPr>
        <w:t>have argued for alternative forms of family, ranging from intergenerational</w:t>
      </w:r>
      <w:r w:rsidRPr="00C74392">
        <w:rPr>
          <w:rStyle w:val="StyleUnderline"/>
        </w:rPr>
        <w:t xml:space="preserve">, extended, non-sanguial, </w:t>
      </w:r>
      <w:r w:rsidRPr="0035731C">
        <w:rPr>
          <w:rStyle w:val="StyleUnderline"/>
          <w:highlight w:val="green"/>
        </w:rPr>
        <w:t>and queer</w:t>
      </w:r>
      <w:r w:rsidRPr="00C74392">
        <w:rPr>
          <w:rStyle w:val="StyleUnderline"/>
          <w:highlight w:val="green"/>
        </w:rPr>
        <w:t>; the family as a sociolgical unit and as a self evident and natural form of human organization persists</w:t>
      </w:r>
      <w:r w:rsidRPr="00C74392">
        <w:rPr>
          <w:sz w:val="16"/>
          <w:highlight w:val="green"/>
        </w:rPr>
        <w:t>.</w:t>
      </w:r>
      <w:r w:rsidRPr="0035731C">
        <w:rPr>
          <w:sz w:val="16"/>
        </w:rPr>
        <w:t xml:space="preserve"> </w:t>
      </w:r>
      <w:r w:rsidRPr="00C74392">
        <w:rPr>
          <w:rStyle w:val="StyleUnderline"/>
        </w:rPr>
        <w:t xml:space="preserve">Even when Black and Black queer feminists call for alternatives to the the ‘normal family,’ these </w:t>
      </w:r>
      <w:r w:rsidRPr="0035731C">
        <w:rPr>
          <w:rStyle w:val="StyleUnderline"/>
          <w:highlight w:val="green"/>
        </w:rPr>
        <w:t>modificiations and revisions to the family still retain attachments to the liberal humanistic concept of the filial as the organizing frame for legible Black collective life</w:t>
      </w:r>
      <w:r w:rsidRPr="0035731C">
        <w:rPr>
          <w:sz w:val="16"/>
        </w:rPr>
        <w:t xml:space="preserve">.5 </w:t>
      </w:r>
      <w:r w:rsidRPr="0035731C">
        <w:rPr>
          <w:rStyle w:val="StyleUnderline"/>
          <w:highlight w:val="green"/>
        </w:rPr>
        <w:t xml:space="preserve">Black ‘feminist’ </w:t>
      </w:r>
      <w:r w:rsidRPr="0035731C">
        <w:rPr>
          <w:rStyle w:val="StyleUnderline"/>
          <w:highlight w:val="green"/>
        </w:rPr>
        <w:lastRenderedPageBreak/>
        <w:t>abolitionist responses that trouble the very concept of the family as a way of organizing Black life still remain</w:t>
      </w:r>
      <w:r w:rsidRPr="0035731C">
        <w:rPr>
          <w:rStyle w:val="StyleUnderline"/>
        </w:rPr>
        <w:t xml:space="preserve"> unexamined and perhaps even “</w:t>
      </w:r>
      <w:r w:rsidRPr="0035731C">
        <w:rPr>
          <w:rStyle w:val="StyleUnderline"/>
          <w:highlight w:val="green"/>
        </w:rPr>
        <w:t>unthought</w:t>
      </w:r>
      <w:r w:rsidRPr="0035731C">
        <w:rPr>
          <w:rStyle w:val="StyleUnderline"/>
        </w:rPr>
        <w:t>.”</w:t>
      </w:r>
      <w:r w:rsidRPr="0035731C">
        <w:rPr>
          <w:sz w:val="16"/>
        </w:rPr>
        <w:t xml:space="preserve">6 In this essay, I argue that </w:t>
      </w:r>
      <w:r w:rsidRPr="0035731C">
        <w:rPr>
          <w:rStyle w:val="StyleUnderline"/>
        </w:rPr>
        <w:t xml:space="preserve">while </w:t>
      </w:r>
      <w:r w:rsidRPr="00C74392">
        <w:rPr>
          <w:rStyle w:val="StyleUnderline"/>
        </w:rPr>
        <w:t>most Black feminist and queer modes of critique exhibit a suspicion or ambivalence toward the family, the responses of Kay Lindsey (1970) and Hortense Spillers (1987) offer a distinctly abolitionist critique of the family.</w:t>
      </w:r>
      <w:r w:rsidRPr="0035731C">
        <w:rPr>
          <w:sz w:val="16"/>
        </w:rPr>
        <w:t xml:space="preserve"> </w:t>
      </w:r>
      <w:r w:rsidRPr="00C74392">
        <w:rPr>
          <w:rStyle w:val="StyleUnderline"/>
          <w:highlight w:val="green"/>
        </w:rPr>
        <w:t>Unlike</w:t>
      </w:r>
      <w:r w:rsidRPr="0035731C">
        <w:rPr>
          <w:sz w:val="16"/>
        </w:rPr>
        <w:t xml:space="preserve"> “suspicious” or </w:t>
      </w:r>
      <w:r w:rsidRPr="0035731C">
        <w:rPr>
          <w:rStyle w:val="StyleUnderline"/>
          <w:highlight w:val="green"/>
        </w:rPr>
        <w:t>reformist critiques,</w:t>
      </w:r>
      <w:r w:rsidRPr="0035731C">
        <w:rPr>
          <w:rStyle w:val="StyleUnderline"/>
        </w:rPr>
        <w:t xml:space="preserve"> which </w:t>
      </w:r>
      <w:r w:rsidRPr="0035731C">
        <w:rPr>
          <w:rStyle w:val="StyleUnderline"/>
          <w:highlight w:val="green"/>
        </w:rPr>
        <w:t>tend to hold onto at least some aspects of the normative and liberal family model, the abolitionist frame</w:t>
      </w:r>
      <w:r w:rsidRPr="00C74392">
        <w:rPr>
          <w:rStyle w:val="StyleUnderline"/>
        </w:rPr>
        <w:t xml:space="preserve"> organizing this essay </w:t>
      </w:r>
      <w:r w:rsidRPr="0035731C">
        <w:rPr>
          <w:rStyle w:val="StyleUnderline"/>
          <w:highlight w:val="green"/>
        </w:rPr>
        <w:t>opens up the possibility of naming and doing Black relations outside of the categories that currently name humanness.</w:t>
      </w:r>
      <w:r w:rsidRPr="0035731C">
        <w:rPr>
          <w:rStyle w:val="StyleUnderline"/>
        </w:rPr>
        <w:t xml:space="preserve"> This essay </w:t>
      </w:r>
      <w:r w:rsidRPr="0035731C">
        <w:rPr>
          <w:rStyle w:val="StyleUnderline"/>
          <w:highlight w:val="green"/>
        </w:rPr>
        <w:t>focus</w:t>
      </w:r>
      <w:r w:rsidRPr="0035731C">
        <w:rPr>
          <w:rStyle w:val="StyleUnderline"/>
        </w:rPr>
        <w:t xml:space="preserve">es </w:t>
      </w:r>
      <w:r w:rsidRPr="0035731C">
        <w:rPr>
          <w:rStyle w:val="StyleUnderline"/>
          <w:highlight w:val="green"/>
        </w:rPr>
        <w:t>on</w:t>
      </w:r>
      <w:r w:rsidRPr="0035731C">
        <w:rPr>
          <w:rStyle w:val="StyleUnderline"/>
        </w:rPr>
        <w:t xml:space="preserve"> </w:t>
      </w:r>
      <w:r w:rsidRPr="0035731C">
        <w:rPr>
          <w:rStyle w:val="StyleUnderline"/>
          <w:highlight w:val="green"/>
        </w:rPr>
        <w:t>Black abolitionist critiques that denaturalize the family as a normative and humanizing institution to which people should aspire to belong</w:t>
      </w:r>
      <w:r w:rsidRPr="0035731C">
        <w:rPr>
          <w:sz w:val="16"/>
        </w:rPr>
        <w:t>. More importantly</w:t>
      </w:r>
      <w:r w:rsidRPr="0035731C">
        <w:rPr>
          <w:rStyle w:val="StyleUnderline"/>
        </w:rPr>
        <w:t xml:space="preserve">, it </w:t>
      </w:r>
      <w:r w:rsidRPr="00C74392">
        <w:rPr>
          <w:rStyle w:val="StyleUnderline"/>
        </w:rPr>
        <w:t>opens up conversations about alternative modes of naming the self in relation to others outside of the Western humanist tradition.</w:t>
      </w:r>
      <w:r w:rsidRPr="0035731C">
        <w:rPr>
          <w:rStyle w:val="StyleUnderline"/>
        </w:rPr>
        <w:t xml:space="preserve"> </w:t>
      </w:r>
      <w:r w:rsidRPr="0035731C">
        <w:rPr>
          <w:sz w:val="16"/>
        </w:rPr>
        <w:t xml:space="preserve">Because of the ongoing disruption of Black sociality and the understanding that Black relations are under assualt, the ‘Black family’ has taken on an almost sacred significance within Black social life due to its heralded role as a protective mechanism to Black vulnerability and violation.7 The Black praxis of family as an everyday lived experience has the potential to ground people, provide material and emotional support and affirm the spirit of many Black people who feel vulnerable in the world. For many, including myself, family helps make life liveable amidst everyday enactments of antiblack violence. To be clear, this essay does not indulge in an nihilistic destruction of the family for the sake of Afro-pessimistic intellectual experimentation.8 Rather, </w:t>
      </w:r>
      <w:r w:rsidRPr="0035731C">
        <w:rPr>
          <w:rStyle w:val="StyleUnderline"/>
        </w:rPr>
        <w:t>it is precisely because of this need for and commitment to Black sociality as a dynamic and inventive practice that this essay presses toward otherwise modes of thinking and being with one another</w:t>
      </w:r>
      <w:r w:rsidRPr="00C74392">
        <w:rPr>
          <w:rStyle w:val="StyleUnderline"/>
        </w:rPr>
        <w:t>.</w:t>
      </w:r>
      <w:r w:rsidRPr="00C74392">
        <w:rPr>
          <w:sz w:val="16"/>
        </w:rPr>
        <w:t xml:space="preserve"> </w:t>
      </w:r>
      <w:r w:rsidRPr="00C74392">
        <w:rPr>
          <w:rStyle w:val="StyleUnderline"/>
        </w:rPr>
        <w:t xml:space="preserve">This essay conscientiously attends to the ways that </w:t>
      </w:r>
      <w:r w:rsidRPr="0035731C">
        <w:rPr>
          <w:rStyle w:val="StyleUnderline"/>
          <w:highlight w:val="green"/>
        </w:rPr>
        <w:t>the western notion of the family functions as a site of violence and dehumanization that threatens to engulf Black sociality.</w:t>
      </w:r>
      <w:r w:rsidRPr="0035731C">
        <w:rPr>
          <w:rStyle w:val="StyleUnderline"/>
        </w:rPr>
        <w:t xml:space="preserve"> </w:t>
      </w:r>
      <w:r w:rsidRPr="0035731C">
        <w:rPr>
          <w:rStyle w:val="StyleUnderline"/>
          <w:highlight w:val="green"/>
        </w:rPr>
        <w:t>While Black</w:t>
      </w:r>
      <w:r w:rsidRPr="00C74392">
        <w:rPr>
          <w:rStyle w:val="StyleUnderline"/>
        </w:rPr>
        <w:t xml:space="preserve"> feminist,</w:t>
      </w:r>
      <w:r w:rsidRPr="0035731C">
        <w:rPr>
          <w:rStyle w:val="StyleUnderline"/>
          <w:highlight w:val="green"/>
        </w:rPr>
        <w:t xml:space="preserve"> queer scholarship and creative work have called for a reimagining of the Black family on radically different terms</w:t>
      </w:r>
      <w:r w:rsidRPr="0035731C">
        <w:rPr>
          <w:sz w:val="16"/>
        </w:rPr>
        <w:t xml:space="preserve"> (non patriarchal, egalitarian and queer) </w:t>
      </w:r>
      <w:r w:rsidRPr="0035731C">
        <w:rPr>
          <w:rStyle w:val="StyleUnderline"/>
          <w:highlight w:val="green"/>
        </w:rPr>
        <w:t>they often do not critique the family in ways that draw attention to the violent ways that the family emerges as a category of violent forms of humanism.</w:t>
      </w:r>
      <w:r w:rsidRPr="0035731C">
        <w:rPr>
          <w:rStyle w:val="StyleUnderline"/>
        </w:rPr>
        <w:t xml:space="preserve"> I consider the possible abolition of the family</w:t>
      </w:r>
      <w:r w:rsidRPr="0035731C">
        <w:rPr>
          <w:sz w:val="16"/>
        </w:rPr>
        <w:t xml:space="preserve"> (and Black family) </w:t>
      </w:r>
      <w:r w:rsidRPr="0035731C">
        <w:rPr>
          <w:rStyle w:val="StyleUnderline"/>
        </w:rPr>
        <w:t xml:space="preserve">because </w:t>
      </w:r>
      <w:r w:rsidRPr="0035731C">
        <w:rPr>
          <w:rStyle w:val="StyleUnderline"/>
          <w:highlight w:val="green"/>
        </w:rPr>
        <w:t>I fear that the institution crowds out the dynamic and emerging ways that Black people reimagine and invent new modes of relation.</w:t>
      </w:r>
      <w:r>
        <w:rPr>
          <w:rStyle w:val="StyleUnderline"/>
        </w:rPr>
        <w:t xml:space="preserve"> </w:t>
      </w:r>
      <w:r w:rsidRPr="0035731C">
        <w:t>Black ‘Feminism(s)’: Reform and Abolition</w:t>
      </w:r>
      <w:r>
        <w:t>.</w:t>
      </w:r>
      <w:r w:rsidRPr="0035731C">
        <w:t xml:space="preserve"> </w:t>
      </w:r>
      <w:r w:rsidRPr="00C74392">
        <w:rPr>
          <w:rStyle w:val="StyleUnderline"/>
        </w:rPr>
        <w:t xml:space="preserve">Response to The Report by the Black community have ranged from respectable Black bourgeois outrage, Black nationalist (re)commmits to Black patriarchal models, Black feminist valorizations of matriarhcal models, and more </w:t>
      </w:r>
      <w:r w:rsidRPr="00C74392">
        <w:rPr>
          <w:rStyle w:val="StyleUnderline"/>
          <w:highlight w:val="green"/>
        </w:rPr>
        <w:t>recent embraces of Black queer models of family life</w:t>
      </w:r>
      <w:r w:rsidRPr="000A0F26">
        <w:rPr>
          <w:rStyle w:val="StyleUnderline"/>
        </w:rPr>
        <w:t xml:space="preserve">. </w:t>
      </w:r>
      <w:r w:rsidRPr="0035731C">
        <w:t xml:space="preserve">Notably, </w:t>
      </w:r>
      <w:r w:rsidRPr="00C74392">
        <w:rPr>
          <w:rStyle w:val="StyleUnderline"/>
        </w:rPr>
        <w:t xml:space="preserve">Black lesbian and queer feminists </w:t>
      </w:r>
      <w:r w:rsidRPr="00C74392">
        <w:rPr>
          <w:rStyle w:val="StyleUnderline"/>
          <w:highlight w:val="green"/>
        </w:rPr>
        <w:t>have argued for models of family</w:t>
      </w:r>
      <w:r w:rsidRPr="00C74392">
        <w:rPr>
          <w:rStyle w:val="StyleUnderline"/>
        </w:rPr>
        <w:t xml:space="preserve"> life and motherhood</w:t>
      </w:r>
      <w:r w:rsidRPr="000A0F26">
        <w:rPr>
          <w:rStyle w:val="StyleUnderline"/>
        </w:rPr>
        <w:t xml:space="preserve"> that consist of Black lesbian egalitarianism</w:t>
      </w:r>
      <w:r w:rsidRPr="0035731C">
        <w:t xml:space="preserve">,9 </w:t>
      </w:r>
      <w:r w:rsidRPr="000A0F26">
        <w:rPr>
          <w:rStyle w:val="StyleUnderline"/>
        </w:rPr>
        <w:t xml:space="preserve">Black queer motherhood,10 polyamory </w:t>
      </w:r>
      <w:r w:rsidRPr="000A0F26">
        <w:rPr>
          <w:rStyle w:val="StyleUnderline"/>
          <w:highlight w:val="green"/>
        </w:rPr>
        <w:t>and non conventional modes of extending kin and care networks that exceed and disrupt ethos of ownership, consumption, accumulation and class mobility</w:t>
      </w:r>
      <w:r w:rsidRPr="0035731C">
        <w:t>. In her book, Close Kin and Distant Relatives (2014), Susana Morris reworks Paul Ricoeur’s notion of a “hermenuetics of suspicion” as a way of explaining the ways that Black diasporic women have interrogated and negotiated the seductions and obligations of family life.11 Morris argues that w</w:t>
      </w:r>
      <w:r w:rsidRPr="000A0F26">
        <w:rPr>
          <w:rStyle w:val="StyleUnderline"/>
        </w:rPr>
        <w:t>ithin Black diasporic women’s literary traditions one can track an ambivalence toward “respectability politics” that work to counter “the hegemony of the nuclear family and middle class materialism as normative cultural symbols.”</w:t>
      </w:r>
      <w:r w:rsidRPr="0035731C">
        <w:t xml:space="preserve">12 Due to this Black feminist “hermeutics of suspicion” </w:t>
      </w:r>
      <w:r w:rsidRPr="000A0F26">
        <w:rPr>
          <w:rStyle w:val="StyleUnderline"/>
        </w:rPr>
        <w:t xml:space="preserve">Black women conceive of and create family and kinship structures outside of the normative protocols and dictates of the heteronormative family. </w:t>
      </w:r>
      <w:r w:rsidRPr="000A0F26">
        <w:rPr>
          <w:rStyle w:val="StyleUnderline"/>
          <w:highlight w:val="green"/>
        </w:rPr>
        <w:t>While these revisions to and refashionings of the family that appear as Black lesbian, feminist, queer and even poly resignify the family</w:t>
      </w:r>
      <w:r w:rsidRPr="000A0F26">
        <w:rPr>
          <w:rStyle w:val="StyleUnderline"/>
        </w:rPr>
        <w:t xml:space="preserve"> as non-white, non-patriarchal, non-heteronormative and working against the capitalist ethos of property accumulation</w:t>
      </w:r>
      <w:r w:rsidRPr="000A0F26">
        <w:rPr>
          <w:rStyle w:val="StyleUnderline"/>
          <w:highlight w:val="green"/>
        </w:rPr>
        <w:t xml:space="preserve">; it is still possible to fold their feminist, queer, and anti-accumulationist enactments of family into modes of sociality </w:t>
      </w:r>
      <w:r w:rsidRPr="000A0F26">
        <w:rPr>
          <w:rStyle w:val="StyleUnderline"/>
          <w:highlight w:val="green"/>
        </w:rPr>
        <w:lastRenderedPageBreak/>
        <w:t>that cohere within liberal humanist epistemes and economies of intelligibility</w:t>
      </w:r>
      <w:r w:rsidRPr="000A0F26">
        <w:rPr>
          <w:rStyle w:val="StyleUnderline"/>
        </w:rPr>
        <w:t>.</w:t>
      </w:r>
      <w:r w:rsidRPr="0035731C">
        <w:t xml:space="preserve"> For example, in 2013 </w:t>
      </w:r>
      <w:r w:rsidRPr="000A0F26">
        <w:rPr>
          <w:rStyle w:val="StyleUnderline"/>
          <w:highlight w:val="green"/>
        </w:rPr>
        <w:t>Black gay and lesbian couples were featured in an issue of Black Enterprise</w:t>
      </w:r>
      <w:r w:rsidRPr="000A0F26">
        <w:rPr>
          <w:rStyle w:val="StyleUnderline"/>
        </w:rPr>
        <w:t xml:space="preserve"> magazine</w:t>
      </w:r>
      <w:r w:rsidRPr="0035731C">
        <w:t xml:space="preserve">.13 </w:t>
      </w:r>
      <w:r w:rsidRPr="000A0F26">
        <w:rPr>
          <w:rStyle w:val="StyleUnderline"/>
          <w:highlight w:val="green"/>
        </w:rPr>
        <w:t>In an effort to broaden the base of support for including Black LGBTQIA</w:t>
      </w:r>
      <w:r w:rsidRPr="000A0F26">
        <w:rPr>
          <w:rStyle w:val="StyleUnderline"/>
        </w:rPr>
        <w:t xml:space="preserve">, largely middle and upper middle class aspiring individuals, under the protection of marriage, Black Enterprise interviewed four queer couples. Similar stories have appeared in popular Black publications like Ebony and Essence in which </w:t>
      </w:r>
      <w:r w:rsidRPr="0092776B">
        <w:rPr>
          <w:rStyle w:val="StyleUnderline"/>
          <w:highlight w:val="green"/>
        </w:rPr>
        <w:t>productive</w:t>
      </w:r>
      <w:r w:rsidRPr="000A0F26">
        <w:rPr>
          <w:rStyle w:val="StyleUnderline"/>
          <w:highlight w:val="green"/>
        </w:rPr>
        <w:t>, highly accomplished, conventionally attractive and abled-bodied Black LGBTQIA couples are called on to perform a subject that is deserving of rights and recognition.</w:t>
      </w:r>
      <w:r w:rsidRPr="0035731C">
        <w:t xml:space="preserve"> </w:t>
      </w:r>
      <w:r w:rsidRPr="000A0F26">
        <w:rPr>
          <w:rStyle w:val="StyleUnderline"/>
          <w:highlight w:val="green"/>
        </w:rPr>
        <w:t>Often claiming injury due to their inability to securely inhabit the various categories of rights bearing subject and consumer offered through the courts and the market</w:t>
      </w:r>
      <w:r w:rsidRPr="0035731C">
        <w:t xml:space="preserve"> (married as a tax filing status, legal guardian as a parent, inheritor of property and consumer of healthcare coverage); </w:t>
      </w:r>
      <w:r w:rsidRPr="000A0F26">
        <w:rPr>
          <w:rStyle w:val="StyleUnderline"/>
          <w:highlight w:val="green"/>
        </w:rPr>
        <w:t>the Black “queer” family must perform everyday life along the coordinates of civility, tax payer, legal guardian and responsible consumer-investor in order to survive. Survival under this order of civil society must cohere through structures</w:t>
      </w:r>
      <w:r w:rsidRPr="000A0F26">
        <w:rPr>
          <w:rStyle w:val="StyleUnderline"/>
        </w:rPr>
        <w:t xml:space="preserve"> and orders of family life </w:t>
      </w:r>
      <w:r w:rsidRPr="000A0F26">
        <w:rPr>
          <w:rStyle w:val="StyleUnderline"/>
          <w:highlight w:val="green"/>
        </w:rPr>
        <w:t>that sustain themselves through Black death.</w:t>
      </w:r>
    </w:p>
    <w:p xmlns:wp14="http://schemas.microsoft.com/office/word/2010/wordml" w:rsidR="008263E8" w:rsidP="008263E8" w:rsidRDefault="008263E8" w14:paraId="475C53E7" wp14:textId="77777777">
      <w:pPr>
        <w:pStyle w:val="Heading3"/>
      </w:pPr>
      <w:r>
        <w:lastRenderedPageBreak/>
        <w:t>Cap K--L: No material focus</w:t>
      </w:r>
    </w:p>
    <w:p xmlns:wp14="http://schemas.microsoft.com/office/word/2010/wordml" w:rsidRPr="00007AB8" w:rsidR="008263E8" w:rsidP="008263E8" w:rsidRDefault="008263E8" w14:paraId="31A4B529" wp14:textId="77777777">
      <w:pPr>
        <w:pStyle w:val="Heading4"/>
      </w:pPr>
      <w:r w:rsidRPr="00007AB8">
        <w:t>Queer theory lacks a material focus on class which is necessary to determine culture. As such, queer theory cannot properly describe the capitalist system and cannot be used along with materialist analysis. Further, queer theory destabilizes the resistance Marxist groups have posited against the state.</w:t>
      </w:r>
    </w:p>
    <w:p xmlns:wp14="http://schemas.microsoft.com/office/word/2010/wordml" w:rsidRPr="00007AB8" w:rsidR="008263E8" w:rsidP="008263E8" w:rsidRDefault="008263E8" w14:paraId="4BB984E8" wp14:textId="77777777">
      <w:r w:rsidRPr="00007AB8">
        <w:rPr>
          <w:rStyle w:val="Style13ptBold"/>
        </w:rPr>
        <w:t>Penney 14</w:t>
      </w:r>
      <w:r w:rsidRPr="00007AB8">
        <w:t xml:space="preserve"> (James, teaches in the Cultural Studies Department and the Department of Modern Languages (French) at Trent University, Canada, research interests include psychoanalysis (Freud and Lacan), comparative literature and cinema, and cultural theory, After Queer Theory: The Limits of Sexual Politics, 72-74, Pluto Press, 2014) //jd</w:t>
      </w:r>
    </w:p>
    <w:p xmlns:wp14="http://schemas.microsoft.com/office/word/2010/wordml" w:rsidR="008263E8" w:rsidP="008263E8" w:rsidRDefault="008263E8" w14:paraId="2C8ABF9A" wp14:textId="77777777">
      <w:pPr>
        <w:rPr>
          <w:sz w:val="16"/>
        </w:rPr>
      </w:pPr>
      <w:r w:rsidRPr="00007AB8">
        <w:rPr>
          <w:rStyle w:val="StyleUnderline"/>
        </w:rPr>
        <w:t>Even in the best cases, for instance in Judith Butler’s influential analysis of drag performance among poor African-American youth, interest in the impact of socioeconomic determinants is characteristi- cally reduced to the occasional mention of class.3 Indeed, as is the case in poststructuralism more generally, class in queer studies is routinely refigured as merely another aspect of the cultural work effected by the play of signification and power. Such a gesture leaves the material determinants of culture, that is to say culture’s production in and by a properly capitalist system, entirely out of the equation. To be sure, there are very few places one can go in the repertoire of queer discourse to find critical assessments of this unspoken shift from economics to discourse, from history to performativity</w:t>
      </w:r>
      <w:r w:rsidRPr="00294738">
        <w:rPr>
          <w:sz w:val="16"/>
        </w:rPr>
        <w:t xml:space="preserve">. </w:t>
      </w:r>
      <w:r w:rsidRPr="00007AB8">
        <w:rPr>
          <w:rStyle w:val="StyleUnderline"/>
        </w:rPr>
        <w:t>Even more egregiously, queer theory has failed to entertain the possibility that its appearance at the present historical moment is a symptom of capitalist social relations in their most recent, supermobile and globalised phase</w:t>
      </w:r>
      <w:r w:rsidRPr="00294738">
        <w:rPr>
          <w:sz w:val="16"/>
        </w:rPr>
        <w:t xml:space="preserve">. This phase is characterised by the shift of material production from the historical locations of industrial production in Europe, North America and Japan, to the global South. Concurrently, the forms of labour in the global North have become increasingly virtual-immaterial, ‘cognitive’, transient and precarious. </w:t>
      </w:r>
      <w:r w:rsidRPr="00007AB8">
        <w:rPr>
          <w:rStyle w:val="StyleUnderline"/>
        </w:rPr>
        <w:t xml:space="preserve">In such a context, it becomes positively crucial to examine the few key exceptions to the non-engagement of queer theory, including its pre-queer antecedents, with the Marxist tradition. Through such an initiative, we can gain a broader perspective on the political significance of the transformations of sexuality studies over the past half-century than can be established from within the horizons of dominant queer discourse itself. </w:t>
      </w:r>
      <w:r w:rsidRPr="00294738">
        <w:rPr>
          <w:sz w:val="16"/>
        </w:rPr>
        <w:t xml:space="preserve">Foremost among these transformations, </w:t>
      </w:r>
      <w:r w:rsidRPr="00007AB8">
        <w:rPr>
          <w:rStyle w:val="StyleUnderline"/>
        </w:rPr>
        <w:t>in fact the very hallmark of queer theory, is surely the undermining of the long-standing premise that sexuality has been liberated through (at least the appearance of) the relaxation of taboos and prejudices against the expression of feminine and non-heterosexual sexualities. If my own classroom experience with young students in Canada is any indication, this smugly unhistorical premise is shared virtually universally by today’s generation of university-age youth. The later work of Michel Foucault was instrumental in calling into question the assumption that we’ve emancipated sexuality from repression. Much less commonly acknowledged, however, is the fact that Foucault’s decisive turn away from the Marxist tradition before he undertook his History of Sexuality project is significantly responsible for queer theory’s general allergy to materialist analysis</w:t>
      </w:r>
      <w:r w:rsidRPr="00294738">
        <w:rPr>
          <w:sz w:val="16"/>
        </w:rPr>
        <w:t xml:space="preserve">. Indeed, I would suggest that Foucault’s conception of sexuality as discourse/power in that book assumes a rejection of influential Marxian theories of ideology, in particular Althusser’s, which had previously had tremendous impact on that generation of thinkers. For these reasons, it will be helpful now to consider exactly how the massive impact of Foucault’s work on sexuality has rendered the prospects of a contemporary queer Marxism remarkably, even irremediably, dim. Few today would dare to question that Foucault was correct to argue in the late 1970s that sexuality is an invention of late modernity – the mid-nineteenth to late nineteenth century, to be precise. This was the time when sexuality became an object for science. The purpose of this shift was to inaugurate a form of knowledge of a properly sexual kind, and to tie this new quest for knowledge to an </w:t>
      </w:r>
      <w:r w:rsidRPr="00294738">
        <w:rPr>
          <w:sz w:val="16"/>
        </w:rPr>
        <w:lastRenderedPageBreak/>
        <w:t xml:space="preserve">ambition of truth which, for Foucault, shifted the agency of power from its previously constricting and repressive force to a new, productive logic of biopower. </w:t>
      </w:r>
      <w:r w:rsidRPr="00007AB8">
        <w:rPr>
          <w:rStyle w:val="StyleUnderline"/>
        </w:rPr>
        <w:t xml:space="preserve">In light of this thesis, it would appear uncontroversial to claim that the queer theory phenomenon brings to its logical conclusion the ‘incitement to discourse’ that Foucault brilliantly traced back to the birth of sexology and, even further, to the institution of the confession in Christianity.4 Queer theory brings this logic to its endpoint with the argument that sexuality discourse is a productive and disciplinary instrument of biopower. Indeed, if the ‘old’, sovereign form of power gained ascendancy by virtue of the crown or the state’s authority to mete out the death penalty, then sexuality is the emblem of Foucaultian biopower – that is to say, the very incarnation of its authority to regulate not the destruction, but rather the production, of human life as such. For Foucault, modern science’s epistemological thrust into sexuality was a fundamental component of the shift towards a new social logic of bureaucracy and management. </w:t>
      </w:r>
      <w:r w:rsidRPr="00294738">
        <w:rPr>
          <w:sz w:val="16"/>
        </w:rPr>
        <w:t>This new logic functions by instrumentalising the forms of knowledge as a means of producing and disciplining human life.</w:t>
      </w:r>
    </w:p>
    <w:p xmlns:wp14="http://schemas.microsoft.com/office/word/2010/wordml" w:rsidR="008263E8" w:rsidP="008263E8" w:rsidRDefault="008263E8" w14:paraId="1A22906C" wp14:textId="77777777">
      <w:pPr>
        <w:pStyle w:val="Heading3"/>
      </w:pPr>
      <w:r>
        <w:lastRenderedPageBreak/>
        <w:t>Cap K--L: Identity</w:t>
      </w:r>
    </w:p>
    <w:p xmlns:wp14="http://schemas.microsoft.com/office/word/2010/wordml" w:rsidRPr="00007AB8" w:rsidR="008263E8" w:rsidP="008263E8" w:rsidRDefault="008263E8" w14:paraId="572D4968" wp14:textId="77777777">
      <w:pPr>
        <w:pStyle w:val="Heading4"/>
      </w:pPr>
      <w:r w:rsidRPr="00007AB8">
        <w:t>While concentrating on decentering identity, queer theory succeeds in promoting the very goals of global capitalism that work against the formation of communities or provide the means to destroy those that already exist</w:t>
      </w:r>
    </w:p>
    <w:p xmlns:wp14="http://schemas.microsoft.com/office/word/2010/wordml" w:rsidRPr="00007AB8" w:rsidR="008263E8" w:rsidP="008263E8" w:rsidRDefault="008263E8" w14:paraId="0E5EA180" wp14:textId="77777777">
      <w:r w:rsidRPr="00007AB8">
        <w:rPr>
          <w:rStyle w:val="Style13ptBold"/>
        </w:rPr>
        <w:t>Kirsch 6</w:t>
      </w:r>
      <w:r w:rsidRPr="00007AB8">
        <w:t xml:space="preserve"> (Max, PhD Florida Atlantic University, “Queer Theory, Late Capitalism and Internalized Homophobia,” Journal of Homosexuality, Harrington Park Press, Vol. 52, No. ½, 2006, pp. 19-45, DES.</w:t>
      </w:r>
    </w:p>
    <w:p xmlns:wp14="http://schemas.microsoft.com/office/word/2010/wordml" w:rsidR="008263E8" w:rsidP="008263E8" w:rsidRDefault="008263E8" w14:paraId="578B381A" wp14:textId="77777777">
      <w:pPr>
        <w:pStyle w:val="card"/>
        <w:ind w:left="0"/>
        <w:rPr>
          <w:rFonts w:cs="Calibri"/>
          <w:sz w:val="16"/>
        </w:rPr>
      </w:pPr>
      <w:r w:rsidRPr="001A1903">
        <w:rPr>
          <w:rStyle w:val="underline"/>
          <w:rFonts w:cs="Calibri"/>
        </w:rPr>
        <w:t>Jameson</w:t>
      </w:r>
      <w:r w:rsidRPr="001A1903">
        <w:rPr>
          <w:rFonts w:cs="Calibri"/>
          <w:sz w:val="16"/>
        </w:rPr>
        <w:t xml:space="preserve"> has </w:t>
      </w:r>
      <w:r w:rsidRPr="001A1903">
        <w:rPr>
          <w:rStyle w:val="underline"/>
          <w:rFonts w:cs="Calibri"/>
        </w:rPr>
        <w:t>proposed that the concept of alienation in late capitalism has been replaced with fragmentation</w:t>
      </w:r>
      <w:r w:rsidRPr="001A1903">
        <w:rPr>
          <w:rFonts w:cs="Calibri"/>
          <w:sz w:val="16"/>
        </w:rPr>
        <w:t xml:space="preserve"> (1991, p.14). Fragmentation highlights the it also becomes more abstract: What we must now ask ourselves is whether it is precisely this semi-autonomy of the cultural sphere that has been destroyed by the logic of late capitalism. Yet to argue that culture is today no longer endowed with the relative autonomy is once enjoyed as one level among others in earlier moments of capitalism (let alone in precapitalist societies) is not necessarily to imply its disappearance or extinction. Quite the contrary; we must go on to affirm that the autonomous sphere of culture throughout the social realm, to the point at which everything in our social life–from economic value and state power to practices and to the very structure of the psyche itself–can be said to have become ‘cultural’ in some original and yet untheorized sense. This proposition is, however, substantially quite consistent with the previous diagnosis of a society of the image or simulacrum and a transformation of the “real” into so many pseudoevents. (Jameson, 1991, p. 48) </w:t>
      </w:r>
      <w:r w:rsidRPr="001A1903">
        <w:rPr>
          <w:rStyle w:val="underline"/>
          <w:rFonts w:cs="Calibri"/>
        </w:rPr>
        <w:t>The fragmentation of social life repeats itself in the proposal that sexuality and gender are separate and autonomous from bureaucratic state organization</w:t>
      </w:r>
      <w:r w:rsidRPr="001A1903">
        <w:rPr>
          <w:rFonts w:cs="Calibri"/>
          <w:sz w:val="16"/>
        </w:rPr>
        <w:t xml:space="preserve">. If, as in Jameson’s terms, differences can be equated, then this should not pose a problem for the mobilization of resistance to inequality. However, </w:t>
      </w:r>
      <w:r w:rsidRPr="001A1903">
        <w:rPr>
          <w:rStyle w:val="underline"/>
          <w:rFonts w:cs="Calibri"/>
        </w:rPr>
        <w:t>as postmodernist and poststructuralist writers assume a position that this equation is impossible and undesirable, then the dominant modes of power will prevail without analysis or opposition</w:t>
      </w:r>
      <w:r w:rsidRPr="001A1903">
        <w:rPr>
          <w:rFonts w:cs="Calibri"/>
          <w:sz w:val="16"/>
        </w:rPr>
        <w:t xml:space="preserve">. The danger, of course, is that </w:t>
      </w:r>
      <w:r w:rsidRPr="001A1903">
        <w:rPr>
          <w:rStyle w:val="underline"/>
          <w:rFonts w:cs="Calibri"/>
        </w:rPr>
        <w:t>while we concentrate on decentering identity, we succeed in promoting the very goals of global capitalism that work against the formation of communities or provide the means to destroy those that already exist, and with them, any hope for political actio</w:t>
      </w:r>
      <w:r w:rsidRPr="001A1903">
        <w:rPr>
          <w:rFonts w:cs="Calibri"/>
          <w:sz w:val="16"/>
        </w:rPr>
        <w:t xml:space="preserve">n. For those who are not included in traditional sources of community building–in particular, kinship based groupings–the building of an “affectional community . . . must be as much a part of our political movement as are campaigns for civil rights” (Weeks, 1985, p. 176). This </w:t>
      </w:r>
      <w:r w:rsidRPr="001A1903">
        <w:rPr>
          <w:rFonts w:cs="Calibri"/>
          <w:b/>
          <w:u w:val="single"/>
        </w:rPr>
        <w:t>building of communities requires identification</w:t>
      </w:r>
      <w:r w:rsidRPr="001A1903">
        <w:rPr>
          <w:rFonts w:cs="Calibri"/>
          <w:sz w:val="16"/>
        </w:rPr>
        <w:t xml:space="preserve">. If we cannot recognize traits that form the bases of our relationships with others, how then can communities be built? </w:t>
      </w:r>
      <w:r w:rsidRPr="001A1903">
        <w:rPr>
          <w:rFonts w:cs="Calibri"/>
          <w:b/>
          <w:u w:val="single"/>
        </w:rPr>
        <w:t>The preoccupation</w:t>
      </w:r>
      <w:r w:rsidRPr="001A1903">
        <w:rPr>
          <w:rFonts w:cs="Calibri"/>
          <w:sz w:val="16"/>
        </w:rPr>
        <w:t xml:space="preserve"> of Lyotard and Foucault, as examples, </w:t>
      </w:r>
      <w:r w:rsidRPr="001A1903">
        <w:rPr>
          <w:rFonts w:cs="Calibri"/>
          <w:b/>
          <w:u w:val="single"/>
        </w:rPr>
        <w:t>with the overwhelming power of “master narratives,” posits a conclusion that emphasizes individual resistance and that ironically, ends up reinforcing the “narrative” itself</w:t>
      </w:r>
      <w:r w:rsidRPr="001A1903">
        <w:rPr>
          <w:rFonts w:cs="Calibri"/>
          <w:sz w:val="16"/>
        </w:rPr>
        <w:t xml:space="preserve">. </w:t>
      </w:r>
    </w:p>
    <w:p xmlns:wp14="http://schemas.microsoft.com/office/word/2010/wordml" w:rsidR="008263E8" w:rsidP="008263E8" w:rsidRDefault="008263E8" w14:paraId="632BE8B3" wp14:textId="77777777">
      <w:pPr>
        <w:pStyle w:val="Heading3"/>
      </w:pPr>
      <w:r>
        <w:lastRenderedPageBreak/>
        <w:t>Cap K--L: Stranger Fetishism</w:t>
      </w:r>
    </w:p>
    <w:p xmlns:wp14="http://schemas.microsoft.com/office/word/2010/wordml" w:rsidR="008263E8" w:rsidP="008263E8" w:rsidRDefault="008263E8" w14:paraId="2EBAC944" wp14:textId="77777777">
      <w:pPr>
        <w:pStyle w:val="Heading4"/>
      </w:pPr>
      <w:r>
        <w:t>The affs representation of the Other lead itself to co-option by the market. Capitalism has undermined the boundries of the nation-state and instead exists on the level of signs and symbols which re-enforce the nation state. Only a class focused approach to eliminating “the other” dichotomy can solve</w:t>
      </w:r>
    </w:p>
    <w:p xmlns:wp14="http://schemas.microsoft.com/office/word/2010/wordml" w:rsidRPr="00007AB8" w:rsidR="008263E8" w:rsidP="008263E8" w:rsidRDefault="008263E8" w14:paraId="56B1737C" wp14:textId="77777777">
      <w:r w:rsidRPr="00007AB8">
        <w:rPr>
          <w:rStyle w:val="Style13ptBold"/>
        </w:rPr>
        <w:t>Ahmed 13</w:t>
      </w:r>
      <w:r w:rsidRPr="00007AB8">
        <w:t xml:space="preserve"> (Sarah, Strange Encounters: Embodied Others in Post-Coloniality. Pages 115-117 //Starboy)</w:t>
      </w:r>
    </w:p>
    <w:p xmlns:wp14="http://schemas.microsoft.com/office/word/2010/wordml" w:rsidRPr="009118F6" w:rsidR="008263E8" w:rsidP="008263E8" w:rsidRDefault="008263E8" w14:paraId="09D2BC68" wp14:textId="77777777">
      <w:pPr>
        <w:spacing w:after="0" w:line="240" w:lineRule="auto"/>
        <w:rPr>
          <w:rFonts w:eastAsia="Times New Roman" w:cs="Calibri"/>
          <w:sz w:val="16"/>
        </w:rPr>
      </w:pPr>
      <w:r w:rsidRPr="005E4C6D">
        <w:rPr>
          <w:rStyle w:val="StyleUnderline"/>
          <w:rFonts w:cs="Calibri"/>
        </w:rPr>
        <w:t>How are ‘strangers’ consumed? How does the consumption of strangers involve a transformation in the subject who consumes?</w:t>
      </w:r>
      <w:r w:rsidRPr="005E4C6D">
        <w:rPr>
          <w:rFonts w:eastAsia="Times New Roman" w:cs="Calibri"/>
          <w:sz w:val="16"/>
        </w:rPr>
        <w:t xml:space="preserve"> Such questions cannot be addressed without a consideration of the impact of globalisation on consumer culture. Mike Featherstone argues in his introduction to Global Culture: Nationalism, Globalisation and Modernity that globalisation involves not just global cultural inter-relatedness, but ‘persistent cultural interaction and exchange’ (1990: 6). </w:t>
      </w:r>
      <w:r w:rsidRPr="005E4C6D">
        <w:rPr>
          <w:rStyle w:val="StyleUnderline"/>
          <w:rFonts w:cs="Calibri"/>
        </w:rPr>
        <w:t>This series of global cultural flows involves a repertoire of images and information, that is, a mediascape</w:t>
      </w:r>
      <w:r w:rsidRPr="005E4C6D">
        <w:rPr>
          <w:rFonts w:eastAsia="Times New Roman" w:cs="Calibri"/>
          <w:sz w:val="16"/>
        </w:rPr>
        <w:t xml:space="preserve"> (Featherstone 1990: 7). </w:t>
      </w:r>
      <w:r w:rsidRPr="005E4C6D">
        <w:rPr>
          <w:rStyle w:val="StyleUnderline"/>
          <w:rFonts w:cs="Calibri"/>
        </w:rPr>
        <w:t>The mediascape undermines the boundaries of the nation-state</w:t>
      </w:r>
      <w:r w:rsidRPr="005E4C6D">
        <w:rPr>
          <w:rFonts w:eastAsia="Times New Roman" w:cs="Calibri"/>
          <w:sz w:val="16"/>
        </w:rPr>
        <w:t xml:space="preserve"> (Featherstone 1990: 2). I think this model of cultural inter-relatedness needs some qualification. We could argue, in light of my discussion in Chapter 5, that the boundaries of nation-states (or geographic entities such as the ‘West’) have always been imaginary. </w:t>
      </w:r>
      <w:r w:rsidRPr="005E4C6D">
        <w:rPr>
          <w:rStyle w:val="StyleUnderline"/>
          <w:rFonts w:cs="Calibri"/>
        </w:rPr>
        <w:t>While the contemporary mediascape may involve a global flow of images and objects this is not to say that those images and objects do not create and reinforce such imaginative boundaries (and hence the deployment of power) between, for example, the ‘West’ and ‘East’. The flow of cultural images and objects across national boundaries means that ‘difference’ as the basis of imaginary divides (‘us’ and ‘them’) is increasingly available to Western consumers.</w:t>
      </w:r>
      <w:r w:rsidRPr="005E4C6D">
        <w:rPr>
          <w:rFonts w:eastAsia="Times New Roman" w:cs="Calibri"/>
          <w:sz w:val="16"/>
        </w:rPr>
        <w:t xml:space="preserve"> William M. O’Barr’s work, Culture and the Ad: Exploring Otherness in the World of Advertising, suggests that </w:t>
      </w:r>
      <w:r w:rsidRPr="005E4C6D">
        <w:rPr>
          <w:rStyle w:val="StyleUnderline"/>
          <w:rFonts w:cs="Calibri"/>
        </w:rPr>
        <w:t>images of ‘otherness’ and ‘difference’ function to sustain rather than problematise the imaginary boundaries between different nations, or groups of people</w:t>
      </w:r>
      <w:r w:rsidRPr="005E4C6D">
        <w:rPr>
          <w:rFonts w:eastAsia="Times New Roman" w:cs="Calibri"/>
          <w:sz w:val="16"/>
        </w:rPr>
        <w:t xml:space="preserve">. He argues that the fascination with otherness within advertisements helps define the boundaries of a product’s market: that is, to define who is and is not the consumer audience (O’Barr 1994: 2, 12). </w:t>
      </w:r>
      <w:r w:rsidRPr="005E4C6D">
        <w:rPr>
          <w:rStyle w:val="StyleUnderline"/>
          <w:rFonts w:cs="Calibri"/>
        </w:rPr>
        <w:t>The flow of cultural images and objects which play with ‘otherness’ and ‘difference’ may serve to reproduce as well as threaten the imaginary boundaries between social or racial groups. The flow of images and objects across border lines invites us to consider how identity is reconstituted in an intimate relationship to ‘the strange’ and the exotic.</w:t>
      </w:r>
      <w:r w:rsidRPr="005E4C6D">
        <w:rPr>
          <w:rFonts w:eastAsia="Times New Roman" w:cs="Calibri"/>
          <w:sz w:val="16"/>
        </w:rPr>
        <w:t xml:space="preserve"> The Western consumer is invited to ‘go ethnic’ through what she or he might eat, drink, or wear. However, </w:t>
      </w:r>
      <w:r w:rsidRPr="005E4C6D">
        <w:rPr>
          <w:rStyle w:val="StyleUnderline"/>
          <w:rFonts w:cs="Calibri"/>
        </w:rPr>
        <w:t>what is at stake is not only the actual flow or movement of commodity objects across national borders, but the imaginary construction of ‘other places’ in the selling of commodities</w:t>
      </w:r>
      <w:r w:rsidRPr="005E4C6D">
        <w:rPr>
          <w:rFonts w:eastAsia="Times New Roman" w:cs="Calibri"/>
          <w:sz w:val="16"/>
        </w:rPr>
        <w:t xml:space="preserve">. In the case of Boots’s Global Collection, it is important that we do not assume that the commodities themselves have ‘come from’ the places they cite as the origin of the commodity: rather, what is at stake is how the commodity is sold through the fixing of difference in a discourse of origins.3 </w:t>
      </w:r>
      <w:r w:rsidRPr="005E4C6D">
        <w:rPr>
          <w:rStyle w:val="StyleUnderline"/>
          <w:rFonts w:cs="Calibri"/>
        </w:rPr>
        <w:t>The process of consuming the strange does not mean that the strange is the ‘real’ origin of the commodity object: the ‘stranger’ is precisely that which is produced, marketed and sold in order to define the value of the commodity object. In other words, through the commodity, the stranger becomes a fetish: it becomes consumed as something the object simply has.</w:t>
      </w:r>
      <w:r w:rsidRPr="005E4C6D">
        <w:rPr>
          <w:rFonts w:eastAsia="Times New Roman" w:cs="Calibri"/>
          <w:sz w:val="16"/>
        </w:rPr>
        <w:t xml:space="preserve"> This perception of objects as having difference is itself an effect of the very processes of production and exchange embedded in consumer culture. </w:t>
      </w:r>
      <w:r w:rsidRPr="005E4C6D">
        <w:rPr>
          <w:rStyle w:val="StyleUnderline"/>
          <w:rFonts w:cs="Calibri"/>
        </w:rPr>
        <w:t>Consumer culture involves the production of the stranger as a commodity fetish through representations of difference. Differences are defined in terms of culture, and culture, as in the official discourses of multiculturalism (see Chapter 5), is restricted to the privatised and the expressive domain of ‘style’. Increasingly differences have become a matter of style in consumer culture. As Henry Giroux put it, ‘difference is stripped of all social and political antagonisms and becomes a commercial symbol for what is youthfully chic, hip, and fashionable’</w:t>
      </w:r>
      <w:r w:rsidRPr="005E4C6D">
        <w:rPr>
          <w:rFonts w:eastAsia="Times New Roman" w:cs="Calibri"/>
          <w:sz w:val="16"/>
        </w:rPr>
        <w:t xml:space="preserve"> (1994: 15). The definition of difference in terms of style involves the detachment of difference from relationships of antagonism. </w:t>
      </w:r>
      <w:r w:rsidRPr="005E4C6D">
        <w:rPr>
          <w:rStyle w:val="StyleUnderline"/>
          <w:rFonts w:cs="Calibri"/>
        </w:rPr>
        <w:t xml:space="preserve">Difference is used to bind together in the present moment of consumption that </w:t>
      </w:r>
      <w:r w:rsidRPr="005E4C6D">
        <w:rPr>
          <w:rStyle w:val="StyleUnderline"/>
          <w:rFonts w:cs="Calibri"/>
        </w:rPr>
        <w:lastRenderedPageBreak/>
        <w:t xml:space="preserve">which, historically, has been in conflict. The reduction of difference to a matter of style can be linked to the shift from biological racism to cultural racism </w:t>
      </w:r>
      <w:r w:rsidRPr="005E4C6D">
        <w:rPr>
          <w:rFonts w:eastAsia="Times New Roman" w:cs="Calibri"/>
          <w:sz w:val="16"/>
        </w:rPr>
        <w:t xml:space="preserve">(Balibar 1991: 22). Rather than racial difference being fixed through reference to the biological body, racial difference is increasingly fixed through culture itself. For example, Boots’s Global Collection represents difference in terms of style: </w:t>
      </w:r>
      <w:r w:rsidRPr="005E4C6D">
        <w:rPr>
          <w:rStyle w:val="StyleUnderline"/>
          <w:rFonts w:cs="Calibri"/>
        </w:rPr>
        <w:t>the commodity object carries difference in that it can allow you to alter the surface of the body (your hair, your skin) in order to become like them. In other words, its difference (that is, the difference of and in the commodity) is immediately their difference which can become your difference:</w:t>
      </w:r>
      <w:r w:rsidRPr="005E4C6D">
        <w:rPr>
          <w:rFonts w:eastAsia="Times New Roman" w:cs="Calibri"/>
          <w:sz w:val="16"/>
        </w:rPr>
        <w:t xml:space="preserve"> ‘The people of Oshima are famed for having luxurious hair. Oshima, Japan, is the traditional source of material camellia extract renowned for its softening and cleansing benefits. The wonders of the world are now yours to enjoy.’ It is through (rather than despite) the assumption that difference is a style that can be consumed (insofar as the commodity object is assumed to have it), that difference is fixed onto the bodies of others. They appear as strangers (with ‘a life of their own’) in order to enable the consumer to take on their difference, that is, to take on their style. </w:t>
      </w:r>
    </w:p>
    <w:p xmlns:wp14="http://schemas.microsoft.com/office/word/2010/wordml" w:rsidR="008263E8" w:rsidP="008263E8" w:rsidRDefault="008263E8" w14:paraId="31126E5D" wp14:textId="77777777"/>
    <w:p xmlns:wp14="http://schemas.microsoft.com/office/word/2010/wordml" w:rsidR="00E45F43" w:rsidP="00E45F43" w:rsidRDefault="00E45F43" w14:paraId="6F3EE89E" wp14:textId="77777777">
      <w:pPr>
        <w:pStyle w:val="Heading1"/>
      </w:pPr>
      <w:r>
        <w:lastRenderedPageBreak/>
        <w:t>The Devil’s Highway</w:t>
      </w:r>
    </w:p>
    <w:p xmlns:wp14="http://schemas.microsoft.com/office/word/2010/wordml" w:rsidR="00E45F43" w:rsidP="00E45F43" w:rsidRDefault="00E45F43" w14:paraId="6600AB9C" wp14:textId="77777777">
      <w:pPr>
        <w:pStyle w:val="Heading2"/>
      </w:pPr>
      <w:r>
        <w:lastRenderedPageBreak/>
        <w:t>1AC</w:t>
      </w:r>
    </w:p>
    <w:p xmlns:wp14="http://schemas.microsoft.com/office/word/2010/wordml" w:rsidR="00E45F43" w:rsidP="00E45F43" w:rsidRDefault="00E45F43" w14:paraId="710FCA35" wp14:textId="77777777">
      <w:pPr>
        <w:pStyle w:val="Heading4"/>
      </w:pPr>
      <w:r>
        <w:t xml:space="preserve">In May 2001, 26 Mexican men scrambled across the border and into an area of the Arizona desert known as the Devil's Highway. Only 12 made it safely across. </w:t>
      </w:r>
    </w:p>
    <w:p xmlns:wp14="http://schemas.microsoft.com/office/word/2010/wordml" w:rsidR="00E45F43" w:rsidP="00E45F43" w:rsidRDefault="00E45F43" w14:paraId="2AE2C992" wp14:textId="77777777">
      <w:r>
        <w:t xml:space="preserve">(“The Devil’s Highway a True Story”, </w:t>
      </w:r>
      <w:hyperlink w:history="1" r:id="rId125">
        <w:r w:rsidRPr="00B9090F">
          <w:rPr>
            <w:rStyle w:val="Hyperlink"/>
          </w:rPr>
          <w:t>https://www.publishersweekly.com/978-0-316-74671-7</w:t>
        </w:r>
      </w:hyperlink>
      <w:r>
        <w:t>)</w:t>
      </w:r>
    </w:p>
    <w:p xmlns:wp14="http://schemas.microsoft.com/office/word/2010/wordml" w:rsidR="00E45F43" w:rsidP="00E45F43" w:rsidRDefault="00E45F43" w14:paraId="14CAA960" wp14:textId="77777777">
      <w:pPr>
        <w:pStyle w:val="Heading4"/>
      </w:pPr>
      <w:r>
        <w:t>14 others, labeled by the media the “Yuma 14” did not.  Media in the United States depicted the event as a lesson in the cruelty of smugglers and the necessity of border patrol as a lifesaving mechanism – transforming a quotidian trauma into a memorialization of US benevolence and the biopolitical promise of border militarization.</w:t>
      </w:r>
    </w:p>
    <w:p xmlns:wp14="http://schemas.microsoft.com/office/word/2010/wordml" w:rsidR="00E45F43" w:rsidP="00E45F43" w:rsidRDefault="00E45F43" w14:paraId="2DE403A5" wp14:textId="77777777"/>
    <w:p xmlns:wp14="http://schemas.microsoft.com/office/word/2010/wordml" w:rsidRPr="00743C91" w:rsidR="00E45F43" w:rsidP="00E45F43" w:rsidRDefault="00E45F43" w14:paraId="61C039DC" wp14:textId="77777777">
      <w:pPr>
        <w:pStyle w:val="Heading4"/>
        <w:rPr>
          <w:rFonts w:eastAsia="Times New Roman"/>
        </w:rPr>
      </w:pPr>
      <w:r>
        <w:rPr>
          <w:rFonts w:eastAsia="Times New Roman"/>
        </w:rPr>
        <w:t>But</w:t>
      </w:r>
      <w:r w:rsidRPr="00743C91">
        <w:rPr>
          <w:rFonts w:eastAsia="Times New Roman"/>
        </w:rPr>
        <w:t xml:space="preserve"> </w:t>
      </w:r>
      <w:r>
        <w:rPr>
          <w:rFonts w:eastAsia="Times New Roman"/>
        </w:rPr>
        <w:t>“</w:t>
      </w:r>
      <w:r w:rsidRPr="00743C91">
        <w:rPr>
          <w:rFonts w:eastAsia="Times New Roman"/>
        </w:rPr>
        <w:t xml:space="preserve">what ends up happening is stuff gets left behind, for a couple of different reasons, if you’re en route you might throw something down because you get so tired and your bag just gets so heavy. And those things are kind of sprinkled across these migrant trails. But once you get to the end, past the checkpoint, your smuggler says ok we’re safe now, we’ve got to a new road where we can get picked up, someone else will show up in a truck, and then they will say alright the 30 of you, get into this van, leave everything behind, change your clothes, so it doesn’t look like you’ve just walked for two weeks through this desert, </w:t>
      </w:r>
      <w:r>
        <w:rPr>
          <w:rFonts w:eastAsia="Times New Roman"/>
        </w:rPr>
        <w:t>…</w:t>
      </w:r>
      <w:r w:rsidRPr="00743C91">
        <w:rPr>
          <w:rFonts w:eastAsia="Times New Roman"/>
        </w:rPr>
        <w:t> </w:t>
      </w:r>
    </w:p>
    <w:p xmlns:wp14="http://schemas.microsoft.com/office/word/2010/wordml" w:rsidR="00E45F43" w:rsidP="00E45F43" w:rsidRDefault="00E45F43" w14:paraId="11110105" wp14:textId="77777777">
      <w:pPr>
        <w:pStyle w:val="Heading4"/>
        <w:rPr>
          <w:rFonts w:eastAsia="Times New Roman"/>
        </w:rPr>
      </w:pPr>
      <w:r w:rsidRPr="00743C91">
        <w:rPr>
          <w:rFonts w:eastAsia="Times New Roman"/>
        </w:rPr>
        <w:t>Just stuff </w:t>
      </w:r>
      <w:r w:rsidRPr="00743C91">
        <w:rPr>
          <w:rFonts w:eastAsia="Times New Roman"/>
          <w:i/>
        </w:rPr>
        <w:t>everywhere</w:t>
      </w:r>
      <w:r w:rsidRPr="00743C91">
        <w:rPr>
          <w:rFonts w:eastAsia="Times New Roman"/>
        </w:rPr>
        <w:t>, Gatorade bottles, Bibles, photographs, um, toys. The kind of</w:t>
      </w:r>
      <w:r>
        <w:rPr>
          <w:rFonts w:eastAsia="Times New Roman"/>
        </w:rPr>
        <w:t xml:space="preserve"> </w:t>
      </w:r>
      <w:r w:rsidRPr="00743C91">
        <w:rPr>
          <w:rFonts w:eastAsia="Times New Roman"/>
        </w:rPr>
        <w:t>random things that you might throw in your bag and say "I'm leaving my home forever,</w:t>
      </w:r>
      <w:r>
        <w:rPr>
          <w:rFonts w:eastAsia="Times New Roman"/>
        </w:rPr>
        <w:t xml:space="preserve"> </w:t>
      </w:r>
      <w:r w:rsidRPr="00743C91">
        <w:rPr>
          <w:rFonts w:eastAsia="Times New Roman"/>
        </w:rPr>
        <w:t>and these are the things that I want to take with me." You know you see things like a</w:t>
      </w:r>
      <w:r>
        <w:rPr>
          <w:rFonts w:eastAsia="Times New Roman"/>
        </w:rPr>
        <w:t xml:space="preserve"> </w:t>
      </w:r>
      <w:r w:rsidRPr="00743C91">
        <w:rPr>
          <w:rFonts w:eastAsia="Times New Roman"/>
        </w:rPr>
        <w:t>diaper bag or a baby bottle and you wonder my God, you know, who, who just came</w:t>
      </w:r>
      <w:r>
        <w:rPr>
          <w:rFonts w:eastAsia="Times New Roman"/>
        </w:rPr>
        <w:t xml:space="preserve"> </w:t>
      </w:r>
      <w:r w:rsidRPr="00743C91">
        <w:rPr>
          <w:rFonts w:eastAsia="Times New Roman"/>
        </w:rPr>
        <w:t>through this and what's, what's happened to them?</w:t>
      </w:r>
    </w:p>
    <w:p xmlns:wp14="http://schemas.microsoft.com/office/word/2010/wordml" w:rsidRPr="00586AE7" w:rsidR="00E45F43" w:rsidP="00E45F43" w:rsidRDefault="00E45F43" w14:paraId="1FBEFBE6" wp14:textId="77777777">
      <w:r>
        <w:t xml:space="preserve">(“Border Trilogy Part 1,” Radiolab, March 23, 2018, </w:t>
      </w:r>
      <w:r w:rsidRPr="00743C91">
        <w:t>https://www.wnycstudios.org/story/border-trilogy-part-1/</w:t>
      </w:r>
      <w:r>
        <w:t>)</w:t>
      </w:r>
    </w:p>
    <w:p xmlns:wp14="http://schemas.microsoft.com/office/word/2010/wordml" w:rsidR="00E45F43" w:rsidP="00E45F43" w:rsidRDefault="00E45F43" w14:paraId="71D9DB9F" wp14:textId="77777777">
      <w:pPr>
        <w:pStyle w:val="Heading4"/>
      </w:pPr>
      <w:r>
        <w:lastRenderedPageBreak/>
        <w:t>Piles of backpacks left at the border evoke something of the piles of shoes monumentalized in the Holocaust Museum.  Except these lives and deaths, what had to be left behind to move elsewhere will not be shown in a museum challenging the violence US Empire has wrecked on the world.</w:t>
      </w:r>
    </w:p>
    <w:p xmlns:wp14="http://schemas.microsoft.com/office/word/2010/wordml" w:rsidRPr="00311C5F" w:rsidR="00E45F43" w:rsidP="00E45F43" w:rsidRDefault="00E45F43" w14:paraId="62431CDC" wp14:textId="77777777">
      <w:r>
        <w:rPr>
          <w:noProof/>
        </w:rPr>
        <w:drawing>
          <wp:inline xmlns:wp14="http://schemas.microsoft.com/office/word/2010/wordprocessingDrawing" distT="0" distB="0" distL="0" distR="0" wp14:anchorId="3F88920D" wp14:editId="7557D596">
            <wp:extent cx="6169509" cy="4113006"/>
            <wp:effectExtent l="0" t="0" r="3175" b="1905"/>
            <wp:docPr id="3" name="Picture 3" descr="A picture containing motorcycle, bag, items, indoo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ckpacksfinal.jp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6173571" cy="4115714"/>
                    </a:xfrm>
                    <a:prstGeom prst="rect">
                      <a:avLst/>
                    </a:prstGeom>
                  </pic:spPr>
                </pic:pic>
              </a:graphicData>
            </a:graphic>
          </wp:inline>
        </w:drawing>
      </w:r>
    </w:p>
    <w:p xmlns:wp14="http://schemas.microsoft.com/office/word/2010/wordml" w:rsidR="00E45F43" w:rsidP="00E45F43" w:rsidRDefault="00E45F43" w14:paraId="3E20786A" wp14:textId="77777777">
      <w:pPr>
        <w:pStyle w:val="Heading4"/>
        <w:rPr>
          <w:rFonts w:ascii="Segoe UI" w:hAnsi="Segoe UI" w:cs="Segoe UI"/>
          <w:b w:val="0"/>
          <w:bCs/>
          <w:sz w:val="21"/>
          <w:szCs w:val="21"/>
        </w:rPr>
      </w:pPr>
      <w:r>
        <w:rPr>
          <w:rFonts w:ascii="Segoe UI" w:hAnsi="Segoe UI" w:cs="Segoe UI"/>
          <w:b w:val="0"/>
          <w:bCs/>
          <w:sz w:val="21"/>
          <w:szCs w:val="21"/>
        </w:rPr>
        <w:t>Backpacks left by migrants crossing the Sonoran Desert in Arizona. </w:t>
      </w:r>
      <w:r>
        <w:rPr>
          <w:rFonts w:ascii="Segoe UI" w:hAnsi="Segoe UI" w:cs="Segoe UI"/>
          <w:b w:val="0"/>
          <w:bCs/>
          <w:sz w:val="21"/>
          <w:szCs w:val="21"/>
        </w:rPr>
        <w:br/>
      </w:r>
      <w:r>
        <w:rPr>
          <w:rFonts w:ascii="Segoe UI" w:hAnsi="Segoe UI" w:cs="Segoe UI"/>
          <w:b w:val="0"/>
          <w:bCs/>
          <w:sz w:val="21"/>
          <w:szCs w:val="21"/>
        </w:rPr>
        <w:t>( State of Exception/Estado de Excepción, Parsons School of Design at The New School. Created by photographer Richard Barnes and curator Amanda Krugliak with Jason De León. Photo: Marc Tatti. )</w:t>
      </w:r>
    </w:p>
    <w:p xmlns:wp14="http://schemas.microsoft.com/office/word/2010/wordml" w:rsidRPr="00311C5F" w:rsidR="00E45F43" w:rsidP="00E45F43" w:rsidRDefault="00E45F43" w14:paraId="5DA0B130" wp14:textId="77777777">
      <w:r w:rsidRPr="00372FC0">
        <w:t>https://www.wnycstudios.org/story/border-trilogy-part-1/</w:t>
      </w:r>
    </w:p>
    <w:p xmlns:wp14="http://schemas.microsoft.com/office/word/2010/wordml" w:rsidR="00E45F43" w:rsidP="00E45F43" w:rsidRDefault="00E45F43" w14:paraId="431B950A" wp14:textId="77777777">
      <w:r w:rsidRPr="00FE3BCC">
        <w:rPr>
          <w:rStyle w:val="Style13ptBold"/>
        </w:rPr>
        <w:t>Magaña 1</w:t>
      </w:r>
      <w:r>
        <w:rPr>
          <w:rStyle w:val="Style13ptBold"/>
        </w:rPr>
        <w:t>1</w:t>
      </w:r>
      <w:r>
        <w:t xml:space="preserve"> [Rocío, Prof. Anthropology @ Rutgers Dead Bodies: The Deadly Display of Mexican Border Politics,” in </w:t>
      </w:r>
      <w:r w:rsidRPr="00AC7015">
        <w:rPr>
          <w:rStyle w:val="StyleUnderline"/>
        </w:rPr>
        <w:t>A Companion to the Anthropology of the Body and Embodiment</w:t>
      </w:r>
      <w:r>
        <w:t xml:space="preserve">, </w:t>
      </w:r>
      <w:r w:rsidRPr="00EA4DAF">
        <w:t>http://www.tepotech.com/chiapas2015/Magana_Deadly_Display_Mexican_Border.pdf</w:t>
      </w:r>
      <w:r>
        <w:t>//ak]</w:t>
      </w:r>
    </w:p>
    <w:p xmlns:wp14="http://schemas.microsoft.com/office/word/2010/wordml" w:rsidR="00E45F43" w:rsidP="00E45F43" w:rsidRDefault="00E45F43" w14:paraId="02112925" wp14:textId="77777777">
      <w:pPr>
        <w:rPr>
          <w:sz w:val="8"/>
        </w:rPr>
      </w:pPr>
      <w:r w:rsidRPr="00693C71">
        <w:rPr>
          <w:rStyle w:val="StyleUnderline"/>
        </w:rPr>
        <w:t>The management, representation, and the actual infliction of death have long been considered the cornerstone of state sovereignty.</w:t>
      </w:r>
      <w:r w:rsidRPr="00693C71">
        <w:rPr>
          <w:sz w:val="8"/>
        </w:rPr>
        <w:t xml:space="preserve"> Two schools of thought</w:t>
      </w:r>
      <w:r w:rsidRPr="00C00F32">
        <w:rPr>
          <w:sz w:val="8"/>
        </w:rPr>
        <w:t xml:space="preserve"> that have shaped recent analyses on the subject are particularly relevant to this discussion. Michel Foucault's (2003) notion of biopower offers an analysis of sovereignty dually based on the “regulatory” power of states over populations and the “capillary” modes of disciplinary power that produce “docile bodies.” Based on this form of </w:t>
      </w:r>
      <w:r w:rsidRPr="00693C71">
        <w:rPr>
          <w:rStyle w:val="StyleUnderline"/>
        </w:rPr>
        <w:t>biopolitics, which is aimed at disciplining bodies and improving populations,</w:t>
      </w:r>
      <w:r w:rsidRPr="00693C71">
        <w:rPr>
          <w:sz w:val="8"/>
        </w:rPr>
        <w:t xml:space="preserve"> Foucault further suggests that sovereign power </w:t>
      </w:r>
      <w:r w:rsidRPr="00693C71">
        <w:rPr>
          <w:rStyle w:val="StyleUnderline"/>
        </w:rPr>
        <w:t>rest not just in taking life or letting live, but in “making live” and “letting die”</w:t>
      </w:r>
      <w:r w:rsidRPr="00693C71">
        <w:rPr>
          <w:sz w:val="8"/>
        </w:rPr>
        <w:t xml:space="preserve"> (Foucault 2003: 241). On the other hand, Giorgio Agamben (1998) offers an analysis in which the basis for </w:t>
      </w:r>
      <w:r w:rsidRPr="00693C71">
        <w:rPr>
          <w:rStyle w:val="StyleUnderline"/>
        </w:rPr>
        <w:t>political sovereignty focuses on the power to end life, the capacity to kill with impunity. Although</w:t>
      </w:r>
      <w:r w:rsidRPr="000703AD">
        <w:rPr>
          <w:rStyle w:val="StyleUnderline"/>
        </w:rPr>
        <w:t xml:space="preserve"> there are hundreds of migrants who are “let” to die while crossing </w:t>
      </w:r>
      <w:r w:rsidRPr="00693C71">
        <w:rPr>
          <w:rStyle w:val="StyleUnderline"/>
          <w:highlight w:val="green"/>
        </w:rPr>
        <w:t>the border</w:t>
      </w:r>
      <w:r w:rsidRPr="000703AD">
        <w:rPr>
          <w:rStyle w:val="StyleUnderline"/>
        </w:rPr>
        <w:t xml:space="preserve"> each year, and there is certainly much killing that goes unpunished in this region</w:t>
      </w:r>
      <w:r w:rsidRPr="00C00F32">
        <w:rPr>
          <w:sz w:val="8"/>
        </w:rPr>
        <w:t xml:space="preserve">, the politics of death at the U.S.–Mexico border does not neatly match either biopolitical model. Other scholars have contended with the political management of death in contexts for which biopolitical notions of power seem insufficient. Reflecting on the multiple South African afflictions, Achille Mbembe (2003) asserts “necropolitics and necropower … account for the various ways in which, in our contemporary world, weapons are deployed in the </w:t>
      </w:r>
      <w:r w:rsidRPr="00C00F32">
        <w:rPr>
          <w:sz w:val="8"/>
        </w:rPr>
        <w:lastRenderedPageBreak/>
        <w:t xml:space="preserve">interest of maximum destruction of persons and the creation of death-worlds, new and unique forms of social existence in which vast populations are subjected to conditions of life conferring upon them the status of living dead” (Mbembe 2003: 40). My take on the Mexican politics of death is less severe; after all, and despite the anxiety and chaos that characterize the borderlands, the premise of a possible better life has been historically a driving force. As much as death tends to be dislocated into the public domain, this is not a death-world (not yet, anyway). </w:t>
      </w:r>
      <w:r w:rsidRPr="00C00F32">
        <w:rPr>
          <w:rStyle w:val="StyleUnderline"/>
        </w:rPr>
        <w:t xml:space="preserve">This </w:t>
      </w:r>
      <w:r w:rsidRPr="00693C71">
        <w:rPr>
          <w:rStyle w:val="StyleUnderline"/>
          <w:highlight w:val="green"/>
        </w:rPr>
        <w:t>is a place where political life takes place with and through death.</w:t>
      </w:r>
      <w:r>
        <w:rPr>
          <w:rStyle w:val="StyleUnderline"/>
        </w:rPr>
        <w:t xml:space="preserve"> </w:t>
      </w:r>
      <w:r w:rsidRPr="00C00F32">
        <w:rPr>
          <w:sz w:val="8"/>
        </w:rPr>
        <w:t xml:space="preserve">Other approaches positively considered the critique on Agamben's turning of biopolitics into thanatopolitics to explore the extent to which death could mobilize political life. Employing a ritual-oriented approach, Allen Feldman (1991) explores how Irish political prisoners used hunger strike deaths – the ultimate political sacrifice – to transform the space of their segregation and the meaning of their imprisonment through the mastery of their bodies. Stepping away from looking at death as an agentive resource, I would like to hang on to this idea that in death, the observed body bears the possibility to resignify social, political and spatial relations. </w:t>
      </w:r>
      <w:r w:rsidRPr="00693C71">
        <w:rPr>
          <w:rStyle w:val="StyleUnderline"/>
          <w:highlight w:val="green"/>
        </w:rPr>
        <w:t>The significance of the dead body on the U.S.–Mexico border is in its political “afterlife,”</w:t>
      </w:r>
      <w:r w:rsidRPr="00C00F32">
        <w:rPr>
          <w:sz w:val="8"/>
        </w:rPr>
        <w:t xml:space="preserve"> so to speak. The articulation of Mexican sovereignty in relation to the border-related death of subjects is less centered on the how or why of death, than on the roles the dead body, its location and condition, make available for the state. As things stand in the country, the one thing that remains clear is that the state is progressively outmanned and outgunned by the various cartels that operate across its territory, and it does not hold a sovereign monopoly on life, death or violence. Not even the claim of the state's legitimacy over the use of violence goes unchallenged amidst complex layers of corruption that taint the system, from the lowest-ranking officers in the most remote police jurisdictions to the office of the federal executive. The all-too-frequent stories of morgues, hospitals and police stations raided by gangs to steal the bodies of their fallen comrades suggest that the state does not even hold effective control over its dead, the knowledge their bodies may generate, or of how they are to be disposed. And what of the country's role in the decade-long deadly saga of its migrants across treacherous lands? The neglect that triggers this migration in the first place is complexly tied to the dependence on the remittances such migration generates. Put simply, there is no sovereign entity in Mexico with the power to determine effectively and proactively who lives and who dies, who can be killed without consequence, who can be made to live or let die. And yet, the management of the dead at the border allows us to see that there is nevertheless a connection between life, death and sovereignty at work here. </w:t>
      </w:r>
      <w:r w:rsidRPr="00693C71">
        <w:rPr>
          <w:rStyle w:val="StyleUnderline"/>
          <w:highlight w:val="green"/>
        </w:rPr>
        <w:t>The public display of bodies and body parts along border cities</w:t>
      </w:r>
      <w:r w:rsidRPr="00C00F32">
        <w:rPr>
          <w:rStyle w:val="StyleUnderline"/>
        </w:rPr>
        <w:t xml:space="preserve">, the violently written threats that accompany them, the apparently casual circulation of their images, </w:t>
      </w:r>
      <w:r w:rsidRPr="00693C71">
        <w:rPr>
          <w:rStyle w:val="StyleUnderline"/>
          <w:highlight w:val="green"/>
        </w:rPr>
        <w:t>the stories of migrants forever lost in the desert</w:t>
      </w:r>
      <w:r w:rsidRPr="00C00F32">
        <w:rPr>
          <w:rStyle w:val="StyleUnderline"/>
        </w:rPr>
        <w:t xml:space="preserve">, the elaborate documentaries outlining the repatriation of remains – these </w:t>
      </w:r>
      <w:r w:rsidRPr="00693C71">
        <w:rPr>
          <w:rStyle w:val="StyleUnderline"/>
          <w:highlight w:val="green"/>
        </w:rPr>
        <w:t>are all recursive signs of contemporary battles for border control.</w:t>
      </w:r>
      <w:r w:rsidRPr="00C00F32">
        <w:rPr>
          <w:sz w:val="8"/>
        </w:rPr>
        <w:t xml:space="preserve"> In the face of the insecurity and uncertainty produced by the destructive power of the drug cartels and the physically taxing character of contemporary unauthorized migration, perhaps is it not surprising that the resulting dead bodies would be appropriated by the Mexican state in an effort to recast its image of authority. In this border politics of death, the constitution of the Mexican body politic, </w:t>
      </w:r>
      <w:r w:rsidRPr="00693C71">
        <w:rPr>
          <w:rStyle w:val="StyleUnderline"/>
          <w:highlight w:val="green"/>
        </w:rPr>
        <w:t>the production of authority and citizen</w:t>
      </w:r>
      <w:r w:rsidRPr="00C00F32">
        <w:rPr>
          <w:rStyle w:val="StyleUnderline"/>
        </w:rPr>
        <w:t xml:space="preserve"> protection </w:t>
      </w:r>
      <w:r w:rsidRPr="00693C71">
        <w:rPr>
          <w:rStyle w:val="StyleUnderline"/>
          <w:highlight w:val="green"/>
        </w:rPr>
        <w:t>pivots on the effective management and recasting of politically charged dead bodies</w:t>
      </w:r>
      <w:r w:rsidRPr="00C00F32">
        <w:rPr>
          <w:rStyle w:val="StyleUnderline"/>
        </w:rPr>
        <w:t xml:space="preserve">. This can be observed </w:t>
      </w:r>
      <w:r w:rsidRPr="00693C71">
        <w:rPr>
          <w:rStyle w:val="StyleUnderline"/>
          <w:highlight w:val="green"/>
        </w:rPr>
        <w:t>through the technocratic techniques by which these bodies are made legible,</w:t>
      </w:r>
      <w:r w:rsidRPr="00C00F32">
        <w:rPr>
          <w:rStyle w:val="StyleUnderline"/>
        </w:rPr>
        <w:t xml:space="preserve"> reclaimed from the public sphere, </w:t>
      </w:r>
      <w:r w:rsidRPr="00693C71">
        <w:rPr>
          <w:rStyle w:val="StyleUnderline"/>
          <w:highlight w:val="green"/>
        </w:rPr>
        <w:t>and reinstitutionalized as objects of the state's performance.</w:t>
      </w:r>
      <w:r w:rsidRPr="00C00F32">
        <w:rPr>
          <w:rStyle w:val="StyleUnderline"/>
        </w:rPr>
        <w:t xml:space="preserve"> The recasting of bodies as evidence in criminal investigations and legal cases is an example of this. Such appropriation enables the transformation of uncertainty brought about by border violence and neglect and turns the deaths they produce into a political resource.</w:t>
      </w:r>
      <w:r w:rsidRPr="00C00F32">
        <w:rPr>
          <w:sz w:val="8"/>
        </w:rPr>
        <w:t xml:space="preserve"> Although interventions on the dead body may present the state as reactive at best, its seemingly improvised responses to these dislocated corpses draw their potency from a historically rich and complicated relationship that ties claims to territorial sovereignty and the formation of the Mexican body politic to the violent display of the dead. It is, in part, this historical narrative that makes the control of the public dislocation and display of dead bodies on the border so ripe with political possibility.</w:t>
      </w:r>
    </w:p>
    <w:p xmlns:wp14="http://schemas.microsoft.com/office/word/2010/wordml" w:rsidRPr="00A44F31" w:rsidR="00E45F43" w:rsidP="00E45F43" w:rsidRDefault="00E45F43" w14:paraId="1BF08F8F" wp14:textId="77777777">
      <w:pPr>
        <w:rPr>
          <w:b/>
          <w:i/>
          <w:u w:val="single"/>
        </w:rPr>
      </w:pPr>
      <w:r w:rsidRPr="00693C71">
        <w:rPr>
          <w:rStyle w:val="StyleUnderline"/>
          <w:i/>
          <w:highlight w:val="green"/>
        </w:rPr>
        <w:t>Five men stumbled out of the mountain pass so sunstruck they didn't know their own names, couldn't remember where they'd come from, had forgotten how long they'd been lost.</w:t>
      </w:r>
      <w:r w:rsidRPr="00A44F31">
        <w:rPr>
          <w:i/>
        </w:rPr>
        <w:t xml:space="preserve"> One of them wandered back up a peak.One of them was barefoot. They were burned nearly black, their lips huge and cracking,what paltry drool still available to them spuming from their mouths in a salty foam as they walked. </w:t>
      </w:r>
      <w:r w:rsidRPr="00A44F31">
        <w:rPr>
          <w:rStyle w:val="StyleUnderline"/>
          <w:i/>
        </w:rPr>
        <w:t>Their eyes were cloudy with dust, almost too dry to blink up a tear. Their hair was hard and stiffened by old sweat,</w:t>
      </w:r>
      <w:r w:rsidRPr="00A44F31">
        <w:rPr>
          <w:i/>
        </w:rPr>
        <w:t xml:space="preserve"> standing in crowns from their scalps, </w:t>
      </w:r>
      <w:r w:rsidRPr="00A44F31">
        <w:rPr>
          <w:rStyle w:val="StyleUnderline"/>
          <w:i/>
        </w:rPr>
        <w:t xml:space="preserve">old sweat because their bodies were no longer sweating. They were drunk from having their brains baked in the pan, </w:t>
      </w:r>
      <w:r w:rsidRPr="00530438">
        <w:rPr>
          <w:rStyle w:val="StyleUnderline"/>
          <w:i/>
          <w:highlight w:val="green"/>
        </w:rPr>
        <w:t>they were seeing God and devils, and they were dizzy from drinking their own urine</w:t>
      </w:r>
      <w:r w:rsidRPr="00A44F31">
        <w:rPr>
          <w:rStyle w:val="StyleUnderline"/>
          <w:i/>
        </w:rPr>
        <w:t>, the poisons clogging their systems.</w:t>
      </w:r>
    </w:p>
    <w:p xmlns:wp14="http://schemas.microsoft.com/office/word/2010/wordml" w:rsidRPr="00A44F31" w:rsidR="00E45F43" w:rsidP="00E45F43" w:rsidRDefault="00E45F43" w14:paraId="1C683951" wp14:textId="77777777">
      <w:pPr>
        <w:rPr>
          <w:i/>
        </w:rPr>
      </w:pPr>
      <w:r w:rsidRPr="00A44F31">
        <w:rPr>
          <w:rStyle w:val="StyleUnderline"/>
          <w:i/>
        </w:rPr>
        <w:t>They were beyond rational thought. Visions of home fluttered through their minds. Soft green bushes, waterfalls, children, music. Butterflies the size of your hand. Leaves and beans of coffee plants burning through the morning mist as if lit from within. Rivers. Not like this place where they'd gotten lost. Nothing soft here.</w:t>
      </w:r>
      <w:r w:rsidRPr="00A44F31">
        <w:rPr>
          <w:i/>
        </w:rPr>
        <w:t xml:space="preserve"> This world of spikes and crags was as alien to them as if they'd suddenly awakened on Mars. They had seen cowboys cut open cacti to find water in the movies, but they didn't know what cactus among the many before them might hold some hope. Men tore their faces open chewing saguaros and prickly pears, leaving gutted plants that looked like animals had torn them apart with their claws. The green here was gray.</w:t>
      </w:r>
    </w:p>
    <w:p xmlns:wp14="http://schemas.microsoft.com/office/word/2010/wordml" w:rsidRPr="00A44F31" w:rsidR="00E45F43" w:rsidP="00E45F43" w:rsidRDefault="00E45F43" w14:paraId="6F91F5AE" wp14:textId="77777777">
      <w:pPr>
        <w:rPr>
          <w:rStyle w:val="StyleUnderline"/>
          <w:i/>
        </w:rPr>
      </w:pPr>
      <w:r w:rsidRPr="00530438">
        <w:rPr>
          <w:rStyle w:val="StyleUnderline"/>
          <w:i/>
          <w:highlight w:val="green"/>
        </w:rPr>
        <w:t>They were walking now for water, not salvation. Just a drink.</w:t>
      </w:r>
      <w:r w:rsidRPr="00A44F31">
        <w:rPr>
          <w:rStyle w:val="StyleUnderline"/>
          <w:i/>
        </w:rPr>
        <w:t xml:space="preserve"> They whispered it to each other</w:t>
      </w:r>
      <w:r w:rsidRPr="00A44F31">
        <w:rPr>
          <w:i/>
        </w:rPr>
        <w:t xml:space="preserve"> as they staggered into parched pools of their own shadows, forever spilling downhill before them: Just one drink, brothers. Water. Cold water! </w:t>
      </w:r>
      <w:r w:rsidRPr="00A44F31">
        <w:rPr>
          <w:rStyle w:val="StyleUnderline"/>
          <w:i/>
        </w:rPr>
        <w:t>They walked west, though they didn't know it; they had no concept anymore of destination. The only direction they could manage was through the gap they stumbled across as they cut through the Granite Mountains of southern Arizona. Now canyons and arroyos shuffled them west, toward Yuma, though they didn't know where Yuma was and wouldn't have reached it if they did.</w:t>
      </w:r>
    </w:p>
    <w:p xmlns:wp14="http://schemas.microsoft.com/office/word/2010/wordml" w:rsidRPr="00A44F31" w:rsidR="00E45F43" w:rsidP="00E45F43" w:rsidRDefault="00E45F43" w14:paraId="470C9A52" wp14:textId="77777777">
      <w:pPr>
        <w:rPr>
          <w:rStyle w:val="StyleUnderline"/>
          <w:i/>
        </w:rPr>
      </w:pPr>
      <w:r w:rsidRPr="00A44F31">
        <w:rPr>
          <w:i/>
        </w:rPr>
        <w:lastRenderedPageBreak/>
        <w:t xml:space="preserve">They came down out of the screaming sun and broke onto the rough plains of the Cabeza Prieta wilderness, at the south end of the United States Air Force's Barry Goldwater bombing range, where the sun recommenced its burning. </w:t>
      </w:r>
      <w:r w:rsidRPr="00530438">
        <w:rPr>
          <w:rStyle w:val="StyleUnderline"/>
          <w:i/>
          <w:highlight w:val="green"/>
        </w:rPr>
        <w:t>Cutting through this region</w:t>
      </w:r>
      <w:r w:rsidRPr="00530438">
        <w:rPr>
          <w:rStyle w:val="StyleUnderline"/>
          <w:i/>
        </w:rPr>
        <w:t xml:space="preserve">, and lending its name to the terrible landscape, </w:t>
      </w:r>
      <w:r w:rsidRPr="00530438">
        <w:rPr>
          <w:rStyle w:val="StyleUnderline"/>
          <w:i/>
          <w:highlight w:val="green"/>
        </w:rPr>
        <w:t>was the Devil's Highway</w:t>
      </w:r>
      <w:r w:rsidRPr="00530438">
        <w:rPr>
          <w:rStyle w:val="StyleUnderline"/>
          <w:i/>
        </w:rPr>
        <w:t xml:space="preserve">, more death, another desert. They were in </w:t>
      </w:r>
      <w:r w:rsidRPr="00530438">
        <w:rPr>
          <w:rStyle w:val="StyleUnderline"/>
          <w:i/>
          <w:highlight w:val="green"/>
        </w:rPr>
        <w:t>a vast trickery of sand.</w:t>
      </w:r>
    </w:p>
    <w:p xmlns:wp14="http://schemas.microsoft.com/office/word/2010/wordml" w:rsidRPr="00A44F31" w:rsidR="00E45F43" w:rsidP="00E45F43" w:rsidRDefault="00E45F43" w14:paraId="0B813E38" wp14:textId="77777777">
      <w:pPr>
        <w:rPr>
          <w:rStyle w:val="StyleUnderline"/>
          <w:i/>
        </w:rPr>
      </w:pPr>
      <w:r w:rsidRPr="00A44F31">
        <w:rPr>
          <w:rStyle w:val="StyleUnderline"/>
          <w:i/>
        </w:rPr>
        <w:t>In many ancient religious texts, fallen angels were bound in chains and buried beneath a desert known only as Desolation. This could be the place.</w:t>
      </w:r>
    </w:p>
    <w:p xmlns:wp14="http://schemas.microsoft.com/office/word/2010/wordml" w:rsidRPr="00A44F31" w:rsidR="00E45F43" w:rsidP="00E45F43" w:rsidRDefault="00E45F43" w14:paraId="695ABCF9" wp14:textId="77777777">
      <w:pPr>
        <w:rPr>
          <w:i/>
          <w:sz w:val="16"/>
          <w:szCs w:val="16"/>
        </w:rPr>
      </w:pPr>
      <w:r w:rsidRPr="00A44F31">
        <w:rPr>
          <w:i/>
          <w:sz w:val="16"/>
          <w:szCs w:val="16"/>
        </w:rPr>
        <w:t>In the distance, deceptive stands of mesquite trees must have looked like oases. Ten trees a quarter mile apart can look like a cool grove from a distance. In the western desert, twenty miles looks like ten. And ten miles can kill. There was still no water; there wasn't even any shade.</w:t>
      </w:r>
    </w:p>
    <w:p xmlns:wp14="http://schemas.microsoft.com/office/word/2010/wordml" w:rsidRPr="00A44F31" w:rsidR="00E45F43" w:rsidP="00E45F43" w:rsidRDefault="00E45F43" w14:paraId="4CD64B22" wp14:textId="77777777">
      <w:pPr>
        <w:rPr>
          <w:i/>
          <w:sz w:val="16"/>
          <w:szCs w:val="16"/>
        </w:rPr>
      </w:pPr>
      <w:r w:rsidRPr="00A44F31">
        <w:rPr>
          <w:i/>
          <w:sz w:val="16"/>
          <w:szCs w:val="16"/>
        </w:rPr>
        <w:t>Black ironwood stumps writhed from the ground. Dead for five hundred years, they had already been two thousand years old when they died. It was a forest of eldritch bones. The men had cactus spines in their faces, their hands. There wasn't enough fluid left in them to bleed. They'd climbed peaks, hoping to find a town, or a river, had seen more landscape, and tumbled down the far side to keep walking. One of them said, "Too many damned rocks." Pinches piedras, he said. Damned heat. Damned sun.</w:t>
      </w:r>
    </w:p>
    <w:p xmlns:wp14="http://schemas.microsoft.com/office/word/2010/wordml" w:rsidRPr="00A44F31" w:rsidR="00E45F43" w:rsidP="00E45F43" w:rsidRDefault="00E45F43" w14:paraId="04840ADE" wp14:textId="77777777">
      <w:pPr>
        <w:rPr>
          <w:rStyle w:val="StyleUnderline"/>
          <w:i/>
        </w:rPr>
      </w:pPr>
      <w:r w:rsidRPr="00A44F31">
        <w:rPr>
          <w:i/>
        </w:rPr>
        <w:t xml:space="preserve">Now, as they came out of the hills, they faced the plain and the far wall of the Gila Mountains. Mauve and yellow cliffs. A volcanic cone called Raven's Butte that was dark, as if a rain cloud were hovering over it. It looked as if you could find relief on its perpetually shadowy flanks, but that too was an illusion. </w:t>
      </w:r>
      <w:r w:rsidRPr="00A44F31">
        <w:rPr>
          <w:rStyle w:val="StyleUnderline"/>
          <w:i/>
        </w:rPr>
        <w:t>Abandoned army tanks, preserved forever in the dry heat, stood in their path, a ghostly arrangement that must have seemed like another bad dream. Their full-sun 110-degree nightmare.</w:t>
      </w:r>
    </w:p>
    <w:p xmlns:wp14="http://schemas.microsoft.com/office/word/2010/wordml" w:rsidRPr="00A44F31" w:rsidR="00E45F43" w:rsidP="00E45F43" w:rsidRDefault="00E45F43" w14:paraId="4D336DC9" wp14:textId="77777777">
      <w:pPr>
        <w:rPr>
          <w:i/>
        </w:rPr>
      </w:pPr>
      <w:r w:rsidRPr="00A44F31">
        <w:rPr>
          <w:i/>
        </w:rPr>
        <w:t>"The Devil's Highway" is a name that has set out to illuminate one notion: bad medicine.</w:t>
      </w:r>
    </w:p>
    <w:p xmlns:wp14="http://schemas.microsoft.com/office/word/2010/wordml" w:rsidRPr="00A44F31" w:rsidR="00E45F43" w:rsidP="00E45F43" w:rsidRDefault="00E45F43" w14:paraId="29C25AF5" wp14:textId="77777777">
      <w:pPr>
        <w:rPr>
          <w:rStyle w:val="StyleUnderline"/>
          <w:i/>
        </w:rPr>
      </w:pPr>
      <w:r w:rsidRPr="00A44F31">
        <w:rPr>
          <w:rStyle w:val="StyleUnderline"/>
          <w:i/>
        </w:rPr>
        <w:t>The first white man known to die in the desert heat here did it on January 18, 1541.</w:t>
      </w:r>
    </w:p>
    <w:p xmlns:wp14="http://schemas.microsoft.com/office/word/2010/wordml" w:rsidRPr="00A44F31" w:rsidR="00E45F43" w:rsidP="00E45F43" w:rsidRDefault="00E45F43" w14:paraId="0317EB77" wp14:textId="77777777">
      <w:pPr>
        <w:rPr>
          <w:i/>
        </w:rPr>
      </w:pPr>
      <w:r w:rsidRPr="00A44F31">
        <w:rPr>
          <w:rStyle w:val="StyleUnderline"/>
          <w:i/>
        </w:rPr>
        <w:t>Most assuredly, others had died before. As long as there have been people, there have been deaths in the western desert.</w:t>
      </w:r>
      <w:r w:rsidRPr="00A44F31">
        <w:rPr>
          <w:i/>
        </w:rPr>
        <w:t xml:space="preserve"> When the Devil's Highway was a faint scratch of desert bighorn hoof marks, and the first hunters ran along it, someone died. But the brown and red men who ran the paths left no record outside of faded songs and rock paintings we still don't understand.</w:t>
      </w:r>
    </w:p>
    <w:p xmlns:wp14="http://schemas.microsoft.com/office/word/2010/wordml" w:rsidRPr="00A44F31" w:rsidR="00E45F43" w:rsidP="00E45F43" w:rsidRDefault="00E45F43" w14:paraId="5FFB37D1" wp14:textId="77777777">
      <w:pPr>
        <w:rPr>
          <w:rStyle w:val="StyleUnderline"/>
          <w:i/>
        </w:rPr>
      </w:pPr>
      <w:r w:rsidRPr="00A44F31">
        <w:rPr>
          <w:i/>
        </w:rPr>
        <w:t xml:space="preserve">Desert spirits of a dark and mysterious nature have always traveled these trails. </w:t>
      </w:r>
      <w:r w:rsidRPr="00530438">
        <w:rPr>
          <w:rStyle w:val="StyleUnderline"/>
          <w:i/>
          <w:highlight w:val="green"/>
        </w:rPr>
        <w:t>From the beginning, the highway has always lacked grace</w:t>
      </w:r>
      <w:r w:rsidRPr="00A44F31">
        <w:rPr>
          <w:rStyle w:val="StyleUnderline"/>
          <w:i/>
        </w:rPr>
        <w:t xml:space="preserve"> --- those who worship desert gods know them to favor retribution over the tender dove of forgiveness. In Desolation, doves are at the bottom of the food chain. </w:t>
      </w:r>
      <w:r w:rsidRPr="00530438">
        <w:rPr>
          <w:rStyle w:val="StyleUnderline"/>
          <w:i/>
          <w:highlight w:val="green"/>
        </w:rPr>
        <w:t>Tohono O'Odham poet Ofelia Zepeda has pointed out that rosaries and Hail Marys don't work out here. "You need a new kind of prayers," she says, "to negotiate with this land."</w:t>
      </w:r>
    </w:p>
    <w:p xmlns:wp14="http://schemas.microsoft.com/office/word/2010/wordml" w:rsidRPr="00A44F31" w:rsidR="00E45F43" w:rsidP="00E45F43" w:rsidRDefault="00E45F43" w14:paraId="0FA6EE98" wp14:textId="77777777">
      <w:pPr>
        <w:rPr>
          <w:i/>
          <w:sz w:val="16"/>
          <w:szCs w:val="16"/>
        </w:rPr>
      </w:pPr>
      <w:r w:rsidRPr="00A44F31">
        <w:rPr>
          <w:i/>
          <w:sz w:val="16"/>
          <w:szCs w:val="16"/>
        </w:rPr>
        <w:t>The first time the sky and earth came together, Elder Brother, I'itoi, was born. He still resides in a windy cave overlooking the western desert, and he resents uninvited visitors. Mountains are called do'ags. In the side of one do'ag can be found the twin caves where the spirit of the evil witch, Ho'ok, hides. The coyote-spirit of the place is called Ban, and he works his wicked pranks in the big open spaces.</w:t>
      </w:r>
    </w:p>
    <w:p xmlns:wp14="http://schemas.microsoft.com/office/word/2010/wordml" w:rsidRPr="00A44F31" w:rsidR="00E45F43" w:rsidP="00E45F43" w:rsidRDefault="00E45F43" w14:paraId="13370F2D" wp14:textId="77777777">
      <w:pPr>
        <w:rPr>
          <w:i/>
          <w:sz w:val="16"/>
          <w:szCs w:val="16"/>
        </w:rPr>
      </w:pPr>
      <w:r w:rsidRPr="00A44F31">
        <w:rPr>
          <w:i/>
          <w:sz w:val="16"/>
          <w:szCs w:val="16"/>
        </w:rPr>
        <w:t>Everywhere, red shadows. Tiny men live underground, and they are known to the Yaqui Indians hereabouts as Surem. In the past, before the first white man died, uku, the devil, controlled all the corn until the crows stole it from him and let some of it slip so men could eat. Mexico's oldest hoodoo, La Llorona, the wailing ghost, has been heard rushing down nearby creek beds. And its newest hoodoo, the dreaded Chupacabras (the Goat Sucker), has been seen attacking animals, lurking in outhouses, and even jumping in bedroom windows to munch on sleeping children. An Apache witness said the Chupacabras was a whispering kangaroo. It said, "Come here." He swore it did.</w:t>
      </w:r>
    </w:p>
    <w:p xmlns:wp14="http://schemas.microsoft.com/office/word/2010/wordml" w:rsidRPr="00A44F31" w:rsidR="00E45F43" w:rsidP="00E45F43" w:rsidRDefault="00E45F43" w14:paraId="5DC95506" wp14:textId="77777777">
      <w:pPr>
        <w:rPr>
          <w:i/>
          <w:sz w:val="16"/>
          <w:szCs w:val="16"/>
        </w:rPr>
      </w:pPr>
      <w:r w:rsidRPr="00A44F31">
        <w:rPr>
          <w:i/>
          <w:sz w:val="16"/>
          <w:szCs w:val="16"/>
        </w:rPr>
        <w:t>The plants are noxious and spiked. Saguaros, nopales, the fiendish chollas. Each long cholla spike has a small barb, and they hook into the skin, and they catch in elbow creases and hook forearm and biceps together. Even the green mesquite trees have long thorns set just at eye level.</w:t>
      </w:r>
    </w:p>
    <w:p xmlns:wp14="http://schemas.microsoft.com/office/word/2010/wordml" w:rsidRPr="00A44F31" w:rsidR="00E45F43" w:rsidP="00E45F43" w:rsidRDefault="00E45F43" w14:paraId="0AF017F9" wp14:textId="77777777">
      <w:pPr>
        <w:rPr>
          <w:i/>
          <w:sz w:val="16"/>
          <w:szCs w:val="16"/>
        </w:rPr>
      </w:pPr>
      <w:r w:rsidRPr="00A44F31">
        <w:rPr>
          <w:i/>
          <w:sz w:val="16"/>
          <w:szCs w:val="16"/>
        </w:rPr>
        <w:lastRenderedPageBreak/>
        <w:t>Much of the wildlife is nocturnal, and it creeps through the nights, poisonous and alien: the sidewinder,the rattlesnake, the scorpion, the giant centipede, the black widow, the tarantula, the brown recluse, the coral snake, the Gila monster. The kissing bug bites you and its poison makes the entire body erupt in red welts. Fungus drifts on the valley dust, and it sinks into the lungs and throbs to life. The millennium has added a further danger: all wild bees in southern Arizona, naturalists report, are now Africanized. As if the desert felt it hadn't made its point, it added killer bees.</w:t>
      </w:r>
    </w:p>
    <w:p xmlns:wp14="http://schemas.microsoft.com/office/word/2010/wordml" w:rsidRPr="00A44F31" w:rsidR="00E45F43" w:rsidP="00E45F43" w:rsidRDefault="00E45F43" w14:paraId="19BE68CB" wp14:textId="77777777">
      <w:pPr>
        <w:rPr>
          <w:i/>
          <w:sz w:val="16"/>
          <w:szCs w:val="16"/>
        </w:rPr>
      </w:pPr>
      <w:r w:rsidRPr="00A44F31">
        <w:rPr>
          <w:i/>
          <w:sz w:val="16"/>
          <w:szCs w:val="16"/>
        </w:rPr>
        <w:t>Today, the ancient Hohokam have vanished, like the Anasazi, long gone in the north. Their etchings and ruins still dot the ground; unexplained radiating lines lead away from the center like ghost roads in the shape of a great star. Not all of these paths are ancient. Some of the lines have been made by the illegals, cutting across the waste to the far lights of Ajo, or Sells, or the Mohawk rest area on I-8. Others are old beyond dating, and no one knows where they lead. Footprints of long-dead cowboys are still there, wagon ruts and mule scuffs. And beneath these, the prints of the phantom Hohokam themselves.</w:t>
      </w:r>
    </w:p>
    <w:p xmlns:wp14="http://schemas.microsoft.com/office/word/2010/wordml" w:rsidRPr="00A44F31" w:rsidR="00E45F43" w:rsidP="00E45F43" w:rsidRDefault="00E45F43" w14:paraId="554EB480" wp14:textId="77777777">
      <w:pPr>
        <w:rPr>
          <w:i/>
          <w:sz w:val="16"/>
          <w:szCs w:val="16"/>
        </w:rPr>
      </w:pPr>
      <w:r w:rsidRPr="00A44F31">
        <w:rPr>
          <w:i/>
          <w:sz w:val="16"/>
          <w:szCs w:val="16"/>
        </w:rPr>
        <w:t>In certain places, boulders form straight lines, arrayed along compass directions on the burning plains. Among these stones are old rock piles in the shapes of arrows. They were left by well-wishers in 1890, aiming at a tinaja (water hole) hidden among crags. Cairns that serve as mysterious signposts for messages long forgotten mix with ancient graves. Etchings made in the hardpan with feet or sticks form animals centuries old and only visible from the air. Some of these cairns have been put in place by Border Patrol signcutters (trackers), and they are often at the junction of two desert paths, but the cutters just smile when you ask what they mean. One more secret of Desolation.</w:t>
      </w:r>
    </w:p>
    <w:p xmlns:wp14="http://schemas.microsoft.com/office/word/2010/wordml" w:rsidRPr="00A44F31" w:rsidR="00E45F43" w:rsidP="00E45F43" w:rsidRDefault="00E45F43" w14:paraId="1A2CBD9C" wp14:textId="77777777">
      <w:pPr>
        <w:rPr>
          <w:i/>
        </w:rPr>
      </w:pPr>
      <w:r w:rsidRPr="00530438">
        <w:rPr>
          <w:rStyle w:val="StyleUnderline"/>
          <w:i/>
          <w:highlight w:val="green"/>
        </w:rPr>
        <w:t>When the white men came, they brought with them their mania for record keeping. They made their way across the land, subduing indigenous tribes, civilizing the frontier. Missionaries brought the gentle word of the Lamb. Cavalrymen</w:t>
      </w:r>
      <w:r w:rsidRPr="00A44F31">
        <w:rPr>
          <w:rStyle w:val="StyleUnderline"/>
          <w:i/>
        </w:rPr>
        <w:t xml:space="preserve"> bravely tamed the badlands, </w:t>
      </w:r>
      <w:r w:rsidRPr="00530438">
        <w:rPr>
          <w:rStyle w:val="StyleUnderline"/>
          <w:i/>
          <w:highlight w:val="green"/>
        </w:rPr>
        <w:t>built</w:t>
      </w:r>
      <w:r w:rsidRPr="00A44F31">
        <w:rPr>
          <w:rStyle w:val="StyleUnderline"/>
          <w:i/>
        </w:rPr>
        <w:t xml:space="preserve"> military outposts, </w:t>
      </w:r>
      <w:r w:rsidRPr="00530438">
        <w:rPr>
          <w:rStyle w:val="StyleUnderline"/>
          <w:i/>
          <w:highlight w:val="green"/>
        </w:rPr>
        <w:t>settlements</w:t>
      </w:r>
      <w:r w:rsidRPr="00A44F31">
        <w:rPr>
          <w:rStyle w:val="StyleUnderline"/>
          <w:i/>
        </w:rPr>
        <w:t>, ranches, and towns.</w:t>
      </w:r>
      <w:r w:rsidRPr="00A44F31">
        <w:rPr>
          <w:i/>
        </w:rPr>
        <w:t xml:space="preserve"> Cowboys rode like the wind. Gunslingers fell. The worst bandits you could imagine drank rotgut and shot sheriffs, yet lived on in popular mythology and became the subjects of popular songs and cheap fictions. Railroads followed, and the great cattle drives, and the dusty range wars, and the discovery of gold and silver. In the great north woods, lumberjacks collected the big trees. The Alamo. The Civil War took out countless citizens in its desperate upheaval.</w:t>
      </w:r>
    </w:p>
    <w:p xmlns:wp14="http://schemas.microsoft.com/office/word/2010/wordml" w:rsidRPr="00A44F31" w:rsidR="00E45F43" w:rsidP="00E45F43" w:rsidRDefault="00E45F43" w14:paraId="7DCB836D" wp14:textId="77777777">
      <w:pPr>
        <w:rPr>
          <w:rStyle w:val="StyleUnderline"/>
          <w:i/>
        </w:rPr>
      </w:pPr>
      <w:r w:rsidRPr="00A44F31">
        <w:rPr>
          <w:rStyle w:val="StyleUnderline"/>
          <w:i/>
        </w:rPr>
        <w:t>Every Tijuana schoolkid knows it: it's the history of Mexico.</w:t>
      </w:r>
    </w:p>
    <w:p xmlns:wp14="http://schemas.microsoft.com/office/word/2010/wordml" w:rsidR="00E45F43" w:rsidP="00E45F43" w:rsidRDefault="00E45F43" w14:paraId="209EAC73" wp14:textId="77777777">
      <w:r>
        <w:t>~ Luis Alberto Urrea</w:t>
      </w:r>
      <w:r w:rsidRPr="004E576C">
        <w:t xml:space="preserve">, </w:t>
      </w:r>
      <w:r w:rsidRPr="00AC7015">
        <w:rPr>
          <w:rStyle w:val="StyleUnderline"/>
        </w:rPr>
        <w:t>The Devils Highway</w:t>
      </w:r>
      <w:r w:rsidRPr="004E576C">
        <w:t xml:space="preserve"> </w:t>
      </w:r>
      <w:r>
        <w:t>(</w:t>
      </w:r>
      <w:r w:rsidRPr="004E576C">
        <w:t>kindl</w:t>
      </w:r>
      <w:r>
        <w:t>e, 2004)</w:t>
      </w:r>
    </w:p>
    <w:p xmlns:wp14="http://schemas.microsoft.com/office/word/2010/wordml" w:rsidRPr="00982EFE" w:rsidR="00E45F43" w:rsidP="00E45F43" w:rsidRDefault="00E45F43" w14:paraId="49E398E2" wp14:textId="77777777"/>
    <w:p xmlns:wp14="http://schemas.microsoft.com/office/word/2010/wordml" w:rsidR="00E45F43" w:rsidP="00E45F43" w:rsidRDefault="00E45F43" w14:paraId="0A068921" wp14:textId="77777777">
      <w:pPr>
        <w:pStyle w:val="Heading4"/>
      </w:pPr>
      <w:r>
        <w:t>The state creates striated space through the rerouting of desire and the reterritorializing of memory.  The border actualizes through fascistic desires to stabilize and manage life, space, and time</w:t>
      </w:r>
    </w:p>
    <w:p xmlns:wp14="http://schemas.microsoft.com/office/word/2010/wordml" w:rsidRPr="008131DC" w:rsidR="00E45F43" w:rsidP="00E45F43" w:rsidRDefault="00E45F43" w14:paraId="0223B005" wp14:textId="77777777">
      <w:pPr>
        <w:rPr>
          <w:sz w:val="16"/>
        </w:rPr>
      </w:pPr>
      <w:r w:rsidRPr="008131DC">
        <w:rPr>
          <w:rStyle w:val="Style13ptBold"/>
        </w:rPr>
        <w:t xml:space="preserve">Parr 08 </w:t>
      </w:r>
      <w:r w:rsidRPr="008131DC">
        <w:rPr>
          <w:sz w:val="16"/>
        </w:rPr>
        <w:t xml:space="preserve">[Adrian, Professor and Director of The Charles Phelps Taft Research Center; Department of Political Science &amp; School of Architecture and Interior Design; UNESCO Water Chair, “US Military Abuses at Abu Ghraib,” in Deleuze and Memorial Culture: Desire, Singular Memory, and the Politics of Trauma, pp. </w:t>
      </w:r>
      <w:r>
        <w:t>130-41</w:t>
      </w:r>
      <w:r>
        <w:rPr>
          <w:sz w:val="16"/>
        </w:rPr>
        <w:t>//AK</w:t>
      </w:r>
      <w:r w:rsidRPr="008131DC">
        <w:rPr>
          <w:sz w:val="16"/>
        </w:rPr>
        <w:t xml:space="preserve">] </w:t>
      </w:r>
    </w:p>
    <w:p xmlns:wp14="http://schemas.microsoft.com/office/word/2010/wordml" w:rsidRPr="00DA2FCA" w:rsidR="00E45F43" w:rsidP="00E45F43" w:rsidRDefault="00E45F43" w14:paraId="7BBA8A51" wp14:textId="77777777">
      <w:pPr>
        <w:rPr>
          <w:sz w:val="8"/>
        </w:rPr>
      </w:pPr>
      <w:r w:rsidRPr="00DA2FCA">
        <w:rPr>
          <w:sz w:val="8"/>
        </w:rPr>
        <w:t xml:space="preserve">The symbolic charge of the ground zero master plan could be likened to what Deleuze and Guattari describe as a reterritorializing memory: the traumatic past will define and shape the area both in the present and for generations to come, collecting traumatic memories and treating these as colonial memories. Yet what about </w:t>
      </w:r>
      <w:r w:rsidRPr="006B0FBC">
        <w:rPr>
          <w:rStyle w:val="StyleUnderline"/>
          <w:highlight w:val="green"/>
        </w:rPr>
        <w:t>transitional spaces</w:t>
      </w:r>
      <w:r w:rsidRPr="000D79F0">
        <w:rPr>
          <w:rStyle w:val="StyleUnderline"/>
        </w:rPr>
        <w:t xml:space="preserve"> that create spaces </w:t>
      </w:r>
      <w:r w:rsidRPr="006B0FBC">
        <w:rPr>
          <w:rStyle w:val="StyleUnderline"/>
          <w:highlight w:val="green"/>
        </w:rPr>
        <w:t>filled with</w:t>
      </w:r>
      <w:r w:rsidRPr="000D79F0">
        <w:rPr>
          <w:rStyle w:val="StyleUnderline"/>
        </w:rPr>
        <w:t xml:space="preserve"> the </w:t>
      </w:r>
      <w:r w:rsidRPr="006B0FBC">
        <w:rPr>
          <w:rStyle w:val="StyleUnderline"/>
          <w:highlight w:val="green"/>
        </w:rPr>
        <w:t>potential for affective</w:t>
      </w:r>
      <w:r w:rsidRPr="000D79F0">
        <w:rPr>
          <w:rStyle w:val="StyleUnderline"/>
        </w:rPr>
        <w:t xml:space="preserve">, not fixed symbolic </w:t>
      </w:r>
      <w:r w:rsidRPr="006B0FBC">
        <w:rPr>
          <w:rStyle w:val="StyleUnderline"/>
          <w:highlight w:val="green"/>
        </w:rPr>
        <w:t>value</w:t>
      </w:r>
      <w:r w:rsidRPr="00DA2FCA">
        <w:rPr>
          <w:sz w:val="8"/>
        </w:rPr>
        <w:t xml:space="preserve">? These </w:t>
      </w:r>
      <w:r w:rsidRPr="000D79F0">
        <w:rPr>
          <w:rStyle w:val="StyleUnderline"/>
        </w:rPr>
        <w:t xml:space="preserve">consist of spaces that </w:t>
      </w:r>
      <w:r w:rsidRPr="006B0FBC">
        <w:rPr>
          <w:rStyle w:val="StyleUnderline"/>
          <w:highlight w:val="green"/>
        </w:rPr>
        <w:t>tempt hesitation, delay, and rest, enticing spontaneous and provisional activities to appear</w:t>
      </w:r>
      <w:r w:rsidRPr="000D79F0">
        <w:rPr>
          <w:rStyle w:val="StyleUnderline"/>
        </w:rPr>
        <w:t xml:space="preserve">, activities that continue unfolding and revitalizing the rest of the urban fabric. It is difficult to understand the extent to which </w:t>
      </w:r>
      <w:r w:rsidRPr="006B0FBC">
        <w:rPr>
          <w:rStyle w:val="StyleUnderline"/>
          <w:highlight w:val="green"/>
        </w:rPr>
        <w:t>design impacts upon the concrete life of the social</w:t>
      </w:r>
      <w:r w:rsidRPr="000D79F0">
        <w:rPr>
          <w:rStyle w:val="StyleUnderline"/>
        </w:rPr>
        <w:t xml:space="preserve"> without first recognizing that life is inherently unpredictable and any measure </w:t>
      </w:r>
      <w:r w:rsidRPr="006B0FBC">
        <w:rPr>
          <w:rStyle w:val="StyleUnderline"/>
          <w:highlight w:val="green"/>
        </w:rPr>
        <w:t>that sets out to manage its uncontrollable dimension is inevitably fascistic in spirit, in so far as these aspire to stabilize, order, and manage</w:t>
      </w:r>
      <w:r w:rsidRPr="000D79F0">
        <w:rPr>
          <w:rStyle w:val="StyleUnderline"/>
        </w:rPr>
        <w:t xml:space="preserve"> how </w:t>
      </w:r>
      <w:r w:rsidRPr="006B0FBC">
        <w:rPr>
          <w:rStyle w:val="StyleUnderline"/>
          <w:highlight w:val="green"/>
        </w:rPr>
        <w:t>life</w:t>
      </w:r>
      <w:r w:rsidRPr="000D79F0">
        <w:rPr>
          <w:rStyle w:val="StyleUnderline"/>
        </w:rPr>
        <w:t xml:space="preserve"> transmutes urban spaces. However, the insecurity that manifests itself throughout urban life doesn’t need to be understood as simply negating social vitality, it can also be embraced as a source of sociality.</w:t>
      </w:r>
      <w:r w:rsidRPr="00DA2FCA">
        <w:rPr>
          <w:sz w:val="8"/>
        </w:rPr>
        <w:t xml:space="preserve"> </w:t>
      </w:r>
      <w:r w:rsidRPr="000D79F0">
        <w:rPr>
          <w:rStyle w:val="StyleUnderline"/>
        </w:rPr>
        <w:t xml:space="preserve">Accordingly, the connection between traumatic memory and landscape design necessarily engages the following problem: how can a sense of security be engaged without eradicating the </w:t>
      </w:r>
      <w:r w:rsidRPr="000D79F0">
        <w:rPr>
          <w:rStyle w:val="StyleUnderline"/>
        </w:rPr>
        <w:lastRenderedPageBreak/>
        <w:t>sparkle and dynamism of urban environments?</w:t>
      </w:r>
      <w:r w:rsidRPr="00DA2FCA">
        <w:rPr>
          <w:sz w:val="8"/>
        </w:rPr>
        <w:t xml:space="preserve"> Essentially, how we answer this question all depends on what we mean by ‘security.’ During November 2002 American President Bush Junior announced: ‘The continuing threat of terrorism, the threat of mass murder on our own soil, will be met with a unified, effective response.’3 The response was the new ‘Homeland Security Bill’ signed by Bush on 25 November 2002. It inaugurated a new US cabinet-level department estimated to cost $40 billion. The department will house all the agencies and infrastructure believed to be responsible for keeping Americans safe: immigration, border control, intelligence analysis, and terrorism response. On another level though, the hackneyed term – ‘Homeland Security’ – actually produced very dramatic changes in urban design and the revisions to Libeskind’s master plan for the WTC site that will be discussed further on in this chapter is just one example of this. But what does the term ‘</w:t>
      </w:r>
      <w:r w:rsidRPr="006B0FBC">
        <w:rPr>
          <w:rStyle w:val="StyleUnderline"/>
          <w:highlight w:val="green"/>
        </w:rPr>
        <w:t>Homeland Security’</w:t>
      </w:r>
      <w:r w:rsidRPr="00DA2FCA">
        <w:rPr>
          <w:sz w:val="8"/>
        </w:rPr>
        <w:t xml:space="preserve"> mean? First, it </w:t>
      </w:r>
      <w:r w:rsidRPr="006B0FBC">
        <w:rPr>
          <w:rStyle w:val="StyleUnderline"/>
          <w:highlight w:val="green"/>
        </w:rPr>
        <w:t>presupposes that there exists a land</w:t>
      </w:r>
      <w:r w:rsidRPr="000D79F0">
        <w:rPr>
          <w:rStyle w:val="StyleUnderline"/>
        </w:rPr>
        <w:t xml:space="preserve"> that can commonly be </w:t>
      </w:r>
      <w:r w:rsidRPr="006B0FBC">
        <w:rPr>
          <w:rStyle w:val="StyleUnderline"/>
          <w:highlight w:val="green"/>
        </w:rPr>
        <w:t>called ‘home’; and</w:t>
      </w:r>
      <w:r w:rsidRPr="000D79F0">
        <w:rPr>
          <w:rStyle w:val="StyleUnderline"/>
        </w:rPr>
        <w:t xml:space="preserve"> second, </w:t>
      </w:r>
      <w:r w:rsidRPr="006B0FBC">
        <w:rPr>
          <w:rStyle w:val="StyleUnderline"/>
          <w:highlight w:val="green"/>
        </w:rPr>
        <w:t>this</w:t>
      </w:r>
      <w:r w:rsidRPr="000D79F0">
        <w:rPr>
          <w:rStyle w:val="StyleUnderline"/>
        </w:rPr>
        <w:t xml:space="preserve"> so called </w:t>
      </w:r>
      <w:r w:rsidRPr="006B0FBC">
        <w:rPr>
          <w:rStyle w:val="StyleUnderline"/>
          <w:highlight w:val="green"/>
        </w:rPr>
        <w:t>‘land’ – with its definitive territorial boundaries – needs to be secured.</w:t>
      </w:r>
      <w:r w:rsidRPr="000D79F0">
        <w:rPr>
          <w:rStyle w:val="StyleUnderline"/>
        </w:rPr>
        <w:t xml:space="preserve"> Put differently, the land commonly referred to as ‘home’ needs defending. But </w:t>
      </w:r>
      <w:r w:rsidRPr="006B0FBC">
        <w:rPr>
          <w:rStyle w:val="StyleUnderline"/>
          <w:highlight w:val="green"/>
        </w:rPr>
        <w:t>we forget that the</w:t>
      </w:r>
      <w:r w:rsidRPr="000D79F0">
        <w:rPr>
          <w:rStyle w:val="StyleUnderline"/>
        </w:rPr>
        <w:t xml:space="preserve"> physicality of </w:t>
      </w:r>
      <w:r w:rsidRPr="006B0FBC">
        <w:rPr>
          <w:rStyle w:val="StyleUnderline"/>
          <w:highlight w:val="green"/>
        </w:rPr>
        <w:t>‘land’ has always been defended; in the past forts were built</w:t>
      </w:r>
      <w:r w:rsidRPr="000D79F0">
        <w:rPr>
          <w:rStyle w:val="StyleUnderline"/>
        </w:rPr>
        <w:t xml:space="preserve">, moats were dug, </w:t>
      </w:r>
      <w:r w:rsidRPr="006B0FBC">
        <w:rPr>
          <w:rStyle w:val="StyleUnderline"/>
          <w:highlight w:val="green"/>
        </w:rPr>
        <w:t>and walls were constructed around entire cities.</w:t>
      </w:r>
      <w:r w:rsidRPr="00DA2FCA">
        <w:rPr>
          <w:sz w:val="8"/>
        </w:rPr>
        <w:t xml:space="preserve"> However, it was not only land and the territorial borders geographically demarcating it that Homeland Security attempted to ‘secure’, but key sights – symbolic and economic – that also increasingly came under the scrutiny of American security agencies after 9/11, not to forget the nonvisible dimension of biological terrorism that supposedly threatened to leak and contaminate entire populations. In this way, the traumatic memory of 9/11 became the point of view through which the urban condition was framed, judged, analyzed, and consequently designed. Put differently, and to borrow from Deleuze and Guattari, space became increasingly striated. </w:t>
      </w:r>
      <w:r w:rsidRPr="000D79F0">
        <w:rPr>
          <w:rStyle w:val="StyleUnderline"/>
        </w:rPr>
        <w:t>In Chapter 14 of A Thousand Plateaus Deleuze and Guattari describe the difference and connection between striated and smooth space. Turning to music, mathematics, and more loosely ancient Greek philosophy they propose striated space is inherently hierarchical, by which they mean we count such spaces in order to occupy them.</w:t>
      </w:r>
      <w:r w:rsidRPr="00DA2FCA">
        <w:rPr>
          <w:sz w:val="8"/>
        </w:rPr>
        <w:t xml:space="preserve"> This is not to suggest that striated space is inferior to smooth space; actually, in the context of design, some striation of space is necessary to allow for informed concrete design decisions to be made. For instance, the Lower Manhattan Development Corporation (LMDC) estimates that the working population of the WTC site prior to 9/11 was 50,000, with approximately 150,000 people such as commuters and visitors using the area on a daily basis.4 The quantification and measurement producing such figures and statistics are an important part of any design and development process. In contrast, </w:t>
      </w:r>
      <w:r w:rsidRPr="00C6311A">
        <w:rPr>
          <w:rStyle w:val="StyleUnderline"/>
        </w:rPr>
        <w:t xml:space="preserve">Deleuze and Guattari insist </w:t>
      </w:r>
      <w:r w:rsidRPr="006B0FBC">
        <w:rPr>
          <w:rStyle w:val="StyleUnderline"/>
          <w:highlight w:val="green"/>
        </w:rPr>
        <w:t>smooth space is nonmetric</w:t>
      </w:r>
      <w:r w:rsidRPr="00C6311A">
        <w:rPr>
          <w:rStyle w:val="StyleUnderline"/>
        </w:rPr>
        <w:t xml:space="preserve"> in that it gestures to an incalculable mode of occupation.</w:t>
      </w:r>
      <w:r w:rsidRPr="00DA2FCA">
        <w:rPr>
          <w:sz w:val="8"/>
        </w:rPr>
        <w:t xml:space="preserve"> How we think about the implied smooth space of the WTC site would tend to address how space is used and what kinds of rhythms and flows produce different nodal points, not just over the site but throughout the city as a whole. </w:t>
      </w:r>
      <w:r w:rsidRPr="00C6311A">
        <w:rPr>
          <w:rStyle w:val="StyleUnderline"/>
        </w:rPr>
        <w:t xml:space="preserve">What activities do a particular combination of buildings, open and covered areas, underground and overhead pathways encourage or discourage? The answer to these questions turns our attentions to urban intensities: </w:t>
      </w:r>
      <w:r w:rsidRPr="006B0FBC">
        <w:rPr>
          <w:rStyle w:val="StyleUnderline"/>
          <w:highlight w:val="green"/>
        </w:rPr>
        <w:t>the warmth and movement of the sun, shady spots</w:t>
      </w:r>
      <w:r w:rsidRPr="00C6311A">
        <w:rPr>
          <w:rStyle w:val="StyleUnderline"/>
        </w:rPr>
        <w:t xml:space="preserve"> for those hot summer New York days, </w:t>
      </w:r>
      <w:r w:rsidRPr="006B0FBC">
        <w:rPr>
          <w:rStyle w:val="StyleUnderline"/>
          <w:highlight w:val="green"/>
        </w:rPr>
        <w:t>wind levels</w:t>
      </w:r>
      <w:r w:rsidRPr="00C6311A">
        <w:rPr>
          <w:rStyle w:val="StyleUnderline"/>
        </w:rPr>
        <w:t xml:space="preserve">, how traffic passes through the site, and so on. Does traffic decelerate or accelerate, stand still, sit, lie back, or walk briskly across the site? </w:t>
      </w:r>
      <w:r w:rsidRPr="00DA2FCA">
        <w:rPr>
          <w:rStyle w:val="StyleUnderline"/>
          <w:highlight w:val="green"/>
        </w:rPr>
        <w:t>Does the movement take a diagonal direction or wander around the periphery? Do the building materials stimulate us to linger, look, and daydream, or do they shut down sensorial stimulation and fend us off?</w:t>
      </w:r>
      <w:r w:rsidRPr="00DA2FCA">
        <w:rPr>
          <w:sz w:val="8"/>
        </w:rPr>
        <w:t xml:space="preserve"> Citing the French composer Pierre Boulez, </w:t>
      </w:r>
      <w:r w:rsidRPr="00C6311A">
        <w:rPr>
          <w:rStyle w:val="StyleUnderline"/>
        </w:rPr>
        <w:t xml:space="preserve">Deleuze and Guattari clearly state that </w:t>
      </w:r>
      <w:r w:rsidRPr="00DA2FCA">
        <w:rPr>
          <w:rStyle w:val="StyleUnderline"/>
          <w:highlight w:val="green"/>
        </w:rPr>
        <w:t>‘smooth space is occupied by intensities’</w:t>
      </w:r>
      <w:r w:rsidRPr="00C6311A">
        <w:rPr>
          <w:rStyle w:val="StyleUnderline"/>
        </w:rPr>
        <w:t xml:space="preserve"> and the examples they provide include: </w:t>
      </w:r>
      <w:r w:rsidRPr="00DA2FCA">
        <w:rPr>
          <w:rStyle w:val="StyleUnderline"/>
          <w:highlight w:val="green"/>
        </w:rPr>
        <w:t>the sea, ‘wind and noise, forces, and sonorous and tactile qualities, as in the desert, steppe or ice.’</w:t>
      </w:r>
      <w:r w:rsidRPr="00DA2FCA">
        <w:rPr>
          <w:sz w:val="8"/>
        </w:rPr>
        <w:t xml:space="preserve">5 </w:t>
      </w:r>
      <w:r w:rsidRPr="00C6311A">
        <w:rPr>
          <w:rStyle w:val="StyleUnderline"/>
        </w:rPr>
        <w:t xml:space="preserve">For instance, how are ‘horizontal melodic lines and vertical harmonic planes’ produced in music? The simple answer is that these are striated because of the way in which sound is organized around order and succession: the octave. </w:t>
      </w:r>
      <w:r w:rsidRPr="00DA2FCA">
        <w:rPr>
          <w:rStyle w:val="StyleUnderline"/>
          <w:highlight w:val="green"/>
        </w:rPr>
        <w:t>Smooth space</w:t>
      </w:r>
      <w:r w:rsidRPr="00C6311A">
        <w:rPr>
          <w:rStyle w:val="StyleUnderline"/>
        </w:rPr>
        <w:t xml:space="preserve">, however, </w:t>
      </w:r>
      <w:r w:rsidRPr="00DA2FCA">
        <w:rPr>
          <w:rStyle w:val="StyleUnderline"/>
          <w:highlight w:val="green"/>
        </w:rPr>
        <w:t>continually alternates in the fusion of harmony and melody, so that the form of the smooth is continually developing as rhythmic values are produced instead of a succession of fixed forms.</w:t>
      </w:r>
      <w:r w:rsidRPr="00C6311A">
        <w:rPr>
          <w:rStyle w:val="StyleUnderline"/>
        </w:rPr>
        <w:t xml:space="preserve">6 Borrowing from the ancient Greeks and their conception of open spaces as nomos – the antithesis of the polis (city) – Deleuze and Guattari suggest </w:t>
      </w:r>
      <w:r w:rsidRPr="00DA2FCA">
        <w:rPr>
          <w:rStyle w:val="StyleUnderline"/>
          <w:highlight w:val="green"/>
        </w:rPr>
        <w:t>striated space has a logos that organizes,</w:t>
      </w:r>
      <w:r w:rsidRPr="00C6311A">
        <w:rPr>
          <w:rStyle w:val="StyleUnderline"/>
        </w:rPr>
        <w:t xml:space="preserve"> in other words they say it is a space that is ‘canopied by the sky as measure and by the measurable visual qualities deriving from it.’7 </w:t>
      </w:r>
      <w:r w:rsidRPr="00DA2FCA">
        <w:rPr>
          <w:rStyle w:val="StyleUnderline"/>
          <w:highlight w:val="green"/>
        </w:rPr>
        <w:t>Meanwhile, the smooth space of the nomos is where ‘one “distributes” oneself in an open</w:t>
      </w:r>
      <w:r w:rsidRPr="00C6311A">
        <w:rPr>
          <w:rStyle w:val="StyleUnderline"/>
        </w:rPr>
        <w:t xml:space="preserve"> space, according to frequencies and in the course of one’s crossing.’</w:t>
      </w:r>
      <w:r w:rsidRPr="00DA2FCA">
        <w:rPr>
          <w:sz w:val="8"/>
        </w:rPr>
        <w:t xml:space="preserve">8 It is important to point out here that ‘nomos’ is generally translated to mean ‘law’ and ‘logos’ is taken to mean ‘reason’ or ‘word.’ However, </w:t>
      </w:r>
      <w:r w:rsidRPr="00C6311A">
        <w:rPr>
          <w:rStyle w:val="StyleUnderline"/>
        </w:rPr>
        <w:t>in the context of Deleuze and Guattari’s usage of these terms, logos refers to the Law of the Father or God, not nomos, which in the way they use it refers to nomadic law.</w:t>
      </w:r>
      <w:r>
        <w:rPr>
          <w:rStyle w:val="StyleUnderline"/>
        </w:rPr>
        <w:t xml:space="preserve"> </w:t>
      </w:r>
      <w:r w:rsidRPr="00DA2FCA">
        <w:rPr>
          <w:sz w:val="8"/>
        </w:rPr>
        <w:t xml:space="preserve">Not all smooth spaces are constructed the same way though. There are two types of smooth space. Although all smooth space is directional, meaning it is non-dimensional, smooth space can be either directed or non-directed. Ascertaining whether a smooth space is directed or not depends entirely on how it is produced. If, for instance, </w:t>
      </w:r>
      <w:r w:rsidRPr="00DA2FCA">
        <w:rPr>
          <w:rStyle w:val="StyleUnderline"/>
          <w:highlight w:val="green"/>
        </w:rPr>
        <w:t>the ‘nature of the journey itself’ produces a change</w:t>
      </w:r>
      <w:r w:rsidRPr="00C6311A">
        <w:rPr>
          <w:rStyle w:val="StyleUnderline"/>
        </w:rPr>
        <w:t xml:space="preserve"> in direction, </w:t>
      </w:r>
      <w:r w:rsidRPr="00DA2FCA">
        <w:rPr>
          <w:rStyle w:val="StyleUnderline"/>
          <w:highlight w:val="green"/>
        </w:rPr>
        <w:t>such as the ‘nomads of the archipelagos,’</w:t>
      </w:r>
      <w:r w:rsidRPr="00DA2FCA">
        <w:rPr>
          <w:sz w:val="8"/>
        </w:rPr>
        <w:t xml:space="preserve"> then this is said to be a ‘directed’ smooth space.9 If, </w:t>
      </w:r>
      <w:r w:rsidRPr="00DA2FCA">
        <w:rPr>
          <w:rStyle w:val="StyleUnderline"/>
        </w:rPr>
        <w:t>on the other hand, smooth space is produced through the ‘variability of the goal or point to be attained,’ it is described as having been constructed out of a non-directed change in direction, as, for instance, the ‘nomads of the desert who head towards local, temporary vegetation.’</w:t>
      </w:r>
      <w:r w:rsidRPr="00DA2FCA">
        <w:rPr>
          <w:sz w:val="8"/>
        </w:rPr>
        <w:t xml:space="preserve">10 Striated space, too, has its own differences that depend on how the modules of such spaces break and transform. </w:t>
      </w:r>
      <w:r w:rsidRPr="00C6311A">
        <w:rPr>
          <w:rStyle w:val="StyleUnderline"/>
        </w:rPr>
        <w:t xml:space="preserve">If the modules are </w:t>
      </w:r>
      <w:r w:rsidRPr="00DA2FCA">
        <w:rPr>
          <w:rStyle w:val="StyleUnderline"/>
          <w:highlight w:val="green"/>
        </w:rPr>
        <w:t>fixed and constant</w:t>
      </w:r>
      <w:r w:rsidRPr="00C6311A">
        <w:rPr>
          <w:rStyle w:val="StyleUnderline"/>
        </w:rPr>
        <w:t xml:space="preserve"> then we are left </w:t>
      </w:r>
      <w:r w:rsidRPr="00C6311A">
        <w:rPr>
          <w:rStyle w:val="StyleUnderline"/>
        </w:rPr>
        <w:lastRenderedPageBreak/>
        <w:t xml:space="preserve">with straight </w:t>
      </w:r>
      <w:r w:rsidRPr="00DA2FCA">
        <w:rPr>
          <w:rStyle w:val="StyleUnderline"/>
          <w:highlight w:val="green"/>
        </w:rPr>
        <w:t>striated space</w:t>
      </w:r>
      <w:r w:rsidRPr="00C6311A">
        <w:rPr>
          <w:rStyle w:val="StyleUnderline"/>
        </w:rPr>
        <w:t xml:space="preserve"> and this </w:t>
      </w:r>
      <w:r w:rsidRPr="00DA2FCA">
        <w:rPr>
          <w:rStyle w:val="StyleUnderline"/>
          <w:highlight w:val="green"/>
        </w:rPr>
        <w:t>is</w:t>
      </w:r>
      <w:r w:rsidRPr="00C6311A">
        <w:rPr>
          <w:rStyle w:val="StyleUnderline"/>
        </w:rPr>
        <w:t xml:space="preserve"> certainly </w:t>
      </w:r>
      <w:r w:rsidRPr="00DA2FCA">
        <w:rPr>
          <w:rStyle w:val="StyleUnderline"/>
          <w:highlight w:val="green"/>
        </w:rPr>
        <w:t>indicative of</w:t>
      </w:r>
      <w:r w:rsidRPr="00C6311A">
        <w:rPr>
          <w:rStyle w:val="StyleUnderline"/>
        </w:rPr>
        <w:t xml:space="preserve"> the </w:t>
      </w:r>
      <w:r w:rsidRPr="00DA2FCA">
        <w:rPr>
          <w:rStyle w:val="StyleUnderline"/>
          <w:highlight w:val="green"/>
        </w:rPr>
        <w:t>NYPD security design</w:t>
      </w:r>
      <w:r w:rsidRPr="00C6311A">
        <w:rPr>
          <w:rStyle w:val="StyleUnderline"/>
        </w:rPr>
        <w:t xml:space="preserve"> criteria </w:t>
      </w:r>
      <w:r w:rsidRPr="00DA2FCA">
        <w:rPr>
          <w:rStyle w:val="StyleUnderline"/>
          <w:highlight w:val="green"/>
        </w:rPr>
        <w:t>as well as the symbolism of</w:t>
      </w:r>
      <w:r w:rsidRPr="00C6311A">
        <w:rPr>
          <w:rStyle w:val="StyleUnderline"/>
        </w:rPr>
        <w:t xml:space="preserve"> the </w:t>
      </w:r>
      <w:r w:rsidRPr="00DA2FCA">
        <w:rPr>
          <w:rStyle w:val="StyleUnderline"/>
          <w:highlight w:val="green"/>
        </w:rPr>
        <w:t>ground zero</w:t>
      </w:r>
      <w:r w:rsidRPr="00C6311A">
        <w:rPr>
          <w:rStyle w:val="StyleUnderline"/>
        </w:rPr>
        <w:t xml:space="preserve"> master plan design.</w:t>
      </w:r>
      <w:r w:rsidRPr="00DA2FCA">
        <w:rPr>
          <w:sz w:val="8"/>
        </w:rPr>
        <w:t xml:space="preserve"> For a curved striated space the modules change. Furthermore, if variation is regular it is a focalized curved striated space and if it is irregular it is a nonfocalized curved striated space.11 To help us understand the broader distinction between the smooth and striated, Deleuze and Guattari offer us a useful visual: </w:t>
      </w:r>
      <w:r w:rsidRPr="00C6311A">
        <w:rPr>
          <w:rStyle w:val="StyleUnderline"/>
        </w:rPr>
        <w:t>the striated is like a line that exists between two points and the smooth is the inverse of this, it is the point between two lines.</w:t>
      </w:r>
      <w:r w:rsidRPr="00DA2FCA">
        <w:rPr>
          <w:sz w:val="8"/>
        </w:rPr>
        <w:t xml:space="preserve"> Interestingly, </w:t>
      </w:r>
      <w:r w:rsidRPr="00C6311A">
        <w:rPr>
          <w:rStyle w:val="StyleUnderline"/>
        </w:rPr>
        <w:t>smooth space is</w:t>
      </w:r>
      <w:r w:rsidRPr="00DA2FCA">
        <w:rPr>
          <w:sz w:val="8"/>
        </w:rPr>
        <w:t xml:space="preserve"> considered to be </w:t>
      </w:r>
      <w:r w:rsidRPr="00C6311A">
        <w:rPr>
          <w:rStyle w:val="StyleUnderline"/>
        </w:rPr>
        <w:t>haptic not optic, meaning it can be both an object of vision and a haptic space as well.</w:t>
      </w:r>
      <w:r w:rsidRPr="00DA2FCA">
        <w:rPr>
          <w:sz w:val="8"/>
        </w:rPr>
        <w:t xml:space="preserve"> Why </w:t>
      </w:r>
      <w:r w:rsidRPr="00C6311A">
        <w:rPr>
          <w:rStyle w:val="StyleUnderline"/>
        </w:rPr>
        <w:t>haptic</w:t>
      </w:r>
      <w:r w:rsidRPr="00DA2FCA">
        <w:rPr>
          <w:sz w:val="8"/>
        </w:rPr>
        <w:t xml:space="preserve"> and not tactile? Once again they avoid engaging a dualistic understanding of the senses – optic versus aural – preferring to </w:t>
      </w:r>
      <w:r w:rsidRPr="00C6311A">
        <w:rPr>
          <w:rStyle w:val="StyleUnderline"/>
        </w:rPr>
        <w:t>suggest</w:t>
      </w:r>
      <w:r w:rsidRPr="00DA2FCA">
        <w:rPr>
          <w:sz w:val="8"/>
        </w:rPr>
        <w:t xml:space="preserve"> instead </w:t>
      </w:r>
      <w:r w:rsidRPr="00C6311A">
        <w:rPr>
          <w:rStyle w:val="StyleUnderline"/>
        </w:rPr>
        <w:t>that the eye can have a nonoptical function.</w:t>
      </w:r>
      <w:r w:rsidRPr="00DA2FCA">
        <w:rPr>
          <w:sz w:val="8"/>
        </w:rPr>
        <w:t xml:space="preserve"> But how exactly do smooth spaces appear out of striated ones? It almost seems as though smooth and striated spaces are at opposite ends of the spectrum and the only way they could possibly communicate with one another is through domination. This is not necessarily the case. Deleuze and Guattari remark that striated spaces do not just impose an order onto amorphous smooth space, because the relationship between the two is not juridical; that is, how the two interact cannot be understood negatively (regulated versus unregulated or law versus lack). Perhaps </w:t>
      </w:r>
      <w:r w:rsidRPr="00C6311A">
        <w:rPr>
          <w:rStyle w:val="StyleUnderline"/>
        </w:rPr>
        <w:t>a better way to think about the smooth and the striated is in terms of a positive disjunction, whereby the hierarchical conceptual framework that presupposes a dominating or dominant reference point is kneaded and rubbed to the point where it becomes elastic.</w:t>
      </w:r>
      <w:r>
        <w:rPr>
          <w:rStyle w:val="StyleUnderline"/>
        </w:rPr>
        <w:t xml:space="preserve"> </w:t>
      </w:r>
      <w:r w:rsidRPr="00C6311A">
        <w:rPr>
          <w:rStyle w:val="StyleUnderline"/>
        </w:rPr>
        <w:t>For a brief moment, it seemed as if there was hope for nomos to distribute throughout the WTC site</w:t>
      </w:r>
      <w:r w:rsidRPr="00DA2FCA">
        <w:rPr>
          <w:sz w:val="8"/>
        </w:rPr>
        <w:t xml:space="preserve"> when the LMDC announced the cultural programming and building plans for the area, providing offers for space to the International Dance Center, International Freedom Center, the Signature Center, and the Drawing Center. </w:t>
      </w:r>
      <w:r w:rsidRPr="00C6311A">
        <w:rPr>
          <w:rStyle w:val="StyleUnderline"/>
        </w:rPr>
        <w:t>Yet the striating forces implicit within the principle of ‘security’ saw that decision suspended.</w:t>
      </w:r>
      <w:r w:rsidRPr="00DA2FCA">
        <w:rPr>
          <w:sz w:val="8"/>
        </w:rPr>
        <w:t xml:space="preserve"> In June 2005 The Daily News reported that the Drawing Center, then housed in SoHo, had exhibited works critical of the war in Iraq. Spurred on by the outrage of some families who lost loved ones on 9/11, Governor Pataki threatened to withdraw the initial offer to house the Drawing Center on the WTC site if it could not guarantee not to exhibit works that may offend the sensibilities of New Yorkers and the families of the victims of 9/11. </w:t>
      </w:r>
      <w:r w:rsidRPr="00C6311A">
        <w:rPr>
          <w:rStyle w:val="StyleUnderline"/>
        </w:rPr>
        <w:t xml:space="preserve">Here the operation of reterritorializing Memory begins to gather momentum, expanding as the memory of 9/11 was increasingly used to codify the site as a nationally sanctified area. </w:t>
      </w:r>
      <w:r w:rsidRPr="00DA2FCA">
        <w:rPr>
          <w:rStyle w:val="StyleUnderline"/>
          <w:highlight w:val="green"/>
        </w:rPr>
        <w:t>It is this reterriorializing Memory that prompts such projects as the ‘border watch operation’ by the Minutemen. Led by Jim Gilchrist and Jerome Corsi the Minutemen use the site – which they refer to as ‘sacred ground’ – to stage their anti-illegal immigration demonstrations.12 Voicing his opinion to the loud cheers of unionized construction workers and plumbers that ‘September 11 was the result of not enforcing immigration laws, of not securing our borders,’ Corsi uses memory to legitimate a connection between illegal immigration and the war on terror, all in an effort to control and reinforce the US–Mexico border.13</w:t>
      </w:r>
    </w:p>
    <w:p xmlns:wp14="http://schemas.microsoft.com/office/word/2010/wordml" w:rsidRPr="00A44F31" w:rsidR="00E45F43" w:rsidP="00E45F43" w:rsidRDefault="00E45F43" w14:paraId="4A8E6D97" wp14:textId="77777777">
      <w:pPr>
        <w:rPr>
          <w:rStyle w:val="StyleUnderline"/>
          <w:i/>
        </w:rPr>
      </w:pPr>
      <w:r w:rsidRPr="00A44F31">
        <w:rPr>
          <w:rStyle w:val="StyleUnderline"/>
          <w:i/>
        </w:rPr>
        <w:t>Drags are created by bundles of five car tires attached to a frame, looking somewhat like the Olympic rings.  Every few days, a truck chains a drag to its back end and drives the roads, ironing the sand into a smooth surface.  The drags tend to cut east/west.  Since the illegals head north, they are forced, sooner or later, to cross a drag.  The Devil’s Highway itself is the Mother of All Drags.</w:t>
      </w:r>
    </w:p>
    <w:p xmlns:wp14="http://schemas.microsoft.com/office/word/2010/wordml" w:rsidRPr="00A44F31" w:rsidR="00E45F43" w:rsidP="00E45F43" w:rsidRDefault="00E45F43" w14:paraId="648790F5" wp14:textId="77777777">
      <w:pPr>
        <w:rPr>
          <w:i/>
        </w:rPr>
      </w:pPr>
      <w:r w:rsidRPr="00530438">
        <w:rPr>
          <w:rStyle w:val="StyleUnderline"/>
          <w:i/>
          <w:highlight w:val="green"/>
        </w:rPr>
        <w:t>The fiendish ploys of the Coyotes offer you many opportunities to hone your signcutting skills.  The whole game for their team is to pass by invisibly, and the team on this side is paid to see the invisible.  The Coyotes score when they make it, and the Migra</w:t>
      </w:r>
      <w:r w:rsidRPr="00A44F31">
        <w:rPr>
          <w:rStyle w:val="StyleUnderline"/>
          <w:i/>
        </w:rPr>
        <w:t xml:space="preserve"> </w:t>
      </w:r>
      <w:r w:rsidRPr="00530438">
        <w:rPr>
          <w:rStyle w:val="StyleUnderline"/>
        </w:rPr>
        <w:t>[slang for Border Patrol]</w:t>
      </w:r>
      <w:r w:rsidRPr="00A44F31">
        <w:rPr>
          <w:rStyle w:val="StyleUnderline"/>
          <w:i/>
        </w:rPr>
        <w:t xml:space="preserve"> </w:t>
      </w:r>
      <w:r w:rsidRPr="00530438">
        <w:rPr>
          <w:rStyle w:val="StyleUnderline"/>
          <w:i/>
          <w:highlight w:val="green"/>
        </w:rPr>
        <w:t>scores when they don’t.</w:t>
      </w:r>
      <w:r w:rsidRPr="00A44F31">
        <w:rPr>
          <w:i/>
        </w:rPr>
        <w:t xml:space="preserve">  Like pro wrestling, there is a masked invader who regularly storms the field to disrupt the game.  This, of course, is La Muerte.</w:t>
      </w:r>
    </w:p>
    <w:p xmlns:wp14="http://schemas.microsoft.com/office/word/2010/wordml" w:rsidRPr="00A44F31" w:rsidR="00E45F43" w:rsidP="00E45F43" w:rsidRDefault="00E45F43" w14:paraId="0C5F8C12" wp14:textId="77777777">
      <w:pPr>
        <w:rPr>
          <w:i/>
        </w:rPr>
      </w:pPr>
      <w:r w:rsidRPr="00A44F31">
        <w:rPr>
          <w:rStyle w:val="StyleUnderline"/>
          <w:i/>
        </w:rPr>
        <w:t>The illegals try to leap across the drags, but the drags are often wide enough to make jumpers hit the ground at least once.  They walk backward, hoping to confuse cutters.  You have to be good to confuse a veteran.</w:t>
      </w:r>
      <w:r w:rsidRPr="00A44F31">
        <w:rPr>
          <w:i/>
        </w:rPr>
        <w:t xml:space="preserve">  An Indian reservation cop says, “Them trackers can probably tell you what color the guy’s hair was, and that he had eighty-nine cents in his left pocket.  Then they can tell you the last time he got laid.”</w:t>
      </w:r>
    </w:p>
    <w:p xmlns:wp14="http://schemas.microsoft.com/office/word/2010/wordml" w:rsidRPr="00A44F31" w:rsidR="00E45F43" w:rsidP="00E45F43" w:rsidRDefault="00E45F43" w14:paraId="4DB0FD5E" wp14:textId="77777777">
      <w:pPr>
        <w:rPr>
          <w:i/>
        </w:rPr>
      </w:pPr>
      <w:r w:rsidRPr="00A44F31">
        <w:rPr>
          <w:i/>
        </w:rPr>
        <w:t>Lately, foamers have been walking the dessert.  Foamers tape blocks of foam rubber to their feet, thus leaving no prints.  Or so they think.  Foam blocks make small right-angle dents in the soil at their corners.  And sooner or later, the heel of the walker will wear through the foam, and the cutter can see a weird pattern, like a small half-moon hoof in a picture frame.  Your classic foamer sign.</w:t>
      </w:r>
    </w:p>
    <w:p xmlns:wp14="http://schemas.microsoft.com/office/word/2010/wordml" w:rsidRPr="00A44F31" w:rsidR="00E45F43" w:rsidP="00E45F43" w:rsidRDefault="00E45F43" w14:paraId="5FD0F93D" wp14:textId="77777777">
      <w:pPr>
        <w:rPr>
          <w:rStyle w:val="StyleUnderline"/>
          <w:i/>
        </w:rPr>
      </w:pPr>
      <w:r w:rsidRPr="00A44F31">
        <w:rPr>
          <w:rStyle w:val="StyleUnderline"/>
          <w:i/>
        </w:rPr>
        <w:lastRenderedPageBreak/>
        <w:t>Every Coyote team relies on the old Apache trick of the brush-out.  Last man through walks backward, brushing the tracks away with a branch of some bush.  It’s such a standard move that Border Patrol agents call giving civilians and media types evasive answers a brush-out.  The Washington, D.C., desk jockeys are considered the ultimate brush-out masters.</w:t>
      </w:r>
    </w:p>
    <w:p xmlns:wp14="http://schemas.microsoft.com/office/word/2010/wordml" w:rsidRPr="00A44F31" w:rsidR="00E45F43" w:rsidP="00E45F43" w:rsidRDefault="00E45F43" w14:paraId="1C7D3064" wp14:textId="77777777">
      <w:pPr>
        <w:rPr>
          <w:rStyle w:val="StyleUnderline"/>
          <w:i/>
        </w:rPr>
      </w:pPr>
      <w:r w:rsidRPr="00530438">
        <w:rPr>
          <w:rStyle w:val="StyleUnderline"/>
          <w:i/>
          <w:highlight w:val="green"/>
        </w:rPr>
        <w:t>There is room, in this desert world, for scholarship as well as sport.</w:t>
      </w:r>
    </w:p>
    <w:p xmlns:wp14="http://schemas.microsoft.com/office/word/2010/wordml" w:rsidRPr="00A44F31" w:rsidR="00E45F43" w:rsidP="00E45F43" w:rsidRDefault="00E45F43" w14:paraId="410A8BD0" wp14:textId="77777777">
      <w:pPr>
        <w:rPr>
          <w:rStyle w:val="StyleUnderline"/>
          <w:i/>
        </w:rPr>
      </w:pPr>
      <w:r w:rsidRPr="00530438">
        <w:rPr>
          <w:rStyle w:val="StyleUnderline"/>
          <w:i/>
          <w:highlight w:val="green"/>
        </w:rPr>
        <w:t>Cutters read the land like a text.  They search the manuscript of the ground for irregularities in its narration.</w:t>
      </w:r>
      <w:r w:rsidRPr="00530438">
        <w:rPr>
          <w:rStyle w:val="StyleUnderline"/>
          <w:i/>
        </w:rPr>
        <w:t xml:space="preserve">  They know the plots and the images by heart.  </w:t>
      </w:r>
      <w:r w:rsidRPr="00530438">
        <w:rPr>
          <w:rStyle w:val="StyleUnderline"/>
          <w:i/>
          <w:highlight w:val="green"/>
        </w:rPr>
        <w:t>They can see where the punctuation goes.  They are landscape grammarians, got the Ph.D. in reading dirt.</w:t>
      </w:r>
    </w:p>
    <w:p xmlns:wp14="http://schemas.microsoft.com/office/word/2010/wordml" w:rsidRPr="00A44F31" w:rsidR="00E45F43" w:rsidP="00E45F43" w:rsidRDefault="00E45F43" w14:paraId="374A1E1F" wp14:textId="77777777">
      <w:pPr>
        <w:rPr>
          <w:i/>
          <w:sz w:val="16"/>
          <w:szCs w:val="16"/>
        </w:rPr>
      </w:pPr>
      <w:r w:rsidRPr="00A44F31">
        <w:rPr>
          <w:i/>
          <w:sz w:val="16"/>
          <w:szCs w:val="16"/>
        </w:rPr>
        <w:t>On lava, a displaced stone will reveal a semicircule of lighter ground underneath.  Likewise a pebble kicked out of place on the hardpan, where the desert varnish that accumulates on the ground reveals a crescent of paler sand.  In-ground sensors are burdied in laces known onl to the Border Patrol.  These sensors are known as Oscars.  A Coyote would give his teeth to get hold of this information.</w:t>
      </w:r>
    </w:p>
    <w:p xmlns:wp14="http://schemas.microsoft.com/office/word/2010/wordml" w:rsidRPr="00A44F31" w:rsidR="00E45F43" w:rsidP="00E45F43" w:rsidRDefault="00E45F43" w14:paraId="05EF6740" wp14:textId="77777777">
      <w:pPr>
        <w:rPr>
          <w:i/>
          <w:sz w:val="16"/>
          <w:szCs w:val="16"/>
        </w:rPr>
      </w:pPr>
      <w:r w:rsidRPr="00A44F31">
        <w:rPr>
          <w:i/>
          <w:sz w:val="16"/>
          <w:szCs w:val="16"/>
        </w:rPr>
        <w:t>Sometimes, the sensors are very cleverly placed—their little antennas stick up in the middle of creosote bushes.  Cutters know that saguaros, the signature big cactus of the region, always grow among sheltering shrubs.  So a stately old saguaro will not only serve as a signpost for the walkers, but a landmark for the cutters, and the landmark has a scribble of handy bushes around it to hide the wire.</w:t>
      </w:r>
    </w:p>
    <w:p xmlns:wp14="http://schemas.microsoft.com/office/word/2010/wordml" w:rsidRPr="00A44F31" w:rsidR="00E45F43" w:rsidP="00E45F43" w:rsidRDefault="00E45F43" w14:paraId="2D957375" wp14:textId="77777777">
      <w:pPr>
        <w:rPr>
          <w:i/>
          <w:sz w:val="16"/>
          <w:szCs w:val="16"/>
        </w:rPr>
      </w:pPr>
      <w:r w:rsidRPr="00A44F31">
        <w:rPr>
          <w:i/>
          <w:sz w:val="16"/>
          <w:szCs w:val="16"/>
        </w:rPr>
        <w:t>When the truck goes by on the drag, the Oscar sends a message to base.  Base radios: “Oscar 21? Oscar 21?”  The cutter answers, and he’s cleared.  If base doesn’t clear him at his Oscar, he’ll call home.  “Base, did you catch an Oscar just now?”</w:t>
      </w:r>
    </w:p>
    <w:p xmlns:wp14="http://schemas.microsoft.com/office/word/2010/wordml" w:rsidRPr="00A44F31" w:rsidR="00E45F43" w:rsidP="00E45F43" w:rsidRDefault="00E45F43" w14:paraId="4C2424F7" wp14:textId="77777777">
      <w:pPr>
        <w:rPr>
          <w:i/>
          <w:sz w:val="16"/>
          <w:szCs w:val="16"/>
        </w:rPr>
      </w:pPr>
      <w:r w:rsidRPr="00A44F31">
        <w:rPr>
          <w:i/>
          <w:sz w:val="16"/>
          <w:szCs w:val="16"/>
        </w:rPr>
        <w:t xml:space="preserve">Oscar 25 follows Oscar 21; Oscar 35 follows Oscar 25.  If a cutter vanishes between Oscar 25 and Oscar 35, they know something might be wrong.  They go to look for him.  If an Oscar bleeps and no cutter is nearby, they know somebody done snuck into the country.  </w:t>
      </w:r>
    </w:p>
    <w:p xmlns:wp14="http://schemas.microsoft.com/office/word/2010/wordml" w:rsidRPr="00A44F31" w:rsidR="00E45F43" w:rsidP="00E45F43" w:rsidRDefault="00E45F43" w14:paraId="074A65D5" wp14:textId="77777777">
      <w:pPr>
        <w:rPr>
          <w:i/>
          <w:sz w:val="16"/>
          <w:szCs w:val="16"/>
        </w:rPr>
      </w:pPr>
      <w:r w:rsidRPr="00A44F31">
        <w:rPr>
          <w:i/>
          <w:sz w:val="16"/>
          <w:szCs w:val="16"/>
        </w:rPr>
        <w:t>[…]</w:t>
      </w:r>
    </w:p>
    <w:p xmlns:wp14="http://schemas.microsoft.com/office/word/2010/wordml" w:rsidRPr="00A44F31" w:rsidR="00E45F43" w:rsidP="00E45F43" w:rsidRDefault="00E45F43" w14:paraId="554463B8" wp14:textId="77777777">
      <w:pPr>
        <w:rPr>
          <w:i/>
          <w:sz w:val="16"/>
          <w:szCs w:val="16"/>
        </w:rPr>
      </w:pPr>
      <w:r w:rsidRPr="00A44F31">
        <w:rPr>
          <w:i/>
          <w:sz w:val="16"/>
          <w:szCs w:val="16"/>
        </w:rPr>
        <w:t>When the cutter sees criss-crossing sign on the drag, he radios another unit.  That agent drives to the next drag north and cuts.  If he finds sign, he calls the first unit to leapfrog north to the next drag.  He cuts it.  Sooner or later, the sign runs out, and they have the walkers boxed in between them.</w:t>
      </w:r>
    </w:p>
    <w:p xmlns:wp14="http://schemas.microsoft.com/office/word/2010/wordml" w:rsidR="00E45F43" w:rsidP="00E45F43" w:rsidRDefault="00E45F43" w14:paraId="25B08D91" wp14:textId="77777777">
      <w:pPr>
        <w:rPr>
          <w:i/>
          <w:sz w:val="16"/>
          <w:szCs w:val="16"/>
        </w:rPr>
      </w:pPr>
      <w:r w:rsidRPr="00A44F31">
        <w:rPr>
          <w:i/>
          <w:sz w:val="16"/>
          <w:szCs w:val="16"/>
        </w:rPr>
        <w:t>It’s when the walkers get far off the drags that all the trouble starts.</w:t>
      </w:r>
    </w:p>
    <w:p xmlns:wp14="http://schemas.microsoft.com/office/word/2010/wordml" w:rsidRPr="004E576C" w:rsidR="00E45F43" w:rsidP="00E45F43" w:rsidRDefault="00E45F43" w14:paraId="652D9EFC" wp14:textId="77777777">
      <w:r>
        <w:t>~ Luis Alberto Urrea</w:t>
      </w:r>
      <w:r w:rsidRPr="004E576C">
        <w:t xml:space="preserve">, </w:t>
      </w:r>
      <w:r w:rsidRPr="00AC7015">
        <w:rPr>
          <w:rStyle w:val="StyleUnderline"/>
        </w:rPr>
        <w:t>The Devils Highway</w:t>
      </w:r>
      <w:r w:rsidRPr="004E576C">
        <w:t xml:space="preserve"> </w:t>
      </w:r>
      <w:r>
        <w:t>(</w:t>
      </w:r>
      <w:r w:rsidRPr="004E576C">
        <w:t>kindl</w:t>
      </w:r>
      <w:r>
        <w:t>e, 2004)</w:t>
      </w:r>
    </w:p>
    <w:p xmlns:wp14="http://schemas.microsoft.com/office/word/2010/wordml" w:rsidR="00E45F43" w:rsidP="00E45F43" w:rsidRDefault="00E45F43" w14:paraId="16287F21" wp14:textId="77777777">
      <w:pPr>
        <w:rPr>
          <w:rStyle w:val="StyleUnderline"/>
        </w:rPr>
      </w:pPr>
    </w:p>
    <w:p xmlns:wp14="http://schemas.microsoft.com/office/word/2010/wordml" w:rsidRPr="00530438" w:rsidR="00E45F43" w:rsidP="00E45F43" w:rsidRDefault="00E45F43" w14:paraId="00568D6C" wp14:textId="77777777">
      <w:pPr>
        <w:rPr>
          <w:rStyle w:val="StyleUnderline"/>
          <w:i/>
          <w:highlight w:val="green"/>
        </w:rPr>
      </w:pPr>
      <w:r w:rsidRPr="00530438">
        <w:rPr>
          <w:rStyle w:val="StyleUnderline"/>
          <w:i/>
          <w:highlight w:val="green"/>
        </w:rPr>
        <w:t>These are the things they carried.</w:t>
      </w:r>
    </w:p>
    <w:p xmlns:wp14="http://schemas.microsoft.com/office/word/2010/wordml" w:rsidRPr="00530438" w:rsidR="00E45F43" w:rsidP="00E45F43" w:rsidRDefault="00E45F43" w14:paraId="69D84FEE" wp14:textId="77777777">
      <w:pPr>
        <w:rPr>
          <w:rStyle w:val="StyleUnderline"/>
          <w:i/>
          <w:highlight w:val="green"/>
        </w:rPr>
      </w:pPr>
      <w:r w:rsidRPr="00530438">
        <w:rPr>
          <w:rStyle w:val="StyleUnderline"/>
          <w:i/>
          <w:highlight w:val="green"/>
        </w:rPr>
        <w:t>John Doe #36: red underpants, mesquite beans stuck to his skin.</w:t>
      </w:r>
    </w:p>
    <w:p xmlns:wp14="http://schemas.microsoft.com/office/word/2010/wordml" w:rsidRPr="00530438" w:rsidR="00E45F43" w:rsidP="00E45F43" w:rsidRDefault="00E45F43" w14:paraId="77D3CFD2" wp14:textId="77777777">
      <w:pPr>
        <w:rPr>
          <w:rStyle w:val="StyleUnderline"/>
          <w:i/>
          <w:highlight w:val="green"/>
        </w:rPr>
      </w:pPr>
      <w:r w:rsidRPr="00530438">
        <w:rPr>
          <w:rStyle w:val="StyleUnderline"/>
          <w:i/>
          <w:highlight w:val="green"/>
        </w:rPr>
        <w:t>John Doe # 37: no effects.</w:t>
      </w:r>
    </w:p>
    <w:p xmlns:wp14="http://schemas.microsoft.com/office/word/2010/wordml" w:rsidRPr="00530438" w:rsidR="00E45F43" w:rsidP="00E45F43" w:rsidRDefault="00E45F43" w14:paraId="44AE1F3D" wp14:textId="77777777">
      <w:pPr>
        <w:rPr>
          <w:rStyle w:val="StyleUnderline"/>
          <w:i/>
          <w:highlight w:val="green"/>
        </w:rPr>
      </w:pPr>
      <w:r w:rsidRPr="00530438">
        <w:rPr>
          <w:rStyle w:val="StyleUnderline"/>
          <w:i/>
          <w:highlight w:val="green"/>
        </w:rPr>
        <w:t>John Doe # 38: green socks.</w:t>
      </w:r>
    </w:p>
    <w:p xmlns:wp14="http://schemas.microsoft.com/office/word/2010/wordml" w:rsidRPr="00530438" w:rsidR="00E45F43" w:rsidP="00E45F43" w:rsidRDefault="00E45F43" w14:paraId="176C5AFA" wp14:textId="77777777">
      <w:pPr>
        <w:rPr>
          <w:rStyle w:val="StyleUnderline"/>
          <w:i/>
          <w:highlight w:val="green"/>
        </w:rPr>
      </w:pPr>
      <w:r w:rsidRPr="00530438">
        <w:rPr>
          <w:rStyle w:val="StyleUnderline"/>
          <w:i/>
          <w:highlight w:val="green"/>
        </w:rPr>
        <w:t>John Doe #39: a belt buckle with a fighting cock inlaid, one wallet in the right front pocket of his jeans.</w:t>
      </w:r>
    </w:p>
    <w:p xmlns:wp14="http://schemas.microsoft.com/office/word/2010/wordml" w:rsidRPr="00530438" w:rsidR="00E45F43" w:rsidP="00E45F43" w:rsidRDefault="00E45F43" w14:paraId="746E69D3" wp14:textId="77777777">
      <w:pPr>
        <w:rPr>
          <w:rStyle w:val="StyleUnderline"/>
          <w:i/>
          <w:highlight w:val="green"/>
        </w:rPr>
      </w:pPr>
      <w:r w:rsidRPr="00530438">
        <w:rPr>
          <w:rStyle w:val="StyleUnderline"/>
          <w:i/>
          <w:highlight w:val="green"/>
        </w:rPr>
        <w:t>John Doe #40: no effects.</w:t>
      </w:r>
    </w:p>
    <w:p xmlns:wp14="http://schemas.microsoft.com/office/word/2010/wordml" w:rsidRPr="00530438" w:rsidR="00E45F43" w:rsidP="00E45F43" w:rsidRDefault="00E45F43" w14:paraId="2853698E" wp14:textId="77777777">
      <w:pPr>
        <w:rPr>
          <w:rStyle w:val="StyleUnderline"/>
          <w:i/>
          <w:highlight w:val="green"/>
        </w:rPr>
      </w:pPr>
      <w:r w:rsidRPr="00530438">
        <w:rPr>
          <w:rStyle w:val="StyleUnderline"/>
          <w:i/>
          <w:highlight w:val="green"/>
        </w:rPr>
        <w:t>John Doe #41: fake silver watch, six Mexican coins, one comb, a belt buckle with a spur inlaid, four pills in a foil strip—possibly Advil, or allergy gelcaps.</w:t>
      </w:r>
    </w:p>
    <w:p xmlns:wp14="http://schemas.microsoft.com/office/word/2010/wordml" w:rsidRPr="00530438" w:rsidR="00E45F43" w:rsidP="00E45F43" w:rsidRDefault="00E45F43" w14:paraId="173AB302" wp14:textId="77777777">
      <w:pPr>
        <w:rPr>
          <w:rStyle w:val="StyleUnderline"/>
          <w:i/>
          <w:highlight w:val="green"/>
        </w:rPr>
      </w:pPr>
      <w:r w:rsidRPr="00530438">
        <w:rPr>
          <w:rStyle w:val="StyleUnderline"/>
          <w:i/>
          <w:highlight w:val="green"/>
        </w:rPr>
        <w:t>John Doe #42: Furor Jeans, “had a colored piece of paper” in pocket.</w:t>
      </w:r>
    </w:p>
    <w:p xmlns:wp14="http://schemas.microsoft.com/office/word/2010/wordml" w:rsidRPr="00530438" w:rsidR="00E45F43" w:rsidP="00E45F43" w:rsidRDefault="00E45F43" w14:paraId="726A88B8" wp14:textId="77777777">
      <w:pPr>
        <w:rPr>
          <w:rStyle w:val="StyleUnderline"/>
          <w:i/>
          <w:highlight w:val="green"/>
        </w:rPr>
      </w:pPr>
      <w:r w:rsidRPr="00530438">
        <w:rPr>
          <w:rStyle w:val="StyleUnderline"/>
          <w:i/>
          <w:highlight w:val="green"/>
        </w:rPr>
        <w:lastRenderedPageBreak/>
        <w:t>John Doe #43: green handkerchief, pocket mirror in right front pocket.</w:t>
      </w:r>
    </w:p>
    <w:p xmlns:wp14="http://schemas.microsoft.com/office/word/2010/wordml" w:rsidRPr="00530438" w:rsidR="00E45F43" w:rsidP="00E45F43" w:rsidRDefault="00E45F43" w14:paraId="5A59A9D9" wp14:textId="77777777">
      <w:pPr>
        <w:rPr>
          <w:rStyle w:val="StyleUnderline"/>
          <w:i/>
          <w:highlight w:val="green"/>
        </w:rPr>
      </w:pPr>
      <w:r w:rsidRPr="00530438">
        <w:rPr>
          <w:rStyle w:val="StyleUnderline"/>
          <w:i/>
          <w:highlight w:val="green"/>
        </w:rPr>
        <w:t>Joh Doe #44: Mexican bills in back pocket, a letter in right front pocket, a brown wallet in left front pocket.</w:t>
      </w:r>
    </w:p>
    <w:p xmlns:wp14="http://schemas.microsoft.com/office/word/2010/wordml" w:rsidRPr="00530438" w:rsidR="00E45F43" w:rsidP="00E45F43" w:rsidRDefault="00E45F43" w14:paraId="59AAADDF" wp14:textId="77777777">
      <w:pPr>
        <w:rPr>
          <w:rStyle w:val="StyleUnderline"/>
          <w:i/>
          <w:highlight w:val="green"/>
        </w:rPr>
      </w:pPr>
      <w:r w:rsidRPr="00530438">
        <w:rPr>
          <w:rStyle w:val="StyleUnderline"/>
          <w:i/>
          <w:highlight w:val="green"/>
        </w:rPr>
        <w:t>John Doe #45: no record.</w:t>
      </w:r>
    </w:p>
    <w:p xmlns:wp14="http://schemas.microsoft.com/office/word/2010/wordml" w:rsidRPr="00530438" w:rsidR="00E45F43" w:rsidP="00E45F43" w:rsidRDefault="00E45F43" w14:paraId="6DB83185" wp14:textId="77777777">
      <w:pPr>
        <w:rPr>
          <w:rStyle w:val="StyleUnderline"/>
          <w:i/>
          <w:highlight w:val="green"/>
        </w:rPr>
      </w:pPr>
      <w:r w:rsidRPr="00530438">
        <w:rPr>
          <w:rStyle w:val="StyleUnderline"/>
          <w:i/>
          <w:highlight w:val="green"/>
        </w:rPr>
        <w:t>John Doe #46: no record.</w:t>
      </w:r>
    </w:p>
    <w:p xmlns:wp14="http://schemas.microsoft.com/office/word/2010/wordml" w:rsidRPr="00530438" w:rsidR="00E45F43" w:rsidP="00E45F43" w:rsidRDefault="00E45F43" w14:paraId="75467584" wp14:textId="77777777">
      <w:pPr>
        <w:rPr>
          <w:rStyle w:val="StyleUnderline"/>
          <w:i/>
          <w:highlight w:val="green"/>
        </w:rPr>
      </w:pPr>
      <w:r w:rsidRPr="00530438">
        <w:rPr>
          <w:rStyle w:val="StyleUnderline"/>
          <w:i/>
          <w:highlight w:val="green"/>
        </w:rPr>
        <w:t>John Doe #47: no effects; one tattoo: “Maria.”</w:t>
      </w:r>
    </w:p>
    <w:p xmlns:wp14="http://schemas.microsoft.com/office/word/2010/wordml" w:rsidRPr="00530438" w:rsidR="00E45F43" w:rsidP="00E45F43" w:rsidRDefault="00E45F43" w14:paraId="5CAF2980" wp14:textId="77777777">
      <w:pPr>
        <w:rPr>
          <w:rStyle w:val="StyleUnderline"/>
          <w:i/>
          <w:highlight w:val="green"/>
        </w:rPr>
      </w:pPr>
      <w:r w:rsidRPr="00530438">
        <w:rPr>
          <w:rStyle w:val="StyleUnderline"/>
          <w:i/>
          <w:highlight w:val="green"/>
        </w:rPr>
        <w:t>John Doe $48: Converse knockoff basketball shoes.</w:t>
      </w:r>
    </w:p>
    <w:p xmlns:wp14="http://schemas.microsoft.com/office/word/2010/wordml" w:rsidRPr="00530438" w:rsidR="00E45F43" w:rsidP="00E45F43" w:rsidRDefault="00E45F43" w14:paraId="57C214C2" wp14:textId="77777777">
      <w:pPr>
        <w:rPr>
          <w:rStyle w:val="StyleUnderline"/>
          <w:i/>
          <w:highlight w:val="green"/>
        </w:rPr>
      </w:pPr>
      <w:r w:rsidRPr="00530438">
        <w:rPr>
          <w:rStyle w:val="StyleUnderline"/>
          <w:i/>
          <w:highlight w:val="green"/>
        </w:rPr>
        <w:t>John Doe #49: a photo ID of some sort, apparently illegible.</w:t>
      </w:r>
    </w:p>
    <w:p xmlns:wp14="http://schemas.microsoft.com/office/word/2010/wordml" w:rsidRPr="00530438" w:rsidR="00E45F43" w:rsidP="00E45F43" w:rsidRDefault="00E45F43" w14:paraId="1B54F5E8" wp14:textId="77777777">
      <w:pPr>
        <w:rPr>
          <w:rStyle w:val="StyleUnderline"/>
          <w:i/>
        </w:rPr>
      </w:pPr>
      <w:r w:rsidRPr="00530438">
        <w:rPr>
          <w:rStyle w:val="StyleUnderline"/>
          <w:i/>
          <w:highlight w:val="green"/>
        </w:rPr>
        <w:t>They came to the broken place of the world, and taken all together, they did not have enough items to fill a carry-on bag.</w:t>
      </w:r>
    </w:p>
    <w:p xmlns:wp14="http://schemas.microsoft.com/office/word/2010/wordml" w:rsidR="00E45F43" w:rsidP="00E45F43" w:rsidRDefault="00E45F43" w14:paraId="3A8AA9FF" wp14:textId="77777777">
      <w:r>
        <w:t>~ Luis Alberto Urrea</w:t>
      </w:r>
      <w:r w:rsidRPr="004E576C">
        <w:t xml:space="preserve">, </w:t>
      </w:r>
      <w:r w:rsidRPr="00AC7015">
        <w:rPr>
          <w:rStyle w:val="StyleUnderline"/>
        </w:rPr>
        <w:t>The Devils Highway</w:t>
      </w:r>
      <w:r w:rsidRPr="004E576C">
        <w:t xml:space="preserve"> </w:t>
      </w:r>
      <w:r>
        <w:t>(</w:t>
      </w:r>
      <w:r w:rsidRPr="004E576C">
        <w:t>kindl</w:t>
      </w:r>
      <w:r>
        <w:t>e, 2004)</w:t>
      </w:r>
    </w:p>
    <w:p xmlns:wp14="http://schemas.microsoft.com/office/word/2010/wordml" w:rsidRPr="00D177E5" w:rsidR="00E45F43" w:rsidP="00E45F43" w:rsidRDefault="00E45F43" w14:paraId="5BE93A62" wp14:textId="77777777">
      <w:pPr>
        <w:rPr>
          <w:rStyle w:val="StyleUnderline"/>
        </w:rPr>
      </w:pPr>
    </w:p>
    <w:p xmlns:wp14="http://schemas.microsoft.com/office/word/2010/wordml" w:rsidR="00E45F43" w:rsidP="00E45F43" w:rsidRDefault="00E45F43" w14:paraId="53196E66" wp14:textId="77777777">
      <w:pPr>
        <w:pStyle w:val="Heading4"/>
      </w:pPr>
      <w:r>
        <w:t xml:space="preserve">Much like the popular narrative of the Yuma 14, the resolution is a form of monumental capture.  What subtends celebratory progressive affects of immigration reform is the violence that exceeds and challenges striation.  </w:t>
      </w:r>
    </w:p>
    <w:p xmlns:wp14="http://schemas.microsoft.com/office/word/2010/wordml" w:rsidR="00E45F43" w:rsidP="00E45F43" w:rsidRDefault="00E45F43" w14:paraId="384BA73E" wp14:textId="77777777"/>
    <w:p xmlns:wp14="http://schemas.microsoft.com/office/word/2010/wordml" w:rsidR="00E45F43" w:rsidP="00E45F43" w:rsidRDefault="00E45F43" w14:paraId="24D74FF1" wp14:textId="77777777">
      <w:pPr>
        <w:pStyle w:val="Heading4"/>
      </w:pPr>
      <w:r>
        <w:t>Thus, we affirm a schizoid remembrance of the border.</w:t>
      </w:r>
    </w:p>
    <w:p xmlns:wp14="http://schemas.microsoft.com/office/word/2010/wordml" w:rsidRPr="00C63140" w:rsidR="00E45F43" w:rsidP="00E45F43" w:rsidRDefault="00E45F43" w14:paraId="34B3F2EB" wp14:textId="77777777"/>
    <w:p xmlns:wp14="http://schemas.microsoft.com/office/word/2010/wordml" w:rsidR="00E45F43" w:rsidP="00E45F43" w:rsidRDefault="00E45F43" w14:paraId="162BD09D" wp14:textId="77777777">
      <w:pPr>
        <w:pStyle w:val="Heading4"/>
      </w:pPr>
      <w:r>
        <w:t>There is no piecing together the truth of the violence of the past, nor a recuperation that would allow us to imagine an overcoming of that violence – only a call to re-member that which has been dis-membered and reorganized according to Empire’s imperatives.  This is not a project of wholeness, but a question of turning things inside out, of witnessing them anew, of being affected by the past that presences as a future oriented figuration.</w:t>
      </w:r>
    </w:p>
    <w:p xmlns:wp14="http://schemas.microsoft.com/office/word/2010/wordml" w:rsidR="00E45F43" w:rsidP="00E45F43" w:rsidRDefault="00E45F43" w14:paraId="7D34F5C7" wp14:textId="77777777"/>
    <w:p xmlns:wp14="http://schemas.microsoft.com/office/word/2010/wordml" w:rsidR="00E45F43" w:rsidP="00E45F43" w:rsidRDefault="00E45F43" w14:paraId="3A35F99E" wp14:textId="77777777">
      <w:pPr>
        <w:pStyle w:val="Heading4"/>
      </w:pPr>
      <w:r>
        <w:t>Schizoid remembrance refuses the routing of desire in the service of fascism, producing new affective intensities and connectivities that constructs a revolutionary connection to the future</w:t>
      </w:r>
    </w:p>
    <w:p xmlns:wp14="http://schemas.microsoft.com/office/word/2010/wordml" w:rsidR="00E45F43" w:rsidP="00E45F43" w:rsidRDefault="00E45F43" w14:paraId="40E0EBCD" wp14:textId="77777777">
      <w:r>
        <w:t>note: “In the psychoanalysis of Sigmund Freud, afterwardsness is a "mode of belated understanding or retroactive attribution of sexual or traumatic meaning to earlier events... [from the German word] Nachträglichkeit, translated as deferred action, retroaction, après-coup, afterwardsness".[1] As summarized by another scholar, 'In one sense, Freud's theory of deferred action can be simply stated: memory is reprinted, so to speak, in accordance with later experience'.[2]” ~ Wikipedia</w:t>
      </w:r>
    </w:p>
    <w:p xmlns:wp14="http://schemas.microsoft.com/office/word/2010/wordml" w:rsidRPr="00364C1F" w:rsidR="00E45F43" w:rsidP="00E45F43" w:rsidRDefault="00E45F43" w14:paraId="5F2B29EC" wp14:textId="77777777">
      <w:pPr>
        <w:rPr>
          <w:sz w:val="16"/>
        </w:rPr>
      </w:pPr>
      <w:r w:rsidRPr="008131DC">
        <w:rPr>
          <w:rStyle w:val="Style13ptBold"/>
        </w:rPr>
        <w:lastRenderedPageBreak/>
        <w:t xml:space="preserve">Parr 08 </w:t>
      </w:r>
      <w:r w:rsidRPr="00364C1F">
        <w:rPr>
          <w:sz w:val="16"/>
        </w:rPr>
        <w:t>[Adrian, Professor and Director of The Charles Phelps Taft Research Center; Department of Political Science &amp; School of Architecture and Interior Design; UNESCO Water Chair, “US Military Abuses at Abu Ghraib,” in Deleuze and Memorial Culture: Desire, Singular Memory, and the Politics of Trauma, pp. 181-8//ak]</w:t>
      </w:r>
    </w:p>
    <w:p xmlns:wp14="http://schemas.microsoft.com/office/word/2010/wordml" w:rsidRPr="000B59B4" w:rsidR="00E45F43" w:rsidP="00E45F43" w:rsidRDefault="00E45F43" w14:paraId="315CF60B" wp14:textId="77777777">
      <w:pPr>
        <w:rPr>
          <w:sz w:val="10"/>
        </w:rPr>
      </w:pPr>
      <w:r w:rsidRPr="00530438">
        <w:rPr>
          <w:rStyle w:val="StyleUnderline"/>
          <w:highlight w:val="green"/>
        </w:rPr>
        <w:t>Activating memory in order to seek out</w:t>
      </w:r>
      <w:r w:rsidRPr="00692212">
        <w:rPr>
          <w:rStyle w:val="StyleUnderline"/>
        </w:rPr>
        <w:t xml:space="preserve">, as Deleuze and Guattari describe it, </w:t>
      </w:r>
      <w:r w:rsidRPr="00530438">
        <w:rPr>
          <w:rStyle w:val="StyleUnderline"/>
          <w:highlight w:val="green"/>
        </w:rPr>
        <w:t>a ‘different solidity</w:t>
      </w:r>
      <w:r w:rsidRPr="00692212">
        <w:rPr>
          <w:rStyle w:val="StyleUnderline"/>
        </w:rPr>
        <w:t xml:space="preserve">, other bases and other blocs,’ </w:t>
      </w:r>
      <w:r w:rsidRPr="00530438">
        <w:rPr>
          <w:rStyle w:val="StyleUnderline"/>
          <w:highlight w:val="green"/>
        </w:rPr>
        <w:t>is possible only in so far as</w:t>
      </w:r>
      <w:r w:rsidRPr="00692212">
        <w:rPr>
          <w:rStyle w:val="StyleUnderline"/>
        </w:rPr>
        <w:t xml:space="preserve"> memorial culture lets loose a pre-individual memory, a utopian mnemonic practice that is both productive and passive.</w:t>
      </w:r>
      <w:r w:rsidRPr="00F7000C">
        <w:rPr>
          <w:sz w:val="10"/>
        </w:rPr>
        <w:t xml:space="preserve">4 </w:t>
      </w:r>
      <w:r w:rsidRPr="00CA3795">
        <w:rPr>
          <w:rStyle w:val="StyleUnderline"/>
        </w:rPr>
        <w:t xml:space="preserve">Under such circumstances how </w:t>
      </w:r>
      <w:r w:rsidRPr="00530438">
        <w:rPr>
          <w:rStyle w:val="StyleUnderline"/>
          <w:highlight w:val="green"/>
        </w:rPr>
        <w:t>collective memory</w:t>
      </w:r>
      <w:r w:rsidRPr="00CA3795">
        <w:rPr>
          <w:rStyle w:val="StyleUnderline"/>
        </w:rPr>
        <w:t xml:space="preserve"> is put to work throughout culture </w:t>
      </w:r>
      <w:r w:rsidRPr="00530438">
        <w:rPr>
          <w:rStyle w:val="StyleUnderline"/>
          <w:highlight w:val="green"/>
        </w:rPr>
        <w:t>neither supposes a universal memory, nor a past with a determinate identity. Such a mode of social remembrance inaugurates a new way of remembering as a mode of willing</w:t>
      </w:r>
      <w:r w:rsidRPr="00CA3795">
        <w:rPr>
          <w:rStyle w:val="StyleUnderline"/>
        </w:rPr>
        <w:t xml:space="preserve">, not just producing new memories or taking memory to be the result of something that once happened. In this respect, in the course of remembering </w:t>
      </w:r>
      <w:r w:rsidRPr="00530438">
        <w:rPr>
          <w:rStyle w:val="StyleUnderline"/>
          <w:highlight w:val="green"/>
        </w:rPr>
        <w:t>the social field is prompted to connect what previously seemed to be disparate events</w:t>
      </w:r>
      <w:r w:rsidRPr="00CA3795">
        <w:rPr>
          <w:rStyle w:val="StyleUnderline"/>
        </w:rPr>
        <w:t>, giving rise to a memorial cultural activity that aspires to explore the material of the past with the understanding that collective remembrance is productive and real as compared to being expressive and symbolic.</w:t>
      </w:r>
      <w:r>
        <w:rPr>
          <w:rStyle w:val="StyleUnderline"/>
        </w:rPr>
        <w:t xml:space="preserve"> </w:t>
      </w:r>
      <w:r w:rsidRPr="00F7000C">
        <w:rPr>
          <w:sz w:val="10"/>
        </w:rPr>
        <w:t xml:space="preserve">In so far as desire is social and collective memory presupposes a social situation, the phenomenon of </w:t>
      </w:r>
      <w:r w:rsidRPr="00530438">
        <w:rPr>
          <w:rStyle w:val="StyleUnderline"/>
          <w:highlight w:val="green"/>
        </w:rPr>
        <w:t>memorial</w:t>
      </w:r>
      <w:r w:rsidRPr="00F7000C">
        <w:rPr>
          <w:sz w:val="10"/>
        </w:rPr>
        <w:t xml:space="preserve"> culture </w:t>
      </w:r>
      <w:r w:rsidRPr="00530438">
        <w:rPr>
          <w:rStyle w:val="StyleUnderline"/>
          <w:highlight w:val="green"/>
        </w:rPr>
        <w:t>is a configuration and investment of desire.</w:t>
      </w:r>
      <w:r w:rsidRPr="00F7000C">
        <w:rPr>
          <w:sz w:val="10"/>
        </w:rPr>
        <w:t xml:space="preserve"> To say memorial culture is a mode of desiring production is to also claim that </w:t>
      </w:r>
      <w:r w:rsidRPr="00530438">
        <w:rPr>
          <w:rStyle w:val="StyleUnderline"/>
          <w:highlight w:val="green"/>
        </w:rPr>
        <w:t>it can turn either schizoid or fascistic</w:t>
      </w:r>
      <w:r w:rsidRPr="00CA3795">
        <w:rPr>
          <w:rStyle w:val="StyleUnderline"/>
        </w:rPr>
        <w:t>, and like Jeremiah’s tears it has everything to do with the effects of collective remembrance.</w:t>
      </w:r>
      <w:r w:rsidRPr="00F7000C">
        <w:rPr>
          <w:sz w:val="10"/>
        </w:rPr>
        <w:t xml:space="preserve"> Does memorial culture foster a fascistic or schizoid investment of memory? To answer this it is important to note the reterritorializing movement driving the fascistic investment and the deterritorializing movement underpinning the schizoid investment of memory. For </w:t>
      </w:r>
      <w:r w:rsidRPr="000F3702">
        <w:rPr>
          <w:rStyle w:val="StyleUnderline"/>
        </w:rPr>
        <w:t xml:space="preserve">if reterritorializing Memory posits a movement of signification as Deleuze and Guattari describe it in A Thousand Plateaus, we look to the contents of the past in order to discover what the past means. In effect, as </w:t>
      </w:r>
      <w:r w:rsidRPr="00530438">
        <w:rPr>
          <w:rStyle w:val="StyleUnderline"/>
          <w:highlight w:val="green"/>
        </w:rPr>
        <w:t xml:space="preserve">collective memory finds fascistic investment in modes of cultural production it mutates into a reterritorializing relation because culture attempts to resolve the contradiction between present and past </w:t>
      </w:r>
      <w:r w:rsidRPr="00530438">
        <w:rPr>
          <w:rStyle w:val="StyleUnderline"/>
        </w:rPr>
        <w:t>realities by forming a fixed relation between these. What this means is that collective memory is used to reinforce the past as different to the present and in so doing past, present and future are codified according to their difference from one another (purely negative difference), or the distinction between the past and present is confounded (difference is erased). Both reinforce a homogenous</w:t>
      </w:r>
      <w:r w:rsidRPr="000F3702">
        <w:rPr>
          <w:rStyle w:val="StyleUnderline"/>
        </w:rPr>
        <w:t xml:space="preserve"> and determinate representation of the past (what Deleuze would call an organic representation).</w:t>
      </w:r>
      <w:r>
        <w:rPr>
          <w:rStyle w:val="StyleUnderline"/>
        </w:rPr>
        <w:t xml:space="preserve"> </w:t>
      </w:r>
      <w:r w:rsidRPr="00F7000C">
        <w:rPr>
          <w:sz w:val="10"/>
        </w:rPr>
        <w:t xml:space="preserve">In many respects </w:t>
      </w:r>
      <w:r w:rsidRPr="002823B2">
        <w:rPr>
          <w:rStyle w:val="StyleUnderline"/>
        </w:rPr>
        <w:t xml:space="preserve">the idea of </w:t>
      </w:r>
      <w:r w:rsidRPr="00530438">
        <w:rPr>
          <w:rStyle w:val="StyleUnderline"/>
          <w:highlight w:val="green"/>
        </w:rPr>
        <w:t>a schizoid investment of memory</w:t>
      </w:r>
      <w:r w:rsidRPr="002823B2">
        <w:rPr>
          <w:rStyle w:val="StyleUnderline"/>
        </w:rPr>
        <w:t xml:space="preserve"> expands upon and critiques the Freudian concept of Nachträglichkeit.</w:t>
      </w:r>
      <w:r w:rsidRPr="00F7000C">
        <w:rPr>
          <w:sz w:val="10"/>
        </w:rPr>
        <w:t xml:space="preserve"> In brief, Nachträglichkeit posits that subjectivity is historical and is constructed through the reconstruction of traumatic events.5 According to Freud, the velocity of memory can be likened to a complex drive that takes place in history. Becoming a fully socialized subject happens once unruly and socially unacceptable desires are brought under control through a system of signification. In this regard, Freud inaugurates an important shift away from the concept of a fully constituted subject who brings their desires into the world, onto a divided subject (unconscious and conscious) established as the effect of psychic energy. In response, Deleuze writes that with ‘regard to memory, </w:t>
      </w:r>
      <w:r w:rsidRPr="002823B2">
        <w:rPr>
          <w:rStyle w:val="StyleUnderline"/>
        </w:rPr>
        <w:t>it is not similitude in the reminiscence but, on the contrary, the dissimilar</w:t>
      </w:r>
      <w:r w:rsidRPr="00F7000C">
        <w:rPr>
          <w:sz w:val="10"/>
        </w:rPr>
        <w:t xml:space="preserve"> in the pure form of time </w:t>
      </w:r>
      <w:r w:rsidRPr="002823B2">
        <w:rPr>
          <w:rStyle w:val="StyleUnderline"/>
        </w:rPr>
        <w:t>which constitutes the immemorial of a transcendent memory’</w:t>
      </w:r>
      <w:r w:rsidRPr="00F7000C">
        <w:rPr>
          <w:sz w:val="10"/>
        </w:rPr>
        <w:t xml:space="preserve"> and it is this pure form of time that is most instructive when attempting to think a distinction between traumatic memory and the remembrance of trauma.6 Hence, when he and Guattari insist in What is Philosophy? that art is a monument, they are not suggesting that the monumentality of art lies in its size and weight, rather it is the independence of art to stand its own ground by conserving, not commemorating, the being of sensation. Hence, the ‘artist’s greatest difficulty is to make it stand up on its own.’7 </w:t>
      </w:r>
      <w:r w:rsidRPr="002823B2">
        <w:rPr>
          <w:rStyle w:val="StyleUnderline"/>
        </w:rPr>
        <w:t>Memorialization is distinct from the traumatic event that gave rise to it, the designer who created it, and the collective that sponsored and supported its coming into existence. Memorialization is an enduring activity of public remembrance that is conserved and activated throughout cultural activities, but the actual force of trauma is distinct from the very materiality of memorial culture. In this respect, we can claim that traumatic memory is singular, it is unspecified, and yet it appears (monstrously) as an orgiastic representation unleashing the revolutionary force of trauma in all its dappled tones, stammering rhythms, fractured reflections, and strangling silences.8 This is what Deleuze and Guattari mean when they insist:</w:t>
      </w:r>
      <w:r>
        <w:rPr>
          <w:rStyle w:val="StyleUnderline"/>
        </w:rPr>
        <w:t xml:space="preserve"> </w:t>
      </w:r>
      <w:r w:rsidRPr="002823B2">
        <w:rPr>
          <w:rStyle w:val="StyleUnderline"/>
        </w:rPr>
        <w:t xml:space="preserve">A monument </w:t>
      </w:r>
      <w:r w:rsidRPr="00530438">
        <w:rPr>
          <w:rStyle w:val="StyleUnderline"/>
          <w:highlight w:val="green"/>
        </w:rPr>
        <w:t>does not commemorate or celebrate something that happened but confides in the ear of the future the persistent sensations that embody the event: the constantly renewed suffering</w:t>
      </w:r>
      <w:r w:rsidRPr="002823B2">
        <w:rPr>
          <w:rStyle w:val="StyleUnderline"/>
        </w:rPr>
        <w:t xml:space="preserve"> of men and women, </w:t>
      </w:r>
      <w:r w:rsidRPr="002823B2">
        <w:rPr>
          <w:rStyle w:val="StyleUnderline"/>
        </w:rPr>
        <w:lastRenderedPageBreak/>
        <w:t xml:space="preserve">their re-created protestations, </w:t>
      </w:r>
      <w:r w:rsidRPr="00530438">
        <w:rPr>
          <w:rStyle w:val="StyleUnderline"/>
          <w:highlight w:val="green"/>
        </w:rPr>
        <w:t>their constantly resumed struggle.</w:t>
      </w:r>
      <w:r w:rsidRPr="002823B2">
        <w:rPr>
          <w:rStyle w:val="StyleUnderline"/>
        </w:rPr>
        <w:t xml:space="preserve"> Will this all be in vain because suffering is eternal and revolutions do not survive their victory? But the success of a revolution resides only in itself, precisely in the vibrations, clinches, and openings it gave to men and women at the moment of its making and that composes in itself a monument that is always in the process of becoming, like those tumuli to which each new traveler adds a stone.9</w:t>
      </w:r>
      <w:r>
        <w:rPr>
          <w:rStyle w:val="StyleUnderline"/>
        </w:rPr>
        <w:t xml:space="preserve"> </w:t>
      </w:r>
      <w:r w:rsidRPr="00F7000C">
        <w:rPr>
          <w:sz w:val="10"/>
        </w:rPr>
        <w:t xml:space="preserve">For instance, in the thousands of taped oral holocaust testimonies around the world there are innumerable accounts of holocaust survivors who years after their terrible experiences in the concentration camps are overcome by inexplicable, yet overwhelming physical sensations that impinge upon, albeit sometimes only briefly, their ability to function in the world. Some of these sensations take shape as a feeling of suffocation and others as anxiety. Let us take the example of an otherwise happy survivor living in Melbourne, Australia with her husband and children who gets on a bus to go to the supermarket only to be suddenly overcome with a sense of uncontrollable choking. She quickly gets off the bus at which point her breath returns to normal. Thinking about what might have triggered this attack, she recalls having similar feelings fifty years ago when she was taken in a cattle car transport from Hungary to a work camp. It may have been a particular smell combined with the tactile sensation of confinement in connection with an overcrowded bus and the heat of sweaty bodies that intensified the corporeal movement of memory. We are now left asking: is the a priori activity of memory a unified ground from the past that reproduces itself in the present for this survivor? </w:t>
      </w:r>
      <w:r w:rsidRPr="002823B2">
        <w:rPr>
          <w:rStyle w:val="StyleUnderline"/>
        </w:rPr>
        <w:t>Can the struggle between the interior life of traumatic memory and the forces of remembrance in the present possibly be articulated by culture?</w:t>
      </w:r>
      <w:r>
        <w:rPr>
          <w:rStyle w:val="StyleUnderline"/>
        </w:rPr>
        <w:t xml:space="preserve"> </w:t>
      </w:r>
      <w:r w:rsidRPr="00F7000C">
        <w:rPr>
          <w:sz w:val="10"/>
        </w:rPr>
        <w:t xml:space="preserve">To posit a determinate memory that returns to the present in the same way undermines the creative connection happening between different bodies and temporalities and this movement is entirely without priority. Indeed, at this juncture a distinction between what Deleuze and Guattari describe as a reterritorializing Memory in A Thousand Plateaus and another more messy, pre-individual, decodifying memory connection needs to be made. This is why art after the holocaust can no longer truthfully express interior life because that interior life is the deterritorializing force of trauma. Now a tension emerges with Deleuze and Guattari’s understanding of memory as reterritorializing and what could otherwise be described as ‘singular memory.’10 Singular memory is not given, meaning it does not denote a finite moment in time; it is an involution that necessarily implies deterritorializing movements that are not subject to the individual will of a ‘self.’ As such, singular memory is pre-individual as opposed to being an experience constituting the ‘self’ or located within the cogito; it is a modality of individuating differences prior to any given individual difference. As a differentiating force singular memory undergoes change in time but does not evolve over time. Singular memory is not a distinct or fixed entity or time, it is the deterritorializing dimension of history and of reterritorializing Memory; both are disjunctive and secondary in respect to singular memory. Deleuze and Guattari propose </w:t>
      </w:r>
      <w:r w:rsidRPr="00530438">
        <w:rPr>
          <w:rStyle w:val="StyleUnderline"/>
          <w:highlight w:val="green"/>
        </w:rPr>
        <w:t>there is ‘no history but of the majority, or of minorities as defined in relation to the majority.</w:t>
      </w:r>
      <w:r w:rsidRPr="002823B2">
        <w:rPr>
          <w:rStyle w:val="StyleUnderline"/>
        </w:rPr>
        <w:t>’</w:t>
      </w:r>
      <w:r w:rsidRPr="00F7000C">
        <w:rPr>
          <w:sz w:val="10"/>
        </w:rPr>
        <w:t xml:space="preserve">11 They add that although minorities such as women, children, or blacks may have memories these are collected by a ‘virile majoritarian.’ In this regard, </w:t>
      </w:r>
      <w:r w:rsidRPr="00530438">
        <w:rPr>
          <w:rStyle w:val="StyleUnderline"/>
          <w:highlight w:val="green"/>
        </w:rPr>
        <w:t>reterritorializing Memory is</w:t>
      </w:r>
      <w:r w:rsidRPr="00F7000C">
        <w:rPr>
          <w:sz w:val="10"/>
        </w:rPr>
        <w:t xml:space="preserve"> the </w:t>
      </w:r>
      <w:r w:rsidRPr="00530438">
        <w:rPr>
          <w:rStyle w:val="StyleUnderline"/>
          <w:highlight w:val="green"/>
        </w:rPr>
        <w:t>colonizing</w:t>
      </w:r>
      <w:r w:rsidRPr="00F7000C">
        <w:rPr>
          <w:sz w:val="10"/>
        </w:rPr>
        <w:t xml:space="preserve"> memory of childhood memories, rather than the blocks of becoming memory. When singular memory comes into play it effects a different memory but one that retains traces of the whole of memory. Such memory could be best likened to a deterritorializing movement, one that shares a great deal in common with Deleuze and Guattari’s first synthesis of desire: the connective synthesis. For example, to return </w:t>
      </w:r>
      <w:r w:rsidRPr="002823B2">
        <w:rPr>
          <w:rStyle w:val="StyleUnderline"/>
        </w:rPr>
        <w:t>to</w:t>
      </w:r>
      <w:r w:rsidRPr="00F7000C">
        <w:rPr>
          <w:sz w:val="10"/>
        </w:rPr>
        <w:t xml:space="preserve"> our example of </w:t>
      </w:r>
      <w:r w:rsidRPr="002823B2">
        <w:rPr>
          <w:rStyle w:val="StyleUnderline"/>
        </w:rPr>
        <w:t>a holocaust survivor</w:t>
      </w:r>
      <w:r w:rsidRPr="00F7000C">
        <w:rPr>
          <w:sz w:val="10"/>
        </w:rPr>
        <w:t xml:space="preserve">’s memory, </w:t>
      </w:r>
      <w:r w:rsidRPr="002823B2">
        <w:rPr>
          <w:rStyle w:val="StyleUnderline"/>
        </w:rPr>
        <w:t>it is neither the environment of the bus that completely causes the physical sensations of choking, nor even the individual herself who suddenly remembers the past;</w:t>
      </w:r>
      <w:r w:rsidRPr="00F7000C">
        <w:rPr>
          <w:sz w:val="10"/>
        </w:rPr>
        <w:t xml:space="preserve"> that is, </w:t>
      </w:r>
      <w:r w:rsidRPr="002823B2">
        <w:rPr>
          <w:rStyle w:val="StyleUnderline"/>
        </w:rPr>
        <w:t>memory is already in movement</w:t>
      </w:r>
      <w:r w:rsidRPr="00F7000C">
        <w:rPr>
          <w:sz w:val="10"/>
        </w:rPr>
        <w:t xml:space="preserve"> with its own temporality </w:t>
      </w:r>
      <w:r w:rsidRPr="002823B2">
        <w:rPr>
          <w:rStyle w:val="StyleUnderline"/>
        </w:rPr>
        <w:t>and these movements</w:t>
      </w:r>
      <w:r w:rsidRPr="00F7000C">
        <w:rPr>
          <w:sz w:val="10"/>
        </w:rPr>
        <w:t xml:space="preserve"> simply </w:t>
      </w:r>
      <w:r w:rsidRPr="002823B2">
        <w:rPr>
          <w:rStyle w:val="StyleUnderline"/>
        </w:rPr>
        <w:t>intensify within a specific social situation.</w:t>
      </w:r>
      <w:r w:rsidRPr="00F7000C">
        <w:rPr>
          <w:sz w:val="10"/>
        </w:rPr>
        <w:t xml:space="preserve"> ‘Social’ here means the affective and intensive energies of bodies that constitute a mode of desiring production. Singular memory is unilateral such that the holocaust survivor’s memory on the bus distinguishes itself from a specific space (the cattle car transports) and time (the holocaust); however, it brings with it that which it distinguishes itself from. For this reason, in relation to memory, trauma may best be understood as a particular arrangement of differences and degrees of intensity that generates its own temporality, and it is the singular movement of memory that creates the conditions for this auto-temporality. This is why the logic of a reterritorializing Memory fails to adequately account for the singular, affective, and intensive potential of traumatic memory. The singularity of memory is ‘singular’ to the process of remembrance and the field in which this process takes place. By distinguishing the memory from remembrance we can argue that the singularity of memory (much like Deleuzian intensity) may not actually be delimited within a given remembrance. However, it is still that which produces it, in so far as this comes to be because of the specificity memory poses. It is the intensive difference amid memories that fade away once a remembrance comes to be that constitutes singular memory. </w:t>
      </w:r>
      <w:r w:rsidRPr="00F7000C">
        <w:rPr>
          <w:rStyle w:val="StyleUnderline"/>
        </w:rPr>
        <w:t>In so far as the concept of singular memory is a pre-individual memory, it draws on Deleuze’s discussion of Nietzsche and expressivism – the idea that life consists of pre-individual singularities.</w:t>
      </w:r>
      <w:r w:rsidRPr="00F7000C">
        <w:rPr>
          <w:sz w:val="10"/>
        </w:rPr>
        <w:t xml:space="preserve"> In the spirit of Deleuze’s use of Nietzsche, </w:t>
      </w:r>
      <w:r w:rsidRPr="00F7000C">
        <w:rPr>
          <w:rStyle w:val="StyleUnderline"/>
        </w:rPr>
        <w:t>singular memory does not relate to a unified ground or experience of the subject.</w:t>
      </w:r>
      <w:r w:rsidRPr="00F7000C">
        <w:rPr>
          <w:sz w:val="10"/>
        </w:rPr>
        <w:t xml:space="preserve"> As such, to speak of reterritorializing Memory is not to assert that memory is exercised by a subject with either misplaced or authoritarian intentions, it is an activity resulting from a combination of illegitimate syntheses: connective, disjunctive, and conjunctive. These syntheses of desire seize upon the energies, or force, of singular memory (herein lies the significance of the Freudian notion of libido), organizing it into distinct periods, causes, identities, and hierarchical temporal relations. </w:t>
      </w:r>
      <w:r w:rsidRPr="00F7000C">
        <w:rPr>
          <w:rStyle w:val="StyleUnderline"/>
        </w:rPr>
        <w:t xml:space="preserve">The activity of a </w:t>
      </w:r>
      <w:r w:rsidRPr="00530438">
        <w:rPr>
          <w:rStyle w:val="StyleUnderline"/>
          <w:highlight w:val="green"/>
        </w:rPr>
        <w:t>reterritorializing Memory forces a dualistic separation between the past and present, a split that is no different to the separation of being from becoming.</w:t>
      </w:r>
      <w:r w:rsidRPr="00F7000C">
        <w:rPr>
          <w:sz w:val="10"/>
        </w:rPr>
        <w:t xml:space="preserve"> Accordingly, the whole notion of ‘historical trauma’ that Freud posits with his concept of Nachträglichkeit is an effect of this split. </w:t>
      </w:r>
      <w:r w:rsidRPr="00F7000C">
        <w:rPr>
          <w:rStyle w:val="StyleUnderline"/>
        </w:rPr>
        <w:t>The past</w:t>
      </w:r>
      <w:r w:rsidRPr="00F7000C">
        <w:rPr>
          <w:sz w:val="10"/>
        </w:rPr>
        <w:t xml:space="preserve">, however, </w:t>
      </w:r>
      <w:r w:rsidRPr="00F7000C">
        <w:rPr>
          <w:rStyle w:val="StyleUnderline"/>
        </w:rPr>
        <w:t>cannot be located in a fixed and determinate point or ground, one that takes form in the present as a unified temporal entity.</w:t>
      </w:r>
      <w:r w:rsidRPr="00F7000C">
        <w:rPr>
          <w:sz w:val="10"/>
        </w:rPr>
        <w:t xml:space="preserve"> Singular memory thus conceived is neither the original memory out of which the present is merely a faint copy, nor are the qualities of singular memory determined by a prior cause. Singular memory is a differentiating force; it is an operative function that combines an aggregate of differences. Trauma is one possible aggregate. As univocal memory, trauma elides the negative position commonly ascribed to it. In this light, trauma no longer poses an irresolvable negation of Being or of life and it can be said to persist over time. However, this is not to suggest trauma persists in the same way over time. The differentiating power of singular memory is one of internal difference, and if we were to follow Deleuze’s Nietzsche, it could be said to be ultimately creative.12 That is, </w:t>
      </w:r>
      <w:r w:rsidRPr="00F7000C">
        <w:rPr>
          <w:rStyle w:val="StyleUnderline"/>
        </w:rPr>
        <w:t>the activity of singular memory is untimely, not historical; it is positive, not negative, positive in so far as it is not different to the present and future – it is a mode of both – and it is also the condition necessary for future difference.</w:t>
      </w:r>
      <w:r>
        <w:rPr>
          <w:rStyle w:val="StyleUnderline"/>
        </w:rPr>
        <w:t xml:space="preserve"> </w:t>
      </w:r>
      <w:r w:rsidRPr="00F7000C">
        <w:rPr>
          <w:sz w:val="10"/>
        </w:rPr>
        <w:t xml:space="preserve">This situation introduces the issue of how forces are repeated and which ones are selected (this is an activity that takes place at the level of desiring production). It is here where Deleuze’s use of Nietzsche’s concept of force is most instructive: In Nietzsche the essential relation of one force to another is never conceived of as a negative element in the essence. In its relation with the other the force which makes itself obeyed does not deny the other or that which it is not, it affirms its own difference and enjoys this difference. The negative is not present in the essence as that from which force draws its activity: on the contrary it is a result of activity, of the existence of an active force and the affirmation of its difference.13 </w:t>
      </w:r>
      <w:r w:rsidRPr="00F7000C">
        <w:rPr>
          <w:rStyle w:val="StyleUnderline"/>
        </w:rPr>
        <w:t xml:space="preserve">The point is that </w:t>
      </w:r>
      <w:r w:rsidRPr="00461E22">
        <w:rPr>
          <w:rStyle w:val="StyleUnderline"/>
          <w:highlight w:val="green"/>
        </w:rPr>
        <w:t>remembering a traumatic event doesn’t entail mimicking or describing that event as truthfully as possible, rather it entails a mode of composition and endurance that actualizes the overwhelming force of trauma in all its difference.</w:t>
      </w:r>
      <w:r w:rsidRPr="00F7000C">
        <w:rPr>
          <w:sz w:val="10"/>
        </w:rPr>
        <w:t xml:space="preserve"> This is largely a problem of how to extract the singularity of memory out of a mix of memories so as to tap into the expressed form of trauma, whereby its force endures in us only because we have willed it to. </w:t>
      </w:r>
      <w:r w:rsidRPr="00F7000C">
        <w:rPr>
          <w:rStyle w:val="StyleUnderline"/>
        </w:rPr>
        <w:t xml:space="preserve">Memorial culture stutters with a schizoid investment of memory, presenting memories the social field affects in the selection and connection of different memory singularities. </w:t>
      </w:r>
      <w:r w:rsidRPr="002324AD">
        <w:rPr>
          <w:rStyle w:val="StyleUnderline"/>
          <w:highlight w:val="green"/>
        </w:rPr>
        <w:t xml:space="preserve">A fascistic </w:t>
      </w:r>
      <w:r w:rsidRPr="002324AD">
        <w:rPr>
          <w:rStyle w:val="StyleUnderline"/>
          <w:highlight w:val="green"/>
        </w:rPr>
        <w:lastRenderedPageBreak/>
        <w:t>investment occurs when the social field resists the endurance of traumatic memory, finding investment for this wound in an authoritarian image of the sublime or through repressive modes of remembrance</w:t>
      </w:r>
      <w:r w:rsidRPr="00F7000C">
        <w:rPr>
          <w:rStyle w:val="StyleUnderline"/>
        </w:rPr>
        <w:t>, what Deleuze and Guattari might otherwise call a paranoid investment of desire.</w:t>
      </w:r>
      <w:r>
        <w:rPr>
          <w:rStyle w:val="StyleUnderline"/>
        </w:rPr>
        <w:t xml:space="preserve"> </w:t>
      </w:r>
      <w:r w:rsidRPr="00F7000C">
        <w:rPr>
          <w:sz w:val="10"/>
        </w:rPr>
        <w:t xml:space="preserve">For memorial culture </w:t>
      </w:r>
      <w:r w:rsidRPr="002324AD">
        <w:rPr>
          <w:rStyle w:val="StyleUnderline"/>
          <w:highlight w:val="green"/>
        </w:rPr>
        <w:t>to move beyond a fascistic investment of trauma, a utopian trajectory of memorialization needs to be put into practice.</w:t>
      </w:r>
      <w:r w:rsidRPr="00F7000C">
        <w:rPr>
          <w:sz w:val="10"/>
        </w:rPr>
        <w:t xml:space="preserve"> It has been argued, with the help of Deleuze’s concept of orgiastic representation and Jameson’s discussion of utopian failure, </w:t>
      </w:r>
      <w:r w:rsidRPr="00F7000C">
        <w:rPr>
          <w:rStyle w:val="StyleUnderline"/>
        </w:rPr>
        <w:t xml:space="preserve">that the inability of memory to fully represent utopia is implicitly a utopian gesture of sorts. </w:t>
      </w:r>
      <w:r w:rsidRPr="002324AD">
        <w:rPr>
          <w:rStyle w:val="StyleUnderline"/>
          <w:highlight w:val="green"/>
        </w:rPr>
        <w:t>Within the utopian dimension of memory lies the impulse to imagine a better future</w:t>
      </w:r>
      <w:r w:rsidRPr="002324AD">
        <w:rPr>
          <w:rStyle w:val="StyleUnderline"/>
        </w:rPr>
        <w:t>.</w:t>
      </w:r>
      <w:r w:rsidRPr="00F7000C">
        <w:rPr>
          <w:rStyle w:val="StyleUnderline"/>
        </w:rPr>
        <w:t xml:space="preserve"> In the context of memorial culture this entails engaging memory in a way that eludes trauma fetishism so that singular memory can retain a critical edge, </w:t>
      </w:r>
      <w:r w:rsidRPr="002324AD">
        <w:rPr>
          <w:rStyle w:val="StyleUnderline"/>
          <w:highlight w:val="green"/>
        </w:rPr>
        <w:t>activating both the past and future from the standpoint of the present.</w:t>
      </w:r>
      <w:r w:rsidRPr="00F7000C">
        <w:rPr>
          <w:rStyle w:val="StyleUnderline"/>
        </w:rPr>
        <w:t xml:space="preserve"> </w:t>
      </w:r>
      <w:r w:rsidRPr="002324AD">
        <w:rPr>
          <w:rStyle w:val="StyleUnderline"/>
          <w:highlight w:val="green"/>
        </w:rPr>
        <w:t>In this light an affirmative memorial culture would</w:t>
      </w:r>
      <w:r w:rsidRPr="00F7000C">
        <w:rPr>
          <w:rStyle w:val="StyleUnderline"/>
        </w:rPr>
        <w:t xml:space="preserve"> be one where the work of singular memory would </w:t>
      </w:r>
      <w:r w:rsidRPr="002324AD">
        <w:rPr>
          <w:rStyle w:val="StyleUnderline"/>
          <w:highlight w:val="green"/>
        </w:rPr>
        <w:t>mean ‘discovering, inventing, new possibilities of life.’</w:t>
      </w:r>
      <w:r w:rsidRPr="00F7000C">
        <w:rPr>
          <w:sz w:val="10"/>
        </w:rPr>
        <w:t xml:space="preserve">14 By the same token, it is simply as Deleuze says of Nietzsche, that life ‘struggles with another kind of life.’15 </w:t>
      </w:r>
      <w:r w:rsidRPr="00F7000C">
        <w:rPr>
          <w:rStyle w:val="StyleUnderline"/>
        </w:rPr>
        <w:t xml:space="preserve">Accordingly, in view of the weeping prophet Jeremiah, the struggle of remembrance is one that constructs </w:t>
      </w:r>
      <w:r w:rsidRPr="002324AD">
        <w:rPr>
          <w:rStyle w:val="StyleUnderline"/>
          <w:highlight w:val="green"/>
        </w:rPr>
        <w:t>a revolutionary connection to the future</w:t>
      </w:r>
      <w:r w:rsidRPr="00F7000C">
        <w:rPr>
          <w:rStyle w:val="StyleUnderline"/>
        </w:rPr>
        <w:t xml:space="preserve">. His tears are a sign of how collective trauma endures throughout the social only in so far as we will it to, which is to say his </w:t>
      </w:r>
      <w:r w:rsidRPr="002324AD">
        <w:rPr>
          <w:rStyle w:val="StyleUnderline"/>
          <w:highlight w:val="green"/>
        </w:rPr>
        <w:t>are the tears of a witness</w:t>
      </w:r>
      <w:r w:rsidRPr="00F7000C">
        <w:rPr>
          <w:rStyle w:val="StyleUnderline"/>
        </w:rPr>
        <w:t xml:space="preserve"> and they are the effect of a fundamental choice not to remain a mere bystander.</w:t>
      </w:r>
      <w:r w:rsidRPr="00F7000C">
        <w:rPr>
          <w:sz w:val="10"/>
        </w:rPr>
        <w:t xml:space="preserve"> Interestingly, the witness inaugurates the sociality of memory as they choose to allow trauma to passively endure inside of them; </w:t>
      </w:r>
      <w:r w:rsidRPr="002324AD">
        <w:rPr>
          <w:rStyle w:val="StyleUnderline"/>
          <w:highlight w:val="green"/>
        </w:rPr>
        <w:t>the passive endurance of traumatic memory is what eventually compels them to act.</w:t>
      </w:r>
      <w:r w:rsidRPr="00F7000C">
        <w:rPr>
          <w:sz w:val="10"/>
        </w:rPr>
        <w:t xml:space="preserve"> Hence, the struggle of remembrance lies in discovering a way to conserve the force of trauma as it endures in the witness without preserving it in a transcendent or repressive structure. This is the struggle that defines the ethical significance of memorial culture for the human condition; ultimately we cannot afford to be shy or hesitant when trauma appears for it inheres in all of us. Essentially, we are faced with a choice of whether or not traumatic memory compels us to act, meaning that we record this memory not to counter injustice but because we choose not to suffer in the face of it.</w:t>
      </w:r>
    </w:p>
    <w:p xmlns:wp14="http://schemas.microsoft.com/office/word/2010/wordml" w:rsidR="00E45F43" w:rsidP="00E45F43" w:rsidRDefault="00E45F43" w14:paraId="5EC3ECA5" wp14:textId="77777777">
      <w:pPr>
        <w:pStyle w:val="Heading4"/>
      </w:pPr>
      <w:r>
        <w:t xml:space="preserve">Urrea wrote in his 10 year afterword of </w:t>
      </w:r>
      <w:r w:rsidRPr="00162294">
        <w:rPr>
          <w:u w:val="single"/>
        </w:rPr>
        <w:t>The Devil’s Highway</w:t>
      </w:r>
      <w:r>
        <w:t xml:space="preserve"> that:</w:t>
      </w:r>
    </w:p>
    <w:p xmlns:wp14="http://schemas.microsoft.com/office/word/2010/wordml" w:rsidR="00E45F43" w:rsidP="00E45F43" w:rsidRDefault="00E45F43" w14:paraId="1179B7AB" wp14:textId="77777777">
      <w:r>
        <w:t xml:space="preserve">A helpful young man tells you, “Why should we read a book about people who shouldn’t be here?  They’re, like, </w:t>
      </w:r>
      <w:r>
        <w:rPr>
          <w:i/>
        </w:rPr>
        <w:t>illegal.</w:t>
      </w:r>
      <w:r>
        <w:t>”</w:t>
      </w:r>
    </w:p>
    <w:p xmlns:wp14="http://schemas.microsoft.com/office/word/2010/wordml" w:rsidR="00E45F43" w:rsidP="00E45F43" w:rsidRDefault="00E45F43" w14:paraId="4A73F19B" wp14:textId="77777777">
      <w:r w:rsidRPr="002324AD">
        <w:rPr>
          <w:rStyle w:val="StyleUnderline"/>
          <w:highlight w:val="green"/>
        </w:rPr>
        <w:t>Part of the idea was to foment discussion.  Make us think a little about those people who are</w:t>
      </w:r>
      <w:r w:rsidRPr="00D177E5">
        <w:rPr>
          <w:rStyle w:val="StyleUnderline"/>
        </w:rPr>
        <w:t xml:space="preserve">, like, </w:t>
      </w:r>
      <w:r w:rsidRPr="002324AD">
        <w:rPr>
          <w:rStyle w:val="StyleUnderline"/>
          <w:highlight w:val="green"/>
        </w:rPr>
        <w:t>illegal.  But the deeper idea was to bear witness</w:t>
      </w:r>
      <w:r w:rsidRPr="00D177E5">
        <w:rPr>
          <w:rStyle w:val="StyleUnderline"/>
        </w:rPr>
        <w:t>—we saw an exodus straight from the biblical template, and it felt that no one was paying attention.  As I started the work,</w:t>
      </w:r>
      <w:r>
        <w:t xml:space="preserve"> I will confess, </w:t>
      </w:r>
      <w:r w:rsidRPr="00D177E5">
        <w:rPr>
          <w:rStyle w:val="StyleUnderline"/>
        </w:rPr>
        <w:t>it was all about the good men who died.  I was sick of the endless toxic reductions about these pilgrims, the demeaning rage directed toward them.</w:t>
      </w:r>
      <w:r>
        <w:t xml:space="preserve">  I’m a romantic—a sucker for the Statue of Liberty</w:t>
      </w:r>
      <w:r w:rsidRPr="002324AD">
        <w:t xml:space="preserve">.  </w:t>
      </w:r>
      <w:r w:rsidRPr="002324AD">
        <w:rPr>
          <w:rStyle w:val="StyleUnderline"/>
        </w:rPr>
        <w:t xml:space="preserve">But </w:t>
      </w:r>
      <w:r w:rsidRPr="002324AD">
        <w:rPr>
          <w:rStyle w:val="StyleUnderline"/>
          <w:highlight w:val="green"/>
        </w:rPr>
        <w:t>it didn’t take long to see that the story was really about all humans—all of us in those ancient deserts are lost wanderers.  All of us are walking in an alien landscape in those indigenous homelands.</w:t>
      </w:r>
      <w:r>
        <w:t xml:space="preserve">  And it hit me that nobody knew the smugglers at all.  And more stunning, no body knew about their warriors in Forest Green.  Indeed, as soon as I dropped my personal agendas, I saw that the Border Patrol was vilified sometimes as much as the, like, </w:t>
      </w:r>
      <w:r>
        <w:rPr>
          <w:i/>
        </w:rPr>
        <w:t>illegals</w:t>
      </w:r>
      <w:r>
        <w:t>.  (One regret I have now is that I used that word in the text as an angry stinger—an ironic prick to drum its ugly stupidity into readers… but it probably only served to bolster what I sought.  You can’t see it’s a bad concept if you don’t find it offensive.  Writing the book made me angry.  I am much ore pleasant when writing haiku.)</w:t>
      </w:r>
    </w:p>
    <w:p xmlns:wp14="http://schemas.microsoft.com/office/word/2010/wordml" w:rsidR="00E45F43" w:rsidP="00E45F43" w:rsidRDefault="00E45F43" w14:paraId="61474BD7" wp14:textId="77777777">
      <w:r>
        <w:t>[…]</w:t>
      </w:r>
    </w:p>
    <w:p xmlns:wp14="http://schemas.microsoft.com/office/word/2010/wordml" w:rsidRPr="000B59B4" w:rsidR="00E45F43" w:rsidP="00E45F43" w:rsidRDefault="00E45F43" w14:paraId="2082E0B9" wp14:textId="77777777">
      <w:pPr>
        <w:rPr>
          <w:rStyle w:val="StyleUnderline"/>
        </w:rPr>
      </w:pPr>
      <w:r w:rsidRPr="002324AD">
        <w:rPr>
          <w:rStyle w:val="StyleUnderline"/>
          <w:highlight w:val="green"/>
        </w:rPr>
        <w:t>Every American city is now a border town.  It happened.  That train already pulled out.</w:t>
      </w:r>
    </w:p>
    <w:p xmlns:wp14="http://schemas.microsoft.com/office/word/2010/wordml" w:rsidR="00E45F43" w:rsidP="00E45F43" w:rsidRDefault="00E45F43" w14:paraId="0B4020A7" wp14:textId="77777777"/>
    <w:p xmlns:wp14="http://schemas.microsoft.com/office/word/2010/wordml" w:rsidRPr="00382612" w:rsidR="00E45F43" w:rsidP="00E45F43" w:rsidRDefault="00E45F43" w14:paraId="1580FB1D" wp14:textId="77777777">
      <w:pPr>
        <w:pStyle w:val="Heading4"/>
      </w:pPr>
      <w:r>
        <w:lastRenderedPageBreak/>
        <w:t>To give into striation is to give up becoming otherwise.  How can we construct a whole out of the partial objects of trauma left behind?  To witness trauma is to let go of the juridical nightmare of the transcendental self-same subject so as to dream and imagine life differently.  Collective remembrance turns border control inside out by opening up new narrative possibilities</w:t>
      </w:r>
    </w:p>
    <w:p xmlns:wp14="http://schemas.microsoft.com/office/word/2010/wordml" w:rsidRPr="00D910C5" w:rsidR="00E45F43" w:rsidP="00E45F43" w:rsidRDefault="00E45F43" w14:paraId="3D779B11" wp14:textId="77777777">
      <w:r w:rsidRPr="008131DC">
        <w:rPr>
          <w:rStyle w:val="Style13ptBold"/>
        </w:rPr>
        <w:t xml:space="preserve">Parr 08 </w:t>
      </w:r>
      <w:r w:rsidRPr="008131DC">
        <w:rPr>
          <w:sz w:val="16"/>
        </w:rPr>
        <w:t xml:space="preserve">[Adrian, Professor and Director of The Charles Phelps Taft Research Center; Department of Political Science &amp; School of Architecture and Interior Design; UNESCO Water Chair, “US Military Abuses at Abu Ghraib,” in Deleuze and Memorial Culture: Desire, Singular Memory, and the Politics of Trauma, pp. </w:t>
      </w:r>
      <w:r>
        <w:t>130-41</w:t>
      </w:r>
      <w:r>
        <w:rPr>
          <w:sz w:val="16"/>
        </w:rPr>
        <w:t>//AK</w:t>
      </w:r>
    </w:p>
    <w:p xmlns:wp14="http://schemas.microsoft.com/office/word/2010/wordml" w:rsidR="00E45F43" w:rsidP="00E45F43" w:rsidRDefault="00E45F43" w14:paraId="539E0029" wp14:textId="77777777">
      <w:pPr>
        <w:rPr>
          <w:rStyle w:val="StyleUnderline"/>
          <w:highlight w:val="green"/>
        </w:rPr>
      </w:pPr>
      <w:r w:rsidRPr="006446BD">
        <w:rPr>
          <w:sz w:val="8"/>
        </w:rPr>
        <w:t xml:space="preserve">Leaning upon the arguments advanced by Ulrich Beck and John Urry, urban theorist Jon Coaffee proposes that world risk society is negative and he defines this in the following manner: uninsurable risk, the threat of attack, and technological advances that have turned into the terrorist’s toolkit.15 Admittedly, Coaffee is detailing the spatial imprint of terrorism and the urban impact of the terrorist attacks of 9/11 in terms of infringements upon civil liberties due to counter terrorist measures in the city of London; yet in his discussion of conventional and nonconventional security measures he presupposes the problem of security to be the ground of urban design in a post-9/11 world. His analysis, in turn, marks the striation of urban design theory. </w:t>
      </w:r>
      <w:r w:rsidRPr="00013CD4">
        <w:rPr>
          <w:rStyle w:val="StyleUnderline"/>
          <w:highlight w:val="green"/>
        </w:rPr>
        <w:t>To adopt a juridical framework is to use the selfsame logic that has seen the institutionalization of violence: Good versus Evil, safe and wild</w:t>
      </w:r>
      <w:r w:rsidRPr="006446BD">
        <w:rPr>
          <w:sz w:val="8"/>
        </w:rPr>
        <w:t xml:space="preserve"> urban </w:t>
      </w:r>
      <w:r w:rsidRPr="00013CD4">
        <w:rPr>
          <w:rStyle w:val="StyleUnderline"/>
          <w:highlight w:val="green"/>
        </w:rPr>
        <w:t>areas, freedom versus terrorism, and Liberalism versus Fundamentalism.</w:t>
      </w:r>
      <w:r w:rsidRPr="006446BD">
        <w:rPr>
          <w:sz w:val="8"/>
        </w:rPr>
        <w:t xml:space="preserve"> At this point it may be helpful to give our memories a bit of a jog. The will-to-govern the autonomous and unpredictable character of life forces was not introduced post 9/11, it was simply aggravated. </w:t>
      </w:r>
      <w:r w:rsidRPr="00013CD4">
        <w:rPr>
          <w:rStyle w:val="StyleUnderline"/>
          <w:highlight w:val="green"/>
        </w:rPr>
        <w:t>Border control did not begin after 9/11, it was merely tightened.</w:t>
      </w:r>
      <w:r w:rsidRPr="00C6311A">
        <w:rPr>
          <w:rStyle w:val="StyleUnderline"/>
        </w:rPr>
        <w:t xml:space="preserve"> All in all, </w:t>
      </w:r>
      <w:r w:rsidRPr="00013CD4">
        <w:rPr>
          <w:rStyle w:val="StyleUnderline"/>
          <w:highlight w:val="green"/>
        </w:rPr>
        <w:t>the homogenizing force of striated space was already at work</w:t>
      </w:r>
      <w:r w:rsidRPr="00C6311A">
        <w:rPr>
          <w:rStyle w:val="StyleUnderline"/>
        </w:rPr>
        <w:t xml:space="preserve"> when 9/11 occurred; the traumatic memory of </w:t>
      </w:r>
      <w:r w:rsidRPr="00013CD4">
        <w:rPr>
          <w:rStyle w:val="StyleUnderline"/>
          <w:highlight w:val="green"/>
        </w:rPr>
        <w:t>9/11 simply became the excuse to increase and legitimize the interpretation and construction of space solely in terms of security.</w:t>
      </w:r>
      <w:r>
        <w:rPr>
          <w:rStyle w:val="StyleUnderline"/>
        </w:rPr>
        <w:t xml:space="preserve"> </w:t>
      </w:r>
      <w:r w:rsidRPr="006446BD">
        <w:rPr>
          <w:sz w:val="8"/>
        </w:rPr>
        <w:t xml:space="preserve">Coaffee’s position, while thorough in its analysis of policy and the urban ramifications of security measures implemented to counteract terrorist activities throughout the city, fails to elaborate on the possibility that in effect the problem of security is not the premise of design initiatives, it is the effect of how we think the terms and conditions of contemporary urban design. What this means is that, for instance, both Coaffee and the WTC design focus on criminal (aberrant) social activities and the curbing and controlling of these, more than generating new social activities and innovative ways of experiencing how we live our lives. For Coaffee it is a fait accompli that security management is placed in the foreground at the expense of unregulated sociality; all the while he advocates the importance of urban life. </w:t>
      </w:r>
      <w:r w:rsidRPr="00013CD4">
        <w:rPr>
          <w:rStyle w:val="StyleUnderline"/>
          <w:highlight w:val="green"/>
        </w:rPr>
        <w:t>Considering social life from the vantage point of security management inevitably presupposes the delimitation of lived space. But what if the smooth space of accidental and irregular activities</w:t>
      </w:r>
      <w:r w:rsidRPr="00C6311A">
        <w:rPr>
          <w:rStyle w:val="StyleUnderline"/>
        </w:rPr>
        <w:t xml:space="preserve">, for example, is not conceived of in absolute terms – as the polar opposite to the life of the city – and </w:t>
      </w:r>
      <w:r w:rsidRPr="00013CD4">
        <w:rPr>
          <w:rStyle w:val="StyleUnderline"/>
          <w:highlight w:val="green"/>
        </w:rPr>
        <w:t>is</w:t>
      </w:r>
      <w:r w:rsidRPr="00C6311A">
        <w:rPr>
          <w:rStyle w:val="StyleUnderline"/>
        </w:rPr>
        <w:t xml:space="preserve"> rather </w:t>
      </w:r>
      <w:r w:rsidRPr="00013CD4">
        <w:rPr>
          <w:rStyle w:val="StyleUnderline"/>
          <w:highlight w:val="green"/>
        </w:rPr>
        <w:t>embraced?</w:t>
      </w:r>
      <w:r w:rsidRPr="006446BD">
        <w:rPr>
          <w:sz w:val="8"/>
        </w:rPr>
        <w:t xml:space="preserve"> The principles used to both design for the security and symbolic weight of ground zero were simply punitive. That is, urban life was held accountable through the manner in which urban design took place. Structurally speaking there is not much difference between the aggression a group of bandits waged against the symbols of western democracy and the free market, and the aggression behind consciously building icons of Freedom and Capital in retaliation against these acts, not to mention the infantilizing memorial culture of patriotism such retaliation promotes: when taken together this is the work of reterritorializing Memory. The suffering of America imploded in a way that turned urban life into an object that is at once managed and then concomitantly used in the production of values and law. The aggression the American administration and the American Red States (those states whose residents primarily vote Republican) felt towards the ‘axis of evil’ and the so-called ‘elusive threat’ turned inwards and in the process many Americans were left asking ‘Who are you – out there?’ And ‘Who are we – in here?’ Posing the question in this way the social reinforces infantilizing paternalistic structures while rolling back social equality. No wonder President Bush Junior was surrounded by so many strong nanny-like figures such as Laura Bush, Condoleezza Rice, and Harriet Miers! But not to stray too far from the point at hand here, how can urban design help redirect memorial culture away from focusing on problems of identity, or Being, toward the more ethical problematic of ‘how can we become other than the traumatic conditions thus far defining us?’ </w:t>
      </w:r>
      <w:r w:rsidRPr="00C6311A">
        <w:rPr>
          <w:rStyle w:val="StyleUnderline"/>
        </w:rPr>
        <w:t xml:space="preserve">In her essay ‘The End of Imagination’ </w:t>
      </w:r>
      <w:r w:rsidRPr="00013CD4">
        <w:rPr>
          <w:rStyle w:val="StyleUnderline"/>
          <w:highlight w:val="green"/>
        </w:rPr>
        <w:t>Arundhati Roy outlines to an architect friend that not all dreams are a matter of wealth and fame,</w:t>
      </w:r>
      <w:r w:rsidRPr="00C6311A">
        <w:rPr>
          <w:rStyle w:val="StyleUnderline"/>
        </w:rPr>
        <w:t xml:space="preserve"> that </w:t>
      </w:r>
      <w:r w:rsidRPr="00013CD4">
        <w:rPr>
          <w:rStyle w:val="StyleUnderline"/>
          <w:highlight w:val="green"/>
        </w:rPr>
        <w:t>there are other dreams</w:t>
      </w:r>
      <w:r w:rsidRPr="00C6311A">
        <w:rPr>
          <w:rStyle w:val="StyleUnderline"/>
        </w:rPr>
        <w:t xml:space="preserve">, namely, that is, </w:t>
      </w:r>
      <w:r w:rsidRPr="00013CD4">
        <w:rPr>
          <w:rStyle w:val="StyleUnderline"/>
          <w:highlight w:val="green"/>
        </w:rPr>
        <w:t>to ‘live while you are alive and die only when you’re dead.</w:t>
      </w:r>
      <w:r w:rsidRPr="00C6311A">
        <w:rPr>
          <w:rStyle w:val="StyleUnderline"/>
        </w:rPr>
        <w:t>’16 To which her friend, with a taste of interrogation in her mouth, inquires what on earth she means by this. In response Roy writes the following on a paper napkin:</w:t>
      </w:r>
      <w:r>
        <w:rPr>
          <w:rStyle w:val="StyleUnderline"/>
        </w:rPr>
        <w:t xml:space="preserve"> </w:t>
      </w:r>
      <w:r w:rsidRPr="00013CD4">
        <w:rPr>
          <w:rStyle w:val="StyleUnderline"/>
          <w:highlight w:val="green"/>
        </w:rPr>
        <w:t>To love. To be loved. To never forget your own insignificance. To never get used to the unspeakable violence and the vulgar disparity of life around you. To seek joy in the saddest places. To pursue beauty to its lair. To never simplify what is complicated or complicate what is simple. To respect strength, never power. Above all, to watch. To try and understand. To never look away. And never, never, to forget.</w:t>
      </w:r>
      <w:r w:rsidRPr="006446BD">
        <w:rPr>
          <w:sz w:val="8"/>
        </w:rPr>
        <w:t xml:space="preserve">17 Her friend remains ‘somewhat unconvinced’ by this. Roy goes on to say that she ‘understood that it was nothing personal. Just a design thing.’18 </w:t>
      </w:r>
      <w:r w:rsidRPr="00013CD4">
        <w:rPr>
          <w:rStyle w:val="StyleUnderline"/>
          <w:highlight w:val="green"/>
        </w:rPr>
        <w:t>In effect what Roy is speaking of here is a difference in kind between what one dreams for and how one dreams. That is, for Roy’s friend, the dream operates as the Ideal predicate of life. However,</w:t>
      </w:r>
      <w:r w:rsidRPr="00C6311A">
        <w:rPr>
          <w:rStyle w:val="StyleUnderline"/>
        </w:rPr>
        <w:t xml:space="preserve"> if one asks what is it that dreams do, as </w:t>
      </w:r>
      <w:r w:rsidRPr="00013CD4">
        <w:rPr>
          <w:rStyle w:val="StyleUnderline"/>
          <w:highlight w:val="green"/>
        </w:rPr>
        <w:t>Roy</w:t>
      </w:r>
      <w:r w:rsidRPr="00C6311A">
        <w:rPr>
          <w:rStyle w:val="StyleUnderline"/>
        </w:rPr>
        <w:t xml:space="preserve">’s response </w:t>
      </w:r>
      <w:r w:rsidRPr="00013CD4">
        <w:rPr>
          <w:rStyle w:val="StyleUnderline"/>
          <w:highlight w:val="green"/>
        </w:rPr>
        <w:t>invites us to consider, dreaming</w:t>
      </w:r>
      <w:r w:rsidRPr="00C6311A">
        <w:rPr>
          <w:rStyle w:val="StyleUnderline"/>
        </w:rPr>
        <w:t xml:space="preserve"> is broached </w:t>
      </w:r>
      <w:r w:rsidRPr="00C21468">
        <w:rPr>
          <w:rStyle w:val="StyleUnderline"/>
          <w:highlight w:val="green"/>
        </w:rPr>
        <w:t>as affection – the ability to be affected and affect the world around you. Roy suggests dreaming is something we do and therefore it is a pragmatic activity.</w:t>
      </w:r>
      <w:r w:rsidRPr="00C6311A">
        <w:rPr>
          <w:rStyle w:val="StyleUnderline"/>
        </w:rPr>
        <w:t xml:space="preserve"> In this way she qualitatively evaluates the praxis of dreaming in terms of love, modesty, empathy, strength, and joy. In other words, she invites us to understand dreaming productively.</w:t>
      </w:r>
      <w:r w:rsidRPr="006446BD">
        <w:rPr>
          <w:sz w:val="8"/>
        </w:rPr>
        <w:t xml:space="preserve"> Or, as Jameson was to posit in the context of his discussion of utopia, the deeper truth of dreaming comes from ‘what it reveals of the reality principle as such rather than in what it tells us about our wish fulfillments.’19 </w:t>
      </w:r>
      <w:r w:rsidRPr="00C21468">
        <w:rPr>
          <w:rStyle w:val="StyleUnderline"/>
          <w:highlight w:val="green"/>
        </w:rPr>
        <w:t xml:space="preserve">The issue of how collectivities dream and imagine life is particularly significant when </w:t>
      </w:r>
      <w:r w:rsidRPr="00C21468">
        <w:rPr>
          <w:rStyle w:val="StyleUnderline"/>
          <w:highlight w:val="green"/>
        </w:rPr>
        <w:lastRenderedPageBreak/>
        <w:t>thinking about memorial culture because in large part the capacity for collective remembrance feeds off a particular kind of imagination, one that is fixated on transcendent orders, or what Jameson describes as repressing fantasy mechanisms.</w:t>
      </w:r>
      <w:r w:rsidRPr="006446BD">
        <w:rPr>
          <w:sz w:val="8"/>
        </w:rPr>
        <w:t xml:space="preserve">20 In Difference and Repetition Deleuze reworks the Kantian argument that the experience of space and time is the result of a coherent subject who synthesizes their sense impressions. </w:t>
      </w:r>
      <w:r w:rsidRPr="00C21468">
        <w:rPr>
          <w:rStyle w:val="StyleUnderline"/>
          <w:highlight w:val="green"/>
        </w:rPr>
        <w:t>Instigating a transcendent order, the world</w:t>
      </w:r>
      <w:r w:rsidRPr="006B0FBC">
        <w:rPr>
          <w:rStyle w:val="StyleUnderline"/>
        </w:rPr>
        <w:t xml:space="preserve"> according to Kant </w:t>
      </w:r>
      <w:r w:rsidRPr="00C21468">
        <w:rPr>
          <w:rStyle w:val="StyleUnderline"/>
          <w:highlight w:val="green"/>
        </w:rPr>
        <w:t>is synthesized and organized from a fixed point that exists beyond the world: the Kantian subject.</w:t>
      </w:r>
      <w:r w:rsidRPr="006B0FBC">
        <w:rPr>
          <w:rStyle w:val="StyleUnderline"/>
        </w:rPr>
        <w:t xml:space="preserve"> </w:t>
      </w:r>
      <w:r w:rsidRPr="00C21468">
        <w:rPr>
          <w:rStyle w:val="StyleUnderline"/>
          <w:highlight w:val="green"/>
        </w:rPr>
        <w:t>Calling into question the privileged transcendent position that the Kantian subject enjoys, Deleuze advocates that ‘[s]elves are larval subjects;</w:t>
      </w:r>
      <w:r w:rsidRPr="006B0FBC">
        <w:rPr>
          <w:rStyle w:val="StyleUnderline"/>
        </w:rPr>
        <w:t xml:space="preserve"> the world of passive syntheses constitutes the system of the self, under conditions yet to be determined, but it is the system of a dissolved self.’21 Essentially, ‘larval subjects’ are the outcome of syntheses and not the other way around. He further adds that </w:t>
      </w:r>
      <w:r w:rsidRPr="00C21468">
        <w:rPr>
          <w:rStyle w:val="StyleUnderline"/>
          <w:highlight w:val="green"/>
        </w:rPr>
        <w:t>the ‘self does not undergo modifications, it is itself a modification.’</w:t>
      </w:r>
      <w:r w:rsidRPr="006B0FBC">
        <w:rPr>
          <w:rStyle w:val="StyleUnderline"/>
        </w:rPr>
        <w:t xml:space="preserve">22 Subsequently, </w:t>
      </w:r>
      <w:r w:rsidRPr="00C21468">
        <w:rPr>
          <w:rStyle w:val="StyleUnderline"/>
          <w:highlight w:val="green"/>
        </w:rPr>
        <w:t>Deleuze directly challenges the notion of a Kantian subject by developing</w:t>
      </w:r>
      <w:r w:rsidRPr="006B0FBC">
        <w:rPr>
          <w:rStyle w:val="StyleUnderline"/>
        </w:rPr>
        <w:t xml:space="preserve"> Kant’s project into </w:t>
      </w:r>
      <w:r w:rsidRPr="00C21468">
        <w:rPr>
          <w:rStyle w:val="StyleUnderline"/>
          <w:highlight w:val="green"/>
        </w:rPr>
        <w:t>‘transcendental empiricism.’</w:t>
      </w:r>
      <w:r w:rsidRPr="006B0FBC">
        <w:rPr>
          <w:rStyle w:val="StyleUnderline"/>
        </w:rPr>
        <w:t xml:space="preserve"> Combining empiricism (experience is the ground for knowledge) with transcendentalism, </w:t>
      </w:r>
      <w:r w:rsidRPr="00C21468">
        <w:rPr>
          <w:rStyle w:val="StyleUnderline"/>
          <w:highlight w:val="green"/>
        </w:rPr>
        <w:t>Deleuze insists experience is in a state of becoming.</w:t>
      </w:r>
      <w:r w:rsidRPr="006B0FBC">
        <w:rPr>
          <w:rStyle w:val="StyleUnderline"/>
        </w:rPr>
        <w:t xml:space="preserve"> Experience, that is, has no origin or ground</w:t>
      </w:r>
      <w:r w:rsidRPr="006446BD">
        <w:rPr>
          <w:sz w:val="8"/>
        </w:rPr>
        <w:t xml:space="preserve">, as was the case with the Kantian subject whereby the faculties of the subject not only organize but also provide the conditions of possibility for experience. The philosophical preoccupation with ‘being’ is therefore radically challenged as Deleuze tosses out the transcendent ground of experience: the subject. </w:t>
      </w:r>
      <w:r w:rsidRPr="00C21468">
        <w:rPr>
          <w:rStyle w:val="StyleUnderline"/>
          <w:highlight w:val="green"/>
        </w:rPr>
        <w:t>For Deleuze, the utopian force of transcendental empiricism appears as affect, extending the limits of the faculties.</w:t>
      </w:r>
      <w:r w:rsidRPr="006B0FBC">
        <w:rPr>
          <w:rStyle w:val="StyleUnderline"/>
        </w:rPr>
        <w:t xml:space="preserve"> Or, </w:t>
      </w:r>
      <w:r w:rsidRPr="00C21468">
        <w:rPr>
          <w:rStyle w:val="StyleUnderline"/>
          <w:highlight w:val="green"/>
        </w:rPr>
        <w:t>put differently</w:t>
      </w:r>
      <w:r w:rsidRPr="006B0FBC">
        <w:rPr>
          <w:rStyle w:val="StyleUnderline"/>
        </w:rPr>
        <w:t xml:space="preserve"> and using Jameson’s understanding of utopia: </w:t>
      </w:r>
      <w:r w:rsidRPr="00C21468">
        <w:rPr>
          <w:rStyle w:val="StyleUnderline"/>
          <w:highlight w:val="green"/>
        </w:rPr>
        <w:t>‘The attempt at a radically different system releases the imagination and the utopian fantasy in a radically different way from our own, one that includes different kinds of narrative possibilities.’</w:t>
      </w:r>
      <w:r w:rsidRPr="006446BD">
        <w:rPr>
          <w:sz w:val="8"/>
        </w:rPr>
        <w:t xml:space="preserve">23 And to add to Jameson here, </w:t>
      </w:r>
      <w:r w:rsidRPr="00C21468">
        <w:rPr>
          <w:rStyle w:val="StyleUnderline"/>
          <w:highlight w:val="green"/>
        </w:rPr>
        <w:t>without these possibilities we are quite simply Oedipalized.</w:t>
      </w:r>
      <w:r>
        <w:rPr>
          <w:rStyle w:val="StyleUnderline"/>
        </w:rPr>
        <w:t xml:space="preserve"> </w:t>
      </w:r>
      <w:r w:rsidRPr="006446BD">
        <w:rPr>
          <w:sz w:val="8"/>
        </w:rPr>
        <w:t xml:space="preserve">To briefly recap our discussion from Chapter 1, in Anti-Oedipus Deleuze, with Guattari, identifies the transcendence of the psychoanalytic subject as an Oedipalized subject. So what is the connection between the Oedipal fantasy and a transcendent subject? Primarily, for Deleuze and Guattari, the problem of transcendence in the context of psychoanalysis surfaces when the child’s love for their parents is turned into a threat. The Oedipal law forbids the child’s love for the parent and in so doing the child is brought into line – normative behavior – that is, unless they modify their desires the child is threatened with the possibility of loosing their parent’s love. Hence, the Oedipal triangle of mommy, daddy, and me, namely the judicial role characteristic of the father who says ‘no’ and the imaginary space of the all-loving and all-giving mother, along with the child who forges and shapes their own identity in response to this originary lack by channeling their desires into a more acceptable avenue: the image of identity prescribed by the parents. Deleuze and Guattari point out that identity is the result of repressed desire. Put differently, in order for the child to feel accepted and consequently loved by its parents the unacceptable image of identity is sublimated in favor of a more suitable one. However, what if desire was never really about just wanting the love of one’s parents? </w:t>
      </w:r>
      <w:r w:rsidRPr="006B0FBC">
        <w:rPr>
          <w:rStyle w:val="StyleUnderline"/>
        </w:rPr>
        <w:t>What if desire was simply a matter of experimentation, one where the child plays with part objects without necessarily any object in particular being the primary point of reference</w:t>
      </w:r>
      <w:r w:rsidRPr="006446BD">
        <w:rPr>
          <w:sz w:val="8"/>
        </w:rPr>
        <w:t xml:space="preserve"> (legitimate form of the connective synthesis)? These are the kinds of questions Deleuze and Guattari propose in Anti-Oedipus and later go on to develop further in A Thousand Plateaus. Further, how this scenario of the transcendent subject, as it appears in both Kant and psychoanalysis, plays out in the new world of heightened security designed to combat the constant threat of terrorism – constantly moving between orange and red – is that such </w:t>
      </w:r>
      <w:r w:rsidRPr="00C21468">
        <w:rPr>
          <w:rStyle w:val="StyleUnderline"/>
          <w:highlight w:val="green"/>
        </w:rPr>
        <w:t>security measures could be understood as a reterritorializing Memory, one that infantilizes the social body in much the same way as the omnipresent Oedipus complex infantilizes the subject.</w:t>
      </w:r>
      <w:r w:rsidRPr="006B0FBC">
        <w:rPr>
          <w:rStyle w:val="StyleUnderline"/>
        </w:rPr>
        <w:t xml:space="preserve"> </w:t>
      </w:r>
      <w:r w:rsidRPr="00C21468">
        <w:rPr>
          <w:rStyle w:val="StyleUnderline"/>
        </w:rPr>
        <w:t xml:space="preserve">Just as </w:t>
      </w:r>
      <w:r w:rsidRPr="00C21468">
        <w:rPr>
          <w:rStyle w:val="StyleUnderline"/>
          <w:highlight w:val="green"/>
        </w:rPr>
        <w:t>the Kantian subject dominates the world</w:t>
      </w:r>
      <w:r w:rsidRPr="00C21468">
        <w:rPr>
          <w:rStyle w:val="StyleUnderline"/>
        </w:rPr>
        <w:t xml:space="preserve"> with its own particular point of view </w:t>
      </w:r>
      <w:r w:rsidRPr="00C21468">
        <w:rPr>
          <w:rStyle w:val="StyleUnderline"/>
          <w:highlight w:val="green"/>
        </w:rPr>
        <w:t>using reason</w:t>
      </w:r>
      <w:r w:rsidRPr="00C21468">
        <w:rPr>
          <w:rStyle w:val="StyleUnderline"/>
        </w:rPr>
        <w:t xml:space="preserve"> to synthesize the unreliable materiality of sense impressions, </w:t>
      </w:r>
      <w:r w:rsidRPr="00C21468">
        <w:rPr>
          <w:rStyle w:val="StyleUnderline"/>
          <w:highlight w:val="green"/>
        </w:rPr>
        <w:t>reterritorializing Memory dominates sociality</w:t>
      </w:r>
      <w:r w:rsidRPr="00C21468">
        <w:rPr>
          <w:rStyle w:val="StyleUnderline"/>
        </w:rPr>
        <w:t xml:space="preserve"> (desiring production) </w:t>
      </w:r>
      <w:r w:rsidRPr="00C21468">
        <w:rPr>
          <w:rStyle w:val="StyleUnderline"/>
          <w:highlight w:val="green"/>
        </w:rPr>
        <w:t>with an image of acceptable and normative identity, closing off new narrative possibilities</w:t>
      </w:r>
      <w:r w:rsidRPr="006446BD">
        <w:rPr>
          <w:sz w:val="8"/>
        </w:rPr>
        <w:t xml:space="preserve"> (to borrow from Jameson). This leaves us with the following question: how does urban design put transcendent subjectivity to work? </w:t>
      </w:r>
      <w:r w:rsidRPr="00C21468">
        <w:rPr>
          <w:rStyle w:val="StyleUnderline"/>
          <w:highlight w:val="green"/>
        </w:rPr>
        <w:t>New security measures and the manifestation of these throughout the</w:t>
      </w:r>
      <w:r w:rsidRPr="006446BD">
        <w:rPr>
          <w:rStyle w:val="StyleUnderline"/>
        </w:rPr>
        <w:t xml:space="preserve"> urban </w:t>
      </w:r>
      <w:r w:rsidRPr="00C21468">
        <w:rPr>
          <w:rStyle w:val="StyleUnderline"/>
          <w:highlight w:val="green"/>
        </w:rPr>
        <w:t>landscape are the effect of how we articulate and imagine contemporary</w:t>
      </w:r>
      <w:r w:rsidRPr="006B0FBC">
        <w:rPr>
          <w:rStyle w:val="StyleUnderline"/>
        </w:rPr>
        <w:t xml:space="preserve"> urban </w:t>
      </w:r>
      <w:r w:rsidRPr="00C21468">
        <w:rPr>
          <w:rStyle w:val="StyleUnderline"/>
          <w:highlight w:val="green"/>
        </w:rPr>
        <w:t>life.</w:t>
      </w:r>
      <w:r w:rsidRPr="006446BD">
        <w:rPr>
          <w:sz w:val="8"/>
        </w:rPr>
        <w:t xml:space="preserve"> This position presupposes there exists a higher authority (transcendent subject), one who knows what is best for you and by implication ‘you’ – the social body – ‘lack’ the necessary knowledge to ensure your own safety, in turn justifying the transcendent status of the all-knowing subject who will keep you safe</w:t>
      </w:r>
      <w:r w:rsidRPr="006B0FBC">
        <w:rPr>
          <w:rStyle w:val="StyleUnderline"/>
        </w:rPr>
        <w:t xml:space="preserve">. In other words, the transcendent subject infantilizes the social body by proclaiming the privileged status of being – as the only one who can and knows how to say ‘no’ to terrorism. Therein lies the potential violence of memorial culture: </w:t>
      </w:r>
      <w:r w:rsidRPr="00C21468">
        <w:rPr>
          <w:rStyle w:val="StyleUnderline"/>
          <w:highlight w:val="green"/>
        </w:rPr>
        <w:t>when trauma is put to work to produce a paternalistic framework for how life is expressed it strips the optimism out of the future and replaces it with dread.</w:t>
      </w:r>
      <w:r w:rsidRPr="00C21468">
        <w:rPr>
          <w:rStyle w:val="StyleUnderline"/>
        </w:rPr>
        <w:t xml:space="preserve"> As Judith</w:t>
      </w:r>
      <w:r w:rsidRPr="006B0FBC">
        <w:rPr>
          <w:rStyle w:val="StyleUnderline"/>
        </w:rPr>
        <w:t xml:space="preserve"> Butler points out, once the collective ethos has been deserted and is no longer collectively shared it turns violent. That being so, under such conditions the collective ethos can only become ‘collective’ once more by means of violence. Butler explains:</w:t>
      </w:r>
      <w:r>
        <w:rPr>
          <w:rStyle w:val="StyleUnderline"/>
        </w:rPr>
        <w:t xml:space="preserve"> </w:t>
      </w:r>
      <w:r w:rsidRPr="006B0FBC">
        <w:rPr>
          <w:rStyle w:val="StyleUnderline"/>
        </w:rPr>
        <w:t xml:space="preserve">In this sense, the collective ethos instrumentalizes violence to maintain the appearance of its collectivity. Moreover, this ethos becomes violence only once it has become an anachronism. What is strange historically – and temporally – about this form of ethical violence is that although the collective ethos has </w:t>
      </w:r>
      <w:r w:rsidRPr="006B0FBC">
        <w:rPr>
          <w:rStyle w:val="StyleUnderline"/>
        </w:rPr>
        <w:lastRenderedPageBreak/>
        <w:t>become anachronistic, it has not become past; it insists itself into the present as an anachronism. The ethos refuses to become past, and violence is the way in which it imposes itself upon the present. Indeed, it not only imposes itself upon the present, but also seeks to eclipse the present – and this is precisely one of its violent effects.24</w:t>
      </w:r>
      <w:r>
        <w:rPr>
          <w:rStyle w:val="StyleUnderline"/>
        </w:rPr>
        <w:t xml:space="preserve"> </w:t>
      </w:r>
      <w:r w:rsidRPr="006446BD">
        <w:rPr>
          <w:sz w:val="8"/>
        </w:rPr>
        <w:t xml:space="preserve">To add to Butler, the focus on risk management and heightened security aspires to a largely utopian urban lifestyle. The violent effect of this aspiration resides in the failure to consider the necessary failure of any design that equates security with freedom; this refusal to confront the reality of unfreedom that such utopian design measures present is the very fantasy mechanism Jameson speaks of. Really the only way an urban design can authentically be utopian is if it doesn’t feign to provide us with any guarantees but works to bring into focus the harsh reality that we can never be completely secure; moreover, why would we want to be! </w:t>
      </w:r>
      <w:r w:rsidRPr="006B0FBC">
        <w:rPr>
          <w:rStyle w:val="StyleUnderline"/>
        </w:rPr>
        <w:t xml:space="preserve">According </w:t>
      </w:r>
      <w:r w:rsidRPr="00C21468">
        <w:rPr>
          <w:rStyle w:val="StyleUnderline"/>
          <w:highlight w:val="green"/>
        </w:rPr>
        <w:t>to Deleuze and Guattari freedom is an ontological condition tied to experimentation, joy, and unpredictability.</w:t>
      </w:r>
      <w:r w:rsidRPr="006B0FBC">
        <w:rPr>
          <w:rStyle w:val="StyleUnderline"/>
        </w:rPr>
        <w:t xml:space="preserve"> In some forms of memorial culture this is not only discouraged, it is also seriously hindered by the transcendent subjectivity of trauma striating social space. The visual vocabulary used to account for ‘Freedom’ in the master plan for the WTC site in effect establishes a common ground where in fact no such ground can be presupposed.</w:t>
      </w:r>
      <w:r w:rsidRPr="006446BD">
        <w:rPr>
          <w:sz w:val="8"/>
        </w:rPr>
        <w:t xml:space="preserve"> If the question of design is to really recognize and address the so-called ‘elusive threat’ it spawns then urban design and theory will be forced to face its own epistemological limit, all the while still offering the material conditions for economic productivity, social exchange, and cultural encounters: this is tantamount to massaging forth the smooth spaces that subsist within the imploded spaces of striation. </w:t>
      </w:r>
      <w:r w:rsidRPr="00C21468">
        <w:rPr>
          <w:rStyle w:val="StyleUnderline"/>
          <w:highlight w:val="green"/>
        </w:rPr>
        <w:t>To intensify smooth space within the forces of striation does not mean invoking the age-old dichotomy between urban and suburban, safe and wild, rich and poor, inside and outside, vertical and horizontal; rather it means turning the hierarchical organization of space inside out.</w:t>
      </w:r>
      <w:r w:rsidRPr="006B0FBC">
        <w:rPr>
          <w:rStyle w:val="StyleUnderline"/>
        </w:rPr>
        <w:t xml:space="preserve"> They write:</w:t>
      </w:r>
      <w:r>
        <w:rPr>
          <w:rStyle w:val="StyleUnderline"/>
        </w:rPr>
        <w:t xml:space="preserve"> </w:t>
      </w:r>
      <w:r w:rsidRPr="006B0FBC">
        <w:rPr>
          <w:rStyle w:val="StyleUnderline"/>
        </w:rPr>
        <w:t xml:space="preserve">... </w:t>
      </w:r>
      <w:r w:rsidRPr="00C21468">
        <w:rPr>
          <w:rStyle w:val="StyleUnderline"/>
          <w:highlight w:val="green"/>
        </w:rPr>
        <w:t>smooth spaces</w:t>
      </w:r>
      <w:r w:rsidRPr="006B0FBC">
        <w:rPr>
          <w:rStyle w:val="StyleUnderline"/>
        </w:rPr>
        <w:t xml:space="preserve"> arising from the city </w:t>
      </w:r>
      <w:r w:rsidRPr="00C21468">
        <w:rPr>
          <w:rStyle w:val="StyleUnderline"/>
          <w:highlight w:val="green"/>
        </w:rPr>
        <w:t>are</w:t>
      </w:r>
      <w:r w:rsidRPr="006B0FBC">
        <w:rPr>
          <w:rStyle w:val="StyleUnderline"/>
        </w:rPr>
        <w:t xml:space="preserve"> not only those of worldwide organization, but also of </w:t>
      </w:r>
      <w:r w:rsidRPr="00C21468">
        <w:rPr>
          <w:rStyle w:val="StyleUnderline"/>
          <w:highlight w:val="green"/>
        </w:rPr>
        <w:t>a counterattack combining the smooth and the holey and turning back against the town: sprawling, temporary, shifting shantytowns of nomads and cave dwellers, scrap metal and fabric, patchwork, to which the striations of money, work, or housing are no longer even relevant.</w:t>
      </w:r>
      <w:r w:rsidRPr="006446BD">
        <w:rPr>
          <w:sz w:val="8"/>
        </w:rPr>
        <w:t xml:space="preserve">25 </w:t>
      </w:r>
      <w:r w:rsidRPr="006B0FBC">
        <w:rPr>
          <w:rStyle w:val="StyleUnderline"/>
        </w:rPr>
        <w:t xml:space="preserve">Clearly, </w:t>
      </w:r>
      <w:r w:rsidRPr="00C21468">
        <w:rPr>
          <w:rStyle w:val="StyleUnderline"/>
          <w:highlight w:val="green"/>
        </w:rPr>
        <w:t>smooth spaces invoke the forces of counteraction and counterattack.</w:t>
      </w:r>
      <w:r w:rsidRPr="006B0FBC">
        <w:rPr>
          <w:rStyle w:val="StyleUnderline"/>
        </w:rPr>
        <w:t xml:space="preserve"> In the context of urban design this would mean </w:t>
      </w:r>
      <w:r w:rsidRPr="00C21468">
        <w:rPr>
          <w:rStyle w:val="StyleUnderline"/>
          <w:highlight w:val="green"/>
        </w:rPr>
        <w:t>designing</w:t>
      </w:r>
      <w:r w:rsidRPr="006B0FBC">
        <w:rPr>
          <w:rStyle w:val="StyleUnderline"/>
        </w:rPr>
        <w:t xml:space="preserve"> </w:t>
      </w:r>
      <w:r w:rsidRPr="00C21468">
        <w:rPr>
          <w:rStyle w:val="StyleUnderline"/>
          <w:highlight w:val="green"/>
        </w:rPr>
        <w:t>in a manner that transforms how we experience, build and conceive the relation between traumatic memory and the spaces we inhabit</w:t>
      </w:r>
      <w:r w:rsidRPr="006B0FBC">
        <w:rPr>
          <w:rStyle w:val="StyleUnderline"/>
        </w:rPr>
        <w:t xml:space="preserve">, along with the diversity such spaces promote. As Roy acknowledges, </w:t>
      </w:r>
      <w:r w:rsidRPr="00C21468">
        <w:rPr>
          <w:rStyle w:val="StyleUnderline"/>
          <w:highlight w:val="green"/>
        </w:rPr>
        <w:t>primarily this has to do with how we imagine life and never forget our own insignificance</w:t>
      </w:r>
      <w:r w:rsidRPr="006446BD">
        <w:rPr>
          <w:sz w:val="8"/>
        </w:rPr>
        <w:t xml:space="preserve">, this being exactly the problem of design she speaks of. Meanwhile, Deleuze and Guattari insist the counterforce of smooth space inheres throughout striated space and life inevitably comes to a standstill the moment we try to standardize variation and summarize complexity with simplicity. </w:t>
      </w:r>
      <w:r w:rsidRPr="006B0FBC">
        <w:rPr>
          <w:rStyle w:val="StyleUnderline"/>
        </w:rPr>
        <w:t xml:space="preserve">But pinpointing the problem remains a reactive project if we don’t also propose different ways of responding, or conceive of new directions that might provide the conditions for change. </w:t>
      </w:r>
      <w:r w:rsidRPr="00C21468">
        <w:rPr>
          <w:rStyle w:val="StyleUnderline"/>
          <w:highlight w:val="green"/>
        </w:rPr>
        <w:t>Creative practices can by no means solve the problem of ‘terrorism’ and ‘security’ as these materially manifest themselves in life, but in their experimental focus they are well placed when it comes to rendering striated space supple once more. Understanding the outside as terrifying and the source of contamination, against which the inside defensively freezes itself in an effort to contain and ward off encroachment, is the effect of reterritorializing Memory;</w:t>
      </w:r>
      <w:r w:rsidRPr="006B0FBC">
        <w:rPr>
          <w:rStyle w:val="StyleUnderline"/>
        </w:rPr>
        <w:t xml:space="preserve"> accordingly the effect of this is the striation of urban space. What </w:t>
      </w:r>
      <w:r w:rsidRPr="00C21468">
        <w:rPr>
          <w:rStyle w:val="StyleUnderline"/>
          <w:highlight w:val="green"/>
        </w:rPr>
        <w:t>this chapter has proposed</w:t>
      </w:r>
      <w:r w:rsidRPr="006446BD">
        <w:rPr>
          <w:sz w:val="8"/>
        </w:rPr>
        <w:t xml:space="preserve"> is that urban design start </w:t>
      </w:r>
      <w:r w:rsidRPr="00C21468">
        <w:rPr>
          <w:rStyle w:val="StyleUnderline"/>
          <w:highlight w:val="green"/>
        </w:rPr>
        <w:t>turning things inside out a little more, to distribute ‘friendliness,’ and imagine places filled with life in all its messiness, color, taste, smelliness, complexity, and restlessness.</w:t>
      </w:r>
    </w:p>
    <w:p xmlns:wp14="http://schemas.microsoft.com/office/word/2010/wordml" w:rsidRPr="00A60C4C" w:rsidR="00E45F43" w:rsidP="00E45F43" w:rsidRDefault="00E45F43" w14:paraId="1D7B270A" wp14:textId="77777777"/>
    <w:p xmlns:wp14="http://schemas.microsoft.com/office/word/2010/wordml" w:rsidR="00E45F43" w:rsidP="00577678" w:rsidRDefault="00E45F43" w14:paraId="440B5E9B" wp14:textId="77777777">
      <w:pPr>
        <w:pStyle w:val="Heading2"/>
      </w:pPr>
      <w:r>
        <w:lastRenderedPageBreak/>
        <w:t>AFF Extensions</w:t>
      </w:r>
    </w:p>
    <w:p xmlns:wp14="http://schemas.microsoft.com/office/word/2010/wordml" w:rsidR="00E45F43" w:rsidP="00E45F43" w:rsidRDefault="00E45F43" w14:paraId="05F52813" wp14:textId="77777777">
      <w:pPr>
        <w:pStyle w:val="Heading3"/>
      </w:pPr>
      <w:r>
        <w:lastRenderedPageBreak/>
        <w:t>I: War Machine</w:t>
      </w:r>
    </w:p>
    <w:p xmlns:wp14="http://schemas.microsoft.com/office/word/2010/wordml" w:rsidR="00E45F43" w:rsidP="00E45F43" w:rsidRDefault="00E45F43" w14:paraId="23C0C6E0" wp14:textId="77777777">
      <w:pPr>
        <w:pStyle w:val="Heading4"/>
        <w:rPr>
          <w:lang w:eastAsia="ja-JP"/>
        </w:rPr>
      </w:pPr>
      <w:r>
        <w:rPr>
          <w:lang w:eastAsia="ja-JP"/>
        </w:rPr>
        <w:t>The State’s task is to make striated space – to capture the flows of people and desire that moves against it</w:t>
      </w:r>
    </w:p>
    <w:p xmlns:wp14="http://schemas.microsoft.com/office/word/2010/wordml" w:rsidRPr="004A4C74" w:rsidR="00E45F43" w:rsidP="00E45F43" w:rsidRDefault="00E45F43" w14:paraId="18551BA7" wp14:textId="77777777">
      <w:pPr>
        <w:rPr>
          <w:rFonts w:eastAsia="Times New Roman" w:cs="Times New Roman"/>
          <w:lang w:eastAsia="ja-JP"/>
        </w:rPr>
      </w:pPr>
      <w:r w:rsidRPr="0090035C">
        <w:rPr>
          <w:rFonts w:eastAsia="Times New Roman" w:cs="Times New Roman"/>
          <w:b/>
          <w:sz w:val="26"/>
          <w:szCs w:val="26"/>
          <w:lang w:eastAsia="ja-JP"/>
        </w:rPr>
        <w:t>Deleuze and Guattari 80</w:t>
      </w:r>
      <w:r>
        <w:rPr>
          <w:rFonts w:eastAsia="Times New Roman" w:cs="Times New Roman"/>
          <w:lang w:eastAsia="ja-JP"/>
        </w:rPr>
        <w:t xml:space="preserve"> </w:t>
      </w:r>
      <w:r w:rsidRPr="004A4C74">
        <w:rPr>
          <w:rFonts w:eastAsia="Times New Roman" w:cs="Times New Roman"/>
          <w:lang w:eastAsia="ja-JP"/>
        </w:rPr>
        <w:t xml:space="preserve">[“1227: </w:t>
      </w:r>
      <w:r>
        <w:rPr>
          <w:rFonts w:eastAsia="Times New Roman" w:cs="Times New Roman"/>
          <w:lang w:eastAsia="ja-JP"/>
        </w:rPr>
        <w:t>TREATISE ON NOMADOLOGY</w:t>
      </w:r>
      <w:r w:rsidRPr="004A4C74">
        <w:rPr>
          <w:rFonts w:eastAsia="Times New Roman" w:cs="Times New Roman"/>
          <w:lang w:eastAsia="ja-JP"/>
        </w:rPr>
        <w:t xml:space="preserve"> </w:t>
      </w:r>
      <w:r>
        <w:rPr>
          <w:rFonts w:eastAsia="Times New Roman" w:cs="Times New Roman"/>
          <w:lang w:eastAsia="ja-JP"/>
        </w:rPr>
        <w:t xml:space="preserve"> </w:t>
      </w:r>
      <w:r w:rsidRPr="004A4C74">
        <w:rPr>
          <w:rFonts w:eastAsia="Times New Roman" w:cs="Times New Roman"/>
          <w:lang w:eastAsia="ja-JP"/>
        </w:rPr>
        <w:t xml:space="preserve">- </w:t>
      </w:r>
      <w:r>
        <w:rPr>
          <w:rFonts w:eastAsia="Times New Roman" w:cs="Times New Roman"/>
          <w:lang w:eastAsia="ja-JP"/>
        </w:rPr>
        <w:t>THE WAR MACHINE</w:t>
      </w:r>
      <w:r w:rsidRPr="004A4C74">
        <w:rPr>
          <w:rFonts w:eastAsia="Times New Roman" w:cs="Times New Roman"/>
          <w:lang w:eastAsia="ja-JP"/>
        </w:rPr>
        <w:t>.” A Thousand Plateaus, by Gilles Deleuze and FeÌlix Guattari, Les Editions de Minuit, 1980, pp. 385–387.]//KI</w:t>
      </w:r>
    </w:p>
    <w:p xmlns:wp14="http://schemas.microsoft.com/office/word/2010/wordml" w:rsidRPr="00DA2BF3" w:rsidR="00E45F43" w:rsidP="00E45F43" w:rsidRDefault="00E45F43" w14:paraId="32C95BFC" wp14:textId="77777777">
      <w:pPr>
        <w:spacing w:after="0" w:line="240" w:lineRule="auto"/>
        <w:rPr>
          <w:rFonts w:eastAsia="Times New Roman" w:cs="Times New Roman"/>
          <w:sz w:val="10"/>
          <w:szCs w:val="16"/>
          <w:lang w:eastAsia="ja-JP"/>
        </w:rPr>
      </w:pPr>
      <w:r w:rsidRPr="00AC7015">
        <w:rPr>
          <w:rStyle w:val="StyleUnderline"/>
        </w:rPr>
        <w:t xml:space="preserve">One of </w:t>
      </w:r>
      <w:r w:rsidRPr="00AC7015">
        <w:rPr>
          <w:rStyle w:val="StyleUnderline"/>
          <w:highlight w:val="green"/>
        </w:rPr>
        <w:t xml:space="preserve">the </w:t>
      </w:r>
      <w:r w:rsidRPr="00AC7015">
        <w:rPr>
          <w:rStyle w:val="StyleUnderline"/>
        </w:rPr>
        <w:t xml:space="preserve">fundamental </w:t>
      </w:r>
      <w:r w:rsidRPr="00AC7015">
        <w:rPr>
          <w:rStyle w:val="StyleUnderline"/>
          <w:highlight w:val="green"/>
        </w:rPr>
        <w:t>task</w:t>
      </w:r>
      <w:r w:rsidRPr="00AC7015">
        <w:rPr>
          <w:rStyle w:val="StyleUnderline"/>
        </w:rPr>
        <w:t xml:space="preserve">s </w:t>
      </w:r>
      <w:r w:rsidRPr="00AC7015">
        <w:rPr>
          <w:rStyle w:val="StyleUnderline"/>
          <w:highlight w:val="green"/>
        </w:rPr>
        <w:t>of the State is to striate</w:t>
      </w:r>
      <w:r w:rsidRPr="00AC7015">
        <w:rPr>
          <w:rStyle w:val="StyleUnderline"/>
        </w:rPr>
        <w:t xml:space="preserve"> the </w:t>
      </w:r>
      <w:r w:rsidRPr="00AC7015">
        <w:rPr>
          <w:rStyle w:val="StyleUnderline"/>
          <w:highlight w:val="green"/>
        </w:rPr>
        <w:t>space</w:t>
      </w:r>
      <w:r w:rsidRPr="00AC7015">
        <w:rPr>
          <w:rStyle w:val="StyleUnderline"/>
        </w:rPr>
        <w:t xml:space="preserve"> over which it reigns, </w:t>
      </w:r>
      <w:r w:rsidRPr="00673529">
        <w:rPr>
          <w:rFonts w:eastAsia="Times New Roman" w:cs="Times New Roman"/>
          <w:b/>
          <w:highlight w:val="green"/>
          <w:u w:val="single"/>
          <w:lang w:eastAsia="ja-JP"/>
        </w:rPr>
        <w:t>or</w:t>
      </w:r>
      <w:r w:rsidRPr="00673529">
        <w:rPr>
          <w:rFonts w:eastAsia="Times New Roman" w:cs="Times New Roman"/>
          <w:b/>
          <w:u w:val="single"/>
          <w:lang w:eastAsia="ja-JP"/>
        </w:rPr>
        <w:t xml:space="preserve"> to </w:t>
      </w:r>
      <w:r w:rsidRPr="004A4C74">
        <w:rPr>
          <w:rFonts w:eastAsia="Times New Roman" w:cs="Times New Roman"/>
          <w:b/>
          <w:highlight w:val="green"/>
          <w:u w:val="single"/>
          <w:lang w:eastAsia="ja-JP"/>
        </w:rPr>
        <w:t>utilize smooth spaces</w:t>
      </w:r>
      <w:r w:rsidRPr="00AC7015">
        <w:rPr>
          <w:rStyle w:val="StyleUnderline"/>
        </w:rPr>
        <w:t xml:space="preserve"> as a means of communication </w:t>
      </w:r>
      <w:r w:rsidRPr="00AC7015">
        <w:rPr>
          <w:rStyle w:val="StyleUnderline"/>
          <w:highlight w:val="green"/>
        </w:rPr>
        <w:t>in the service of striated space</w:t>
      </w:r>
      <w:r w:rsidRPr="00AC7015">
        <w:rPr>
          <w:rStyle w:val="StyleUnderline"/>
        </w:rPr>
        <w:t xml:space="preserve">. It is </w:t>
      </w:r>
      <w:r w:rsidRPr="00AC7015">
        <w:rPr>
          <w:rStyle w:val="StyleUnderline"/>
          <w:highlight w:val="green"/>
        </w:rPr>
        <w:t xml:space="preserve">a vital concern of every State not only to </w:t>
      </w:r>
      <w:r w:rsidRPr="004A4C74">
        <w:rPr>
          <w:rFonts w:eastAsia="Times New Roman" w:cs="Times New Roman"/>
          <w:b/>
          <w:highlight w:val="green"/>
          <w:u w:val="single"/>
          <w:lang w:eastAsia="ja-JP"/>
        </w:rPr>
        <w:t>vanquish nomadism</w:t>
      </w:r>
      <w:r w:rsidRPr="00AC7015">
        <w:rPr>
          <w:rStyle w:val="StyleUnderline"/>
          <w:highlight w:val="green"/>
        </w:rPr>
        <w:t xml:space="preserve"> but to </w:t>
      </w:r>
      <w:r w:rsidRPr="004A4C74">
        <w:rPr>
          <w:rFonts w:eastAsia="Times New Roman" w:cs="Times New Roman"/>
          <w:b/>
          <w:highlight w:val="green"/>
          <w:u w:val="single"/>
          <w:lang w:eastAsia="ja-JP"/>
        </w:rPr>
        <w:t>control migrations</w:t>
      </w:r>
      <w:r w:rsidRPr="00AC7015">
        <w:rPr>
          <w:rStyle w:val="StyleUnderline"/>
        </w:rPr>
        <w:t xml:space="preserve"> and</w:t>
      </w:r>
      <w:r w:rsidRPr="00DA2BF3">
        <w:rPr>
          <w:rFonts w:eastAsia="Times New Roman" w:cs="Times New Roman"/>
          <w:sz w:val="10"/>
          <w:lang w:eastAsia="ja-JP"/>
        </w:rPr>
        <w:t xml:space="preserve">, </w:t>
      </w:r>
      <w:r w:rsidRPr="00DA2BF3">
        <w:rPr>
          <w:rFonts w:eastAsia="Times New Roman" w:cs="Times New Roman"/>
          <w:sz w:val="10"/>
          <w:szCs w:val="16"/>
          <w:lang w:eastAsia="ja-JP"/>
        </w:rPr>
        <w:t>more generally, to</w:t>
      </w:r>
      <w:r w:rsidRPr="00DA2BF3">
        <w:rPr>
          <w:rFonts w:eastAsia="Times New Roman" w:cs="Times New Roman"/>
          <w:sz w:val="10"/>
          <w:lang w:eastAsia="ja-JP"/>
        </w:rPr>
        <w:t xml:space="preserve"> </w:t>
      </w:r>
      <w:r w:rsidRPr="00AC7015">
        <w:rPr>
          <w:rStyle w:val="StyleUnderline"/>
        </w:rPr>
        <w:t>establish a zone of rights over an entire "exterior," over all of the flows traversing the ecumenon</w:t>
      </w:r>
      <w:r w:rsidRPr="00DA2BF3">
        <w:rPr>
          <w:rFonts w:eastAsia="Times New Roman" w:cs="Times New Roman"/>
          <w:sz w:val="10"/>
          <w:lang w:eastAsia="ja-JP"/>
        </w:rPr>
        <w:t xml:space="preserve">. </w:t>
      </w:r>
      <w:r w:rsidRPr="00DA2BF3">
        <w:rPr>
          <w:rFonts w:eastAsia="Times New Roman" w:cs="Times New Roman"/>
          <w:sz w:val="10"/>
          <w:szCs w:val="16"/>
          <w:lang w:eastAsia="ja-JP"/>
        </w:rPr>
        <w:t>If it can help it,</w:t>
      </w:r>
      <w:r w:rsidRPr="00DA2BF3">
        <w:rPr>
          <w:rFonts w:eastAsia="Times New Roman" w:cs="Times New Roman"/>
          <w:sz w:val="10"/>
          <w:lang w:eastAsia="ja-JP"/>
        </w:rPr>
        <w:t xml:space="preserve"> </w:t>
      </w:r>
      <w:r w:rsidRPr="00AC7015">
        <w:rPr>
          <w:rStyle w:val="StyleUnderline"/>
          <w:highlight w:val="green"/>
        </w:rPr>
        <w:t>the State</w:t>
      </w:r>
      <w:r w:rsidRPr="00AC7015">
        <w:rPr>
          <w:rStyle w:val="StyleUnderline"/>
        </w:rPr>
        <w:t xml:space="preserve"> does not dissociate itself</w:t>
      </w:r>
      <w:r w:rsidRPr="00B512B6">
        <w:rPr>
          <w:rFonts w:ascii="Times" w:hAnsi="Times" w:eastAsia="Times New Roman" w:cs="Times New Roman"/>
          <w:sz w:val="20"/>
          <w:szCs w:val="20"/>
          <w:u w:val="single"/>
          <w:lang w:eastAsia="ja-JP"/>
        </w:rPr>
        <w:t xml:space="preserve"> </w:t>
      </w:r>
      <w:r w:rsidRPr="00AC7015">
        <w:rPr>
          <w:rStyle w:val="StyleUnderline"/>
        </w:rPr>
        <w:t xml:space="preserve">from a process of </w:t>
      </w:r>
      <w:r w:rsidRPr="00AC7015">
        <w:rPr>
          <w:rStyle w:val="StyleUnderline"/>
          <w:highlight w:val="green"/>
        </w:rPr>
        <w:t>capture</w:t>
      </w:r>
      <w:r w:rsidRPr="00AC7015">
        <w:rPr>
          <w:rStyle w:val="StyleUnderline"/>
        </w:rPr>
        <w:t xml:space="preserve"> of </w:t>
      </w:r>
      <w:r w:rsidRPr="00AC7015">
        <w:rPr>
          <w:rStyle w:val="StyleUnderline"/>
          <w:highlight w:val="green"/>
        </w:rPr>
        <w:t>flows of</w:t>
      </w:r>
      <w:r w:rsidRPr="00AC7015">
        <w:rPr>
          <w:rStyle w:val="StyleUnderline"/>
        </w:rPr>
        <w:t xml:space="preserve"> </w:t>
      </w:r>
      <w:r w:rsidRPr="00DA2BF3">
        <w:rPr>
          <w:rFonts w:eastAsia="Times New Roman" w:cs="Times New Roman"/>
          <w:sz w:val="10"/>
          <w:lang w:eastAsia="ja-JP"/>
        </w:rPr>
        <w:t>all kinds,</w:t>
      </w:r>
      <w:r w:rsidRPr="00AC7015">
        <w:rPr>
          <w:rStyle w:val="StyleUnderline"/>
        </w:rPr>
        <w:t xml:space="preserve"> </w:t>
      </w:r>
      <w:r w:rsidRPr="004A4C74">
        <w:rPr>
          <w:rFonts w:eastAsia="Times New Roman" w:cs="Times New Roman"/>
          <w:b/>
          <w:highlight w:val="green"/>
          <w:u w:val="single"/>
          <w:lang w:eastAsia="ja-JP"/>
        </w:rPr>
        <w:t>populations</w:t>
      </w:r>
      <w:r w:rsidRPr="00DA2BF3">
        <w:rPr>
          <w:rFonts w:eastAsia="Times New Roman" w:cs="Times New Roman"/>
          <w:sz w:val="10"/>
          <w:lang w:eastAsia="ja-JP"/>
        </w:rPr>
        <w:t xml:space="preserve">, commodities or commerce, money or capital, etc. </w:t>
      </w:r>
      <w:r w:rsidRPr="00AC7015">
        <w:rPr>
          <w:rStyle w:val="StyleUnderline"/>
          <w:highlight w:val="green"/>
        </w:rPr>
        <w:t>There</w:t>
      </w:r>
      <w:r w:rsidRPr="00AC7015">
        <w:rPr>
          <w:rStyle w:val="StyleUnderline"/>
        </w:rPr>
        <w:t xml:space="preserve"> i</w:t>
      </w:r>
      <w:r w:rsidRPr="00AC7015">
        <w:rPr>
          <w:rStyle w:val="StyleUnderline"/>
          <w:highlight w:val="green"/>
        </w:rPr>
        <w:t>s</w:t>
      </w:r>
      <w:r w:rsidRPr="00AC7015">
        <w:rPr>
          <w:rStyle w:val="StyleUnderline"/>
        </w:rPr>
        <w:t xml:space="preserve"> still </w:t>
      </w:r>
      <w:r w:rsidRPr="00AC7015">
        <w:rPr>
          <w:rStyle w:val="StyleUnderline"/>
          <w:highlight w:val="green"/>
        </w:rPr>
        <w:t>a need</w:t>
      </w:r>
      <w:r w:rsidRPr="00AC7015">
        <w:rPr>
          <w:rStyle w:val="StyleUnderline"/>
        </w:rPr>
        <w:t xml:space="preserve"> </w:t>
      </w:r>
      <w:r w:rsidRPr="00AC7015">
        <w:rPr>
          <w:rStyle w:val="StyleUnderline"/>
          <w:highlight w:val="green"/>
        </w:rPr>
        <w:t>for fixed paths</w:t>
      </w:r>
      <w:r w:rsidRPr="00AC7015">
        <w:rPr>
          <w:rStyle w:val="StyleUnderline"/>
        </w:rPr>
        <w:t xml:space="preserve"> in well-defined directions, </w:t>
      </w:r>
      <w:r w:rsidRPr="00AC7015">
        <w:rPr>
          <w:rStyle w:val="StyleUnderline"/>
          <w:highlight w:val="green"/>
        </w:rPr>
        <w:t xml:space="preserve">which </w:t>
      </w:r>
      <w:r w:rsidRPr="004A4C74">
        <w:rPr>
          <w:rFonts w:eastAsia="Times New Roman" w:cs="Times New Roman"/>
          <w:b/>
          <w:highlight w:val="green"/>
          <w:u w:val="single"/>
          <w:lang w:eastAsia="ja-JP"/>
        </w:rPr>
        <w:t>restrict speed</w:t>
      </w:r>
      <w:r w:rsidRPr="00AC7015">
        <w:rPr>
          <w:rStyle w:val="StyleUnderline"/>
          <w:highlight w:val="green"/>
        </w:rPr>
        <w:t xml:space="preserve">, </w:t>
      </w:r>
      <w:r w:rsidRPr="004A4C74">
        <w:rPr>
          <w:rFonts w:eastAsia="Times New Roman" w:cs="Times New Roman"/>
          <w:b/>
          <w:highlight w:val="green"/>
          <w:u w:val="single"/>
          <w:lang w:eastAsia="ja-JP"/>
        </w:rPr>
        <w:t>regulate circulation</w:t>
      </w:r>
      <w:r w:rsidRPr="00AC7015">
        <w:rPr>
          <w:rStyle w:val="StyleUnderline"/>
          <w:highlight w:val="green"/>
        </w:rPr>
        <w:t xml:space="preserve">, </w:t>
      </w:r>
      <w:r w:rsidRPr="004A4C74">
        <w:rPr>
          <w:rFonts w:eastAsia="Times New Roman" w:cs="Times New Roman"/>
          <w:b/>
          <w:highlight w:val="green"/>
          <w:u w:val="single"/>
          <w:lang w:eastAsia="ja-JP"/>
        </w:rPr>
        <w:t>relativize movement</w:t>
      </w:r>
      <w:r w:rsidRPr="00AC7015">
        <w:rPr>
          <w:rStyle w:val="StyleUnderline"/>
          <w:highlight w:val="green"/>
        </w:rPr>
        <w:t>, and measure</w:t>
      </w:r>
      <w:r w:rsidRPr="00AC7015">
        <w:rPr>
          <w:rStyle w:val="StyleUnderline"/>
        </w:rPr>
        <w:t xml:space="preserve"> in detail </w:t>
      </w:r>
      <w:r w:rsidRPr="00AC7015">
        <w:rPr>
          <w:rStyle w:val="StyleUnderline"/>
          <w:highlight w:val="green"/>
        </w:rPr>
        <w:t>the</w:t>
      </w:r>
      <w:r w:rsidRPr="00AC7015">
        <w:rPr>
          <w:rStyle w:val="StyleUnderline"/>
        </w:rPr>
        <w:t xml:space="preserve"> relative </w:t>
      </w:r>
      <w:r w:rsidRPr="004A4C74">
        <w:rPr>
          <w:rFonts w:eastAsia="Times New Roman" w:cs="Times New Roman"/>
          <w:b/>
          <w:highlight w:val="green"/>
          <w:u w:val="single"/>
          <w:lang w:eastAsia="ja-JP"/>
        </w:rPr>
        <w:t>movements of subjects</w:t>
      </w:r>
      <w:r w:rsidRPr="00AC7015">
        <w:rPr>
          <w:rStyle w:val="StyleUnderline"/>
          <w:highlight w:val="green"/>
        </w:rPr>
        <w:t xml:space="preserve"> and objects</w:t>
      </w:r>
      <w:r w:rsidRPr="00DA2BF3">
        <w:rPr>
          <w:rFonts w:eastAsia="Times New Roman" w:cs="Times New Roman"/>
          <w:sz w:val="10"/>
          <w:lang w:eastAsia="ja-JP"/>
        </w:rPr>
        <w:t xml:space="preserve">. </w:t>
      </w:r>
      <w:r w:rsidRPr="00DA2BF3">
        <w:rPr>
          <w:rFonts w:eastAsia="Times New Roman" w:cs="Times New Roman"/>
          <w:sz w:val="10"/>
          <w:szCs w:val="16"/>
          <w:lang w:eastAsia="ja-JP"/>
        </w:rPr>
        <w:t>That is why Paul Virilio's thesis is important, when he shows that</w:t>
      </w:r>
      <w:r w:rsidRPr="00DA2BF3">
        <w:rPr>
          <w:rFonts w:eastAsia="Times New Roman" w:cs="Times New Roman"/>
          <w:sz w:val="10"/>
          <w:lang w:eastAsia="ja-JP"/>
        </w:rPr>
        <w:t xml:space="preserve"> "</w:t>
      </w:r>
      <w:r w:rsidRPr="00AC7015">
        <w:rPr>
          <w:rStyle w:val="StyleUnderline"/>
          <w:highlight w:val="green"/>
        </w:rPr>
        <w:t>the</w:t>
      </w:r>
      <w:r w:rsidRPr="00AC7015">
        <w:rPr>
          <w:rStyle w:val="StyleUnderline"/>
        </w:rPr>
        <w:t xml:space="preserve"> political </w:t>
      </w:r>
      <w:r w:rsidRPr="00AC7015">
        <w:rPr>
          <w:rStyle w:val="StyleUnderline"/>
          <w:highlight w:val="green"/>
        </w:rPr>
        <w:t>power of the State is</w:t>
      </w:r>
      <w:r w:rsidRPr="00AC7015">
        <w:rPr>
          <w:rStyle w:val="StyleUnderline"/>
        </w:rPr>
        <w:t xml:space="preserve"> polis, </w:t>
      </w:r>
      <w:r w:rsidRPr="00AC7015">
        <w:rPr>
          <w:rStyle w:val="StyleUnderline"/>
          <w:highlight w:val="green"/>
        </w:rPr>
        <w:t>police</w:t>
      </w:r>
      <w:r w:rsidRPr="00AC7015">
        <w:rPr>
          <w:rStyle w:val="StyleUnderline"/>
        </w:rPr>
        <w:t xml:space="preserve">, that is, </w:t>
      </w:r>
      <w:r w:rsidRPr="00AC7015">
        <w:rPr>
          <w:rStyle w:val="StyleUnderline"/>
          <w:highlight w:val="green"/>
        </w:rPr>
        <w:t>management of the public ways</w:t>
      </w:r>
      <w:r w:rsidRPr="00DA2BF3">
        <w:rPr>
          <w:rFonts w:eastAsia="Times New Roman" w:cs="Times New Roman"/>
          <w:sz w:val="10"/>
          <w:lang w:eastAsia="ja-JP"/>
        </w:rPr>
        <w:t xml:space="preserve">," </w:t>
      </w:r>
      <w:r w:rsidRPr="00DA2BF3">
        <w:rPr>
          <w:rFonts w:eastAsia="Times New Roman" w:cs="Times New Roman"/>
          <w:sz w:val="10"/>
          <w:szCs w:val="16"/>
          <w:lang w:eastAsia="ja-JP"/>
        </w:rPr>
        <w:t>and that</w:t>
      </w:r>
      <w:r w:rsidRPr="00DA2BF3">
        <w:rPr>
          <w:rFonts w:eastAsia="Times New Roman" w:cs="Times New Roman"/>
          <w:sz w:val="10"/>
          <w:lang w:eastAsia="ja-JP"/>
        </w:rPr>
        <w:t xml:space="preserve"> "</w:t>
      </w:r>
      <w:r w:rsidRPr="004A4C74">
        <w:rPr>
          <w:rFonts w:eastAsia="Times New Roman" w:cs="Times New Roman"/>
          <w:b/>
          <w:highlight w:val="green"/>
          <w:u w:val="single"/>
          <w:lang w:eastAsia="ja-JP"/>
        </w:rPr>
        <w:t>the gates of the city</w:t>
      </w:r>
      <w:r w:rsidRPr="00DA2BF3">
        <w:rPr>
          <w:rFonts w:eastAsia="Times New Roman" w:cs="Times New Roman"/>
          <w:sz w:val="10"/>
          <w:lang w:eastAsia="ja-JP"/>
        </w:rPr>
        <w:t xml:space="preserve">, </w:t>
      </w:r>
      <w:r w:rsidRPr="00DA2BF3">
        <w:rPr>
          <w:rFonts w:eastAsia="Times New Roman" w:cs="Times New Roman"/>
          <w:sz w:val="10"/>
          <w:szCs w:val="16"/>
          <w:lang w:eastAsia="ja-JP"/>
        </w:rPr>
        <w:t>its levies and duties</w:t>
      </w:r>
      <w:r w:rsidRPr="00DA2BF3">
        <w:rPr>
          <w:rFonts w:eastAsia="Times New Roman" w:cs="Times New Roman"/>
          <w:sz w:val="10"/>
          <w:lang w:eastAsia="ja-JP"/>
        </w:rPr>
        <w:t xml:space="preserve">, </w:t>
      </w:r>
      <w:r w:rsidRPr="004A4C74">
        <w:rPr>
          <w:rFonts w:eastAsia="Times New Roman" w:cs="Times New Roman"/>
          <w:b/>
          <w:highlight w:val="green"/>
          <w:u w:val="single"/>
          <w:lang w:eastAsia="ja-JP"/>
        </w:rPr>
        <w:t>are barriers</w:t>
      </w:r>
      <w:r w:rsidRPr="00AC7015">
        <w:rPr>
          <w:rStyle w:val="StyleUnderline"/>
        </w:rPr>
        <w:t xml:space="preserve">, filters </w:t>
      </w:r>
      <w:r w:rsidRPr="004A4C74">
        <w:rPr>
          <w:rFonts w:eastAsia="Times New Roman" w:cs="Times New Roman"/>
          <w:b/>
          <w:highlight w:val="green"/>
          <w:u w:val="single"/>
          <w:lang w:eastAsia="ja-JP"/>
        </w:rPr>
        <w:t>against the fluidity of the masses</w:t>
      </w:r>
      <w:r w:rsidRPr="00532FD2">
        <w:rPr>
          <w:rStyle w:val="StyleUnderline"/>
        </w:rPr>
        <w:t>, against the penetration power of migratory packs,"</w:t>
      </w:r>
      <w:r w:rsidRPr="00DA2BF3">
        <w:rPr>
          <w:rFonts w:eastAsia="Times New Roman" w:cs="Times New Roman"/>
          <w:sz w:val="10"/>
          <w:lang w:eastAsia="ja-JP"/>
        </w:rPr>
        <w:t xml:space="preserve"> people, animals, and goods.63 Gravity, gravitas, such is the essence of the State. It is not at all that the State knows nothing of speed; but it requires that movement, even the fastest, cease to be the absolute state of a moving body occupying a smooth space, to become the relative characteristic of a "moved body" going from one point to another in a striated space. In this sense, </w:t>
      </w:r>
      <w:r w:rsidRPr="00AC7015">
        <w:rPr>
          <w:rStyle w:val="StyleUnderline"/>
          <w:highlight w:val="green"/>
        </w:rPr>
        <w:t>the State never ceases to decompose, recompose, and transform movement, or</w:t>
      </w:r>
      <w:r w:rsidRPr="00AC7015">
        <w:rPr>
          <w:rStyle w:val="StyleUnderline"/>
        </w:rPr>
        <w:t xml:space="preserve"> to </w:t>
      </w:r>
      <w:r w:rsidRPr="00AC7015">
        <w:rPr>
          <w:rStyle w:val="StyleUnderline"/>
          <w:highlight w:val="green"/>
        </w:rPr>
        <w:t>regulate speed</w:t>
      </w:r>
      <w:r w:rsidRPr="00DA2BF3">
        <w:rPr>
          <w:rFonts w:eastAsia="Times New Roman" w:cs="Times New Roman"/>
          <w:sz w:val="10"/>
          <w:lang w:eastAsia="ja-JP"/>
        </w:rPr>
        <w:t xml:space="preserve">. </w:t>
      </w:r>
      <w:r w:rsidRPr="00DA2BF3">
        <w:rPr>
          <w:rFonts w:eastAsia="Times New Roman" w:cs="Times New Roman"/>
          <w:sz w:val="10"/>
          <w:szCs w:val="16"/>
          <w:lang w:eastAsia="ja-JP"/>
        </w:rPr>
        <w:t>The State as town surveyor, converter, or highway interchange: the role of the engineer from this point of view</w:t>
      </w:r>
      <w:r w:rsidRPr="00DA2BF3">
        <w:rPr>
          <w:rFonts w:eastAsia="Times New Roman" w:cs="Times New Roman"/>
          <w:sz w:val="10"/>
          <w:lang w:eastAsia="ja-JP"/>
        </w:rPr>
        <w:t xml:space="preserve">. </w:t>
      </w:r>
      <w:r w:rsidRPr="00AC7015">
        <w:rPr>
          <w:rStyle w:val="StyleUnderline"/>
          <w:highlight w:val="green"/>
        </w:rPr>
        <w:t>Speed and</w:t>
      </w:r>
      <w:r w:rsidRPr="00AC7015">
        <w:rPr>
          <w:rStyle w:val="StyleUnderline"/>
        </w:rPr>
        <w:t xml:space="preserve"> absolute </w:t>
      </w:r>
      <w:r w:rsidRPr="00AC7015">
        <w:rPr>
          <w:rStyle w:val="StyleUnderline"/>
          <w:highlight w:val="green"/>
        </w:rPr>
        <w:t>movement are</w:t>
      </w:r>
      <w:r w:rsidRPr="00AC7015">
        <w:rPr>
          <w:rStyle w:val="StyleUnderline"/>
        </w:rPr>
        <w:t xml:space="preserve"> not </w:t>
      </w:r>
      <w:r w:rsidRPr="00AC7015">
        <w:rPr>
          <w:rStyle w:val="StyleUnderline"/>
          <w:highlight w:val="green"/>
        </w:rPr>
        <w:t>with</w:t>
      </w:r>
      <w:r w:rsidRPr="00AC7015">
        <w:rPr>
          <w:rStyle w:val="StyleUnderline"/>
        </w:rPr>
        <w:t xml:space="preserve">out their laws, but they are the </w:t>
      </w:r>
      <w:r w:rsidRPr="00AC7015">
        <w:rPr>
          <w:rStyle w:val="StyleUnderline"/>
          <w:highlight w:val="green"/>
        </w:rPr>
        <w:t>laws of the nomos</w:t>
      </w:r>
      <w:r w:rsidRPr="00AC7015">
        <w:rPr>
          <w:rStyle w:val="StyleUnderline"/>
        </w:rPr>
        <w:t xml:space="preserve">, </w:t>
      </w:r>
      <w:r w:rsidRPr="00AC7015">
        <w:rPr>
          <w:rStyle w:val="StyleUnderline"/>
          <w:highlight w:val="green"/>
        </w:rPr>
        <w:t>of</w:t>
      </w:r>
      <w:r w:rsidRPr="00AC7015">
        <w:rPr>
          <w:rStyle w:val="StyleUnderline"/>
        </w:rPr>
        <w:t xml:space="preserve"> the </w:t>
      </w:r>
      <w:r w:rsidRPr="00AC7015">
        <w:rPr>
          <w:rStyle w:val="StyleUnderline"/>
          <w:highlight w:val="green"/>
        </w:rPr>
        <w:t>smooth space</w:t>
      </w:r>
      <w:r w:rsidRPr="00AC7015">
        <w:rPr>
          <w:rStyle w:val="StyleUnderline"/>
        </w:rPr>
        <w:t xml:space="preserve"> that deploys it, </w:t>
      </w:r>
      <w:r w:rsidRPr="00AC7015">
        <w:rPr>
          <w:rStyle w:val="StyleUnderline"/>
          <w:highlight w:val="green"/>
        </w:rPr>
        <w:t>of the war machine</w:t>
      </w:r>
      <w:r w:rsidRPr="00AC7015">
        <w:rPr>
          <w:rStyle w:val="StyleUnderline"/>
        </w:rPr>
        <w:t xml:space="preserve"> that populates it. If </w:t>
      </w:r>
      <w:r w:rsidRPr="00AC7015">
        <w:rPr>
          <w:rStyle w:val="StyleUnderline"/>
          <w:highlight w:val="green"/>
        </w:rPr>
        <w:t>the nomads formed the war machine</w:t>
      </w:r>
      <w:r w:rsidRPr="00AC7015">
        <w:rPr>
          <w:rStyle w:val="StyleUnderline"/>
        </w:rPr>
        <w:t xml:space="preserve">, it was </w:t>
      </w:r>
      <w:r w:rsidRPr="00AC7015">
        <w:rPr>
          <w:rStyle w:val="StyleUnderline"/>
          <w:highlight w:val="green"/>
        </w:rPr>
        <w:t>by</w:t>
      </w:r>
      <w:r w:rsidRPr="00AC7015">
        <w:rPr>
          <w:rStyle w:val="StyleUnderline"/>
        </w:rPr>
        <w:t xml:space="preserve"> inventing </w:t>
      </w:r>
      <w:r w:rsidRPr="00AC7015">
        <w:rPr>
          <w:rStyle w:val="StyleUnderline"/>
          <w:highlight w:val="green"/>
        </w:rPr>
        <w:t>absolute speed</w:t>
      </w:r>
      <w:r w:rsidRPr="00AC7015">
        <w:rPr>
          <w:rStyle w:val="StyleUnderline"/>
        </w:rPr>
        <w:t>, by being "synonymous" with speed</w:t>
      </w:r>
      <w:r w:rsidRPr="00DA2BF3">
        <w:rPr>
          <w:rFonts w:eastAsia="Times New Roman" w:cs="Times New Roman"/>
          <w:sz w:val="10"/>
          <w:lang w:eastAsia="ja-JP"/>
        </w:rPr>
        <w:t xml:space="preserve">. </w:t>
      </w:r>
      <w:r w:rsidRPr="00DA2BF3">
        <w:rPr>
          <w:rFonts w:eastAsia="Times New Roman" w:cs="Times New Roman"/>
          <w:sz w:val="10"/>
          <w:szCs w:val="16"/>
          <w:lang w:eastAsia="ja-JP"/>
        </w:rPr>
        <w:t>And</w:t>
      </w:r>
      <w:r w:rsidRPr="00DA2BF3">
        <w:rPr>
          <w:rFonts w:eastAsia="Times New Roman" w:cs="Times New Roman"/>
          <w:sz w:val="10"/>
          <w:lang w:eastAsia="ja-JP"/>
        </w:rPr>
        <w:t xml:space="preserve"> </w:t>
      </w:r>
      <w:r w:rsidRPr="00AC7015">
        <w:rPr>
          <w:rStyle w:val="StyleUnderline"/>
          <w:highlight w:val="green"/>
        </w:rPr>
        <w:t>each time there is an operation against the State</w:t>
      </w:r>
      <w:r w:rsidRPr="00AC7015">
        <w:rPr>
          <w:rStyle w:val="StyleUnderline"/>
        </w:rPr>
        <w:t xml:space="preserve">— </w:t>
      </w:r>
      <w:r w:rsidRPr="008375AA">
        <w:rPr>
          <w:rFonts w:eastAsia="Times New Roman" w:cs="Times New Roman"/>
          <w:b/>
          <w:highlight w:val="green"/>
          <w:u w:val="single"/>
          <w:lang w:eastAsia="ja-JP"/>
        </w:rPr>
        <w:t>insubordination, rioting, guerrilla warfare, or</w:t>
      </w:r>
      <w:r w:rsidRPr="008375AA">
        <w:rPr>
          <w:rFonts w:eastAsia="Times New Roman" w:cs="Times New Roman"/>
          <w:b/>
          <w:u w:val="single"/>
          <w:lang w:eastAsia="ja-JP"/>
        </w:rPr>
        <w:t xml:space="preserve"> </w:t>
      </w:r>
      <w:r w:rsidRPr="008375AA">
        <w:rPr>
          <w:rFonts w:eastAsia="Times New Roman" w:cs="Times New Roman"/>
          <w:b/>
          <w:highlight w:val="green"/>
          <w:u w:val="single"/>
          <w:lang w:eastAsia="ja-JP"/>
        </w:rPr>
        <w:t>revolution</w:t>
      </w:r>
      <w:r w:rsidRPr="00AC7015">
        <w:rPr>
          <w:rStyle w:val="StyleUnderline"/>
        </w:rPr>
        <w:t xml:space="preserve"> as act—it can be said that </w:t>
      </w:r>
      <w:r w:rsidRPr="00AC7015">
        <w:rPr>
          <w:rStyle w:val="StyleUnderline"/>
          <w:highlight w:val="green"/>
        </w:rPr>
        <w:t>a war machine has revived</w:t>
      </w:r>
      <w:r w:rsidRPr="00AC7015">
        <w:rPr>
          <w:rStyle w:val="StyleUnderline"/>
        </w:rPr>
        <w:t xml:space="preserve">, that </w:t>
      </w:r>
      <w:r w:rsidRPr="00AC7015">
        <w:rPr>
          <w:rStyle w:val="StyleUnderline"/>
          <w:highlight w:val="green"/>
        </w:rPr>
        <w:t>a new nomadic potential has appeared, accompanied by</w:t>
      </w:r>
      <w:r w:rsidRPr="00AC7015">
        <w:rPr>
          <w:rStyle w:val="StyleUnderline"/>
        </w:rPr>
        <w:t xml:space="preserve"> the reconstitution of a </w:t>
      </w:r>
      <w:r w:rsidRPr="00AC7015">
        <w:rPr>
          <w:rStyle w:val="StyleUnderline"/>
          <w:highlight w:val="green"/>
        </w:rPr>
        <w:t>smooth space</w:t>
      </w:r>
      <w:r w:rsidRPr="00DA2BF3">
        <w:rPr>
          <w:rFonts w:eastAsia="Times New Roman" w:cs="Times New Roman"/>
          <w:sz w:val="10"/>
          <w:lang w:eastAsia="ja-JP"/>
        </w:rPr>
        <w:t xml:space="preserve"> </w:t>
      </w:r>
      <w:r w:rsidRPr="00DA2BF3">
        <w:rPr>
          <w:rFonts w:eastAsia="Times New Roman" w:cs="Times New Roman"/>
          <w:sz w:val="10"/>
          <w:szCs w:val="16"/>
          <w:lang w:eastAsia="ja-JP"/>
        </w:rPr>
        <w:t>or a manner of being in space as though it were smooth (Virilio discusses the importance of the riot or revolutionary theme of "holding the street").</w:t>
      </w:r>
      <w:r w:rsidRPr="00DA2BF3">
        <w:rPr>
          <w:rFonts w:eastAsia="Times New Roman" w:cs="Times New Roman"/>
          <w:sz w:val="10"/>
          <w:lang w:eastAsia="ja-JP"/>
        </w:rPr>
        <w:t xml:space="preserve"> It is in this sense that </w:t>
      </w:r>
      <w:r w:rsidRPr="00532FD2">
        <w:rPr>
          <w:rStyle w:val="StyleUnderline"/>
        </w:rPr>
        <w:t>the response of the State against all that threatens to move beyond it is to striate space.</w:t>
      </w:r>
      <w:r w:rsidRPr="00DA2BF3">
        <w:rPr>
          <w:rFonts w:eastAsia="Times New Roman" w:cs="Times New Roman"/>
          <w:sz w:val="10"/>
          <w:lang w:eastAsia="ja-JP"/>
        </w:rPr>
        <w:t xml:space="preserve"> </w:t>
      </w:r>
      <w:r w:rsidRPr="00DA2BF3">
        <w:rPr>
          <w:sz w:val="10"/>
        </w:rPr>
        <w:t>The State does not appropriate the war machine without giving even it the form of relative movement:</w:t>
      </w:r>
      <w:r w:rsidRPr="00AC7015">
        <w:rPr>
          <w:rStyle w:val="StyleUnderline"/>
        </w:rPr>
        <w:t xml:space="preserve"> this was the case with the model of the fortress as a regulator of movement, which was precisely the obstacle the nomads came up against, the stumbling block and parry by which absolute vortical movement was broken</w:t>
      </w:r>
      <w:r w:rsidRPr="00DA2BF3">
        <w:rPr>
          <w:rFonts w:eastAsia="Times New Roman" w:cs="Times New Roman"/>
          <w:sz w:val="10"/>
          <w:lang w:eastAsia="ja-JP"/>
        </w:rPr>
        <w:t xml:space="preserve">. </w:t>
      </w:r>
      <w:r w:rsidRPr="00DA2BF3">
        <w:rPr>
          <w:rFonts w:eastAsia="Times New Roman" w:cs="Times New Roman"/>
          <w:sz w:val="10"/>
          <w:szCs w:val="16"/>
          <w:lang w:eastAsia="ja-JP"/>
        </w:rPr>
        <w:t>Conversely,</w:t>
      </w:r>
      <w:r w:rsidRPr="00DA2BF3">
        <w:rPr>
          <w:rFonts w:eastAsia="Times New Roman" w:cs="Times New Roman"/>
          <w:sz w:val="10"/>
          <w:lang w:eastAsia="ja-JP"/>
        </w:rPr>
        <w:t xml:space="preserve"> </w:t>
      </w:r>
      <w:r w:rsidRPr="00AC7015">
        <w:rPr>
          <w:rStyle w:val="StyleUnderline"/>
          <w:highlight w:val="green"/>
        </w:rPr>
        <w:t>when a State does n</w:t>
      </w:r>
      <w:r w:rsidRPr="00AC7015">
        <w:rPr>
          <w:rStyle w:val="StyleUnderline"/>
        </w:rPr>
        <w:t>o</w:t>
      </w:r>
      <w:r w:rsidRPr="00AC7015">
        <w:rPr>
          <w:rStyle w:val="StyleUnderline"/>
          <w:highlight w:val="green"/>
        </w:rPr>
        <w:t>t succeed in striating</w:t>
      </w:r>
      <w:r w:rsidRPr="00AC7015">
        <w:rPr>
          <w:rStyle w:val="StyleUnderline"/>
        </w:rPr>
        <w:t xml:space="preserve"> its interior or neighboring </w:t>
      </w:r>
      <w:r w:rsidRPr="00AC7015">
        <w:rPr>
          <w:rStyle w:val="StyleUnderline"/>
          <w:highlight w:val="green"/>
        </w:rPr>
        <w:t>space, the flows</w:t>
      </w:r>
      <w:r w:rsidRPr="00AC7015">
        <w:rPr>
          <w:rStyle w:val="StyleUnderline"/>
        </w:rPr>
        <w:t xml:space="preserve"> traversing that State necessarily </w:t>
      </w:r>
      <w:r w:rsidRPr="00AC7015">
        <w:rPr>
          <w:rStyle w:val="StyleUnderline"/>
          <w:highlight w:val="green"/>
        </w:rPr>
        <w:t>adopt the stance of a war machine directed against it</w:t>
      </w:r>
      <w:r w:rsidRPr="00AC7015">
        <w:rPr>
          <w:rStyle w:val="StyleUnderline"/>
        </w:rPr>
        <w:t>, deployed in a hostile or rebellious smooth space</w:t>
      </w:r>
      <w:r w:rsidRPr="00DA2BF3">
        <w:rPr>
          <w:rFonts w:eastAsia="Times New Roman" w:cs="Times New Roman"/>
          <w:sz w:val="10"/>
          <w:lang w:eastAsia="ja-JP"/>
        </w:rPr>
        <w:t xml:space="preserve"> (even if other States are able to slip their striations in). This was the adventure of China: toward the end of the fourteenth century, and in spite of its very high level of technology in ships and navigation, it turned its back on its huge maritime space, saw its commercial flows turn against it and ally themselves with piracy, and was unable to react except by a politics of immobility, of the massive restriction of commerce, which only reinforced the connection between commerce and the war machine.64</w:t>
      </w:r>
      <w:r w:rsidRPr="00DA2BF3">
        <w:rPr>
          <w:rFonts w:ascii="Times" w:hAnsi="Times" w:eastAsia="Times New Roman" w:cs="Times New Roman"/>
          <w:sz w:val="10"/>
          <w:szCs w:val="20"/>
          <w:lang w:eastAsia="ja-JP"/>
        </w:rPr>
        <w:t xml:space="preserve">  </w:t>
      </w:r>
      <w:r w:rsidRPr="00DA2BF3">
        <w:rPr>
          <w:rFonts w:eastAsia="Times New Roman" w:cs="Times New Roman"/>
          <w:sz w:val="10"/>
          <w:szCs w:val="16"/>
          <w:lang w:eastAsia="ja-JP"/>
        </w:rPr>
        <w:t>The situation is much more complicated than we have let on. The sea is perhaps principal among smooth spaces, the hydraulic model par excellence. But the sea is also, of all smooth spaces, the first one attempts were made to striate, to transform into a dependency of the land, with its fixed routes, constant directions, relative movements, a whole counterhydraulic of channels and conduits. One of the reasons for the hegemony of the West was the power of its State apparatuses to striate the sea by combining the technologies of the North and the Mediterranean and by annexing the Atlantic. But this undertaking had the most unexpected result: the multiplication of relative movements, the intensification of relative speeds in striated space, ended up reconstituting a smooth space or absolute movement. As Virilio emphasizes, the sea became the place of the fleet in being,</w:t>
      </w:r>
      <w:r w:rsidRPr="00DA2BF3">
        <w:rPr>
          <w:rFonts w:eastAsia="Times New Roman" w:cs="Times New Roman"/>
          <w:sz w:val="10"/>
          <w:lang w:eastAsia="ja-JP"/>
        </w:rPr>
        <w:t xml:space="preserve"> </w:t>
      </w:r>
      <w:r w:rsidRPr="00DA2BF3">
        <w:rPr>
          <w:rFonts w:eastAsia="Times New Roman" w:cs="Times New Roman"/>
          <w:sz w:val="10"/>
          <w:szCs w:val="16"/>
          <w:lang w:eastAsia="ja-JP"/>
        </w:rPr>
        <w:t>where one no longer goes from one point to another, but rather holds space beginning from any point: instead of striating space, one occupies it with a vector of deterritorialization in perpetual motion. This modern strategy was communicated from the sea to the air, as the new smooth space, but also to the entire Earth considered as desert or sea</w:t>
      </w:r>
      <w:r w:rsidRPr="00DA2BF3">
        <w:rPr>
          <w:rFonts w:eastAsia="Times New Roman" w:cs="Times New Roman"/>
          <w:sz w:val="10"/>
          <w:lang w:eastAsia="ja-JP"/>
        </w:rPr>
        <w:t xml:space="preserve">. </w:t>
      </w:r>
      <w:r w:rsidRPr="00AC7015">
        <w:rPr>
          <w:rStyle w:val="StyleUnderline"/>
          <w:highlight w:val="green"/>
        </w:rPr>
        <w:t>As</w:t>
      </w:r>
      <w:r w:rsidRPr="00AC7015">
        <w:rPr>
          <w:rStyle w:val="StyleUnderline"/>
        </w:rPr>
        <w:t xml:space="preserve"> converter and </w:t>
      </w:r>
      <w:r w:rsidRPr="00AC7015">
        <w:rPr>
          <w:rStyle w:val="StyleUnderline"/>
          <w:highlight w:val="green"/>
        </w:rPr>
        <w:t>capturer, the State does n</w:t>
      </w:r>
      <w:r w:rsidRPr="00AC7015">
        <w:rPr>
          <w:rStyle w:val="StyleUnderline"/>
        </w:rPr>
        <w:t>o</w:t>
      </w:r>
      <w:r w:rsidRPr="00AC7015">
        <w:rPr>
          <w:rStyle w:val="StyleUnderline"/>
          <w:highlight w:val="green"/>
        </w:rPr>
        <w:t>t</w:t>
      </w:r>
      <w:r w:rsidRPr="00AC7015">
        <w:rPr>
          <w:rStyle w:val="StyleUnderline"/>
        </w:rPr>
        <w:t xml:space="preserve"> </w:t>
      </w:r>
      <w:r w:rsidRPr="00AC7015">
        <w:rPr>
          <w:rStyle w:val="StyleUnderline"/>
          <w:highlight w:val="green"/>
        </w:rPr>
        <w:t>just relativize movement, it reimparts absolute movement</w:t>
      </w:r>
      <w:r w:rsidRPr="00AC7015">
        <w:rPr>
          <w:rStyle w:val="StyleUnderline"/>
        </w:rPr>
        <w:t xml:space="preserve">. It does not just go from the smooth to the striated, </w:t>
      </w:r>
      <w:r w:rsidRPr="00AC7015">
        <w:rPr>
          <w:rStyle w:val="StyleUnderline"/>
          <w:highlight w:val="green"/>
        </w:rPr>
        <w:t>it reconstitutes smooth space</w:t>
      </w:r>
      <w:r w:rsidRPr="00DA2BF3">
        <w:rPr>
          <w:rFonts w:eastAsia="Times New Roman" w:cs="Times New Roman"/>
          <w:sz w:val="10"/>
          <w:lang w:eastAsia="ja-JP"/>
        </w:rPr>
        <w:t xml:space="preserve">; it reimparts smooth in the wake of the striated. It is true that </w:t>
      </w:r>
      <w:r w:rsidRPr="00AC7015">
        <w:rPr>
          <w:rStyle w:val="StyleUnderline"/>
        </w:rPr>
        <w:t>this new nomadism accompanies a worldwide war machine whose organization exceeds the State apparatuses and passes into energy, military-industrial, and multinational complexes</w:t>
      </w:r>
      <w:r w:rsidRPr="00DA2BF3">
        <w:rPr>
          <w:rFonts w:eastAsia="Times New Roman" w:cs="Times New Roman"/>
          <w:sz w:val="10"/>
          <w:lang w:eastAsia="ja-JP"/>
        </w:rPr>
        <w:t xml:space="preserve">. </w:t>
      </w:r>
      <w:r w:rsidRPr="00DA2BF3">
        <w:rPr>
          <w:rFonts w:eastAsia="Times New Roman" w:cs="Times New Roman"/>
          <w:sz w:val="10"/>
          <w:szCs w:val="16"/>
          <w:lang w:eastAsia="ja-JP"/>
        </w:rPr>
        <w:t>We say this as a reminder that</w:t>
      </w:r>
      <w:r w:rsidRPr="00DA2BF3">
        <w:rPr>
          <w:rFonts w:eastAsia="Times New Roman" w:cs="Times New Roman"/>
          <w:sz w:val="10"/>
          <w:lang w:eastAsia="ja-JP"/>
        </w:rPr>
        <w:t xml:space="preserve"> </w:t>
      </w:r>
      <w:r w:rsidRPr="00AC7015">
        <w:rPr>
          <w:rStyle w:val="StyleUnderline"/>
          <w:highlight w:val="green"/>
        </w:rPr>
        <w:t>smooth space</w:t>
      </w:r>
      <w:r w:rsidRPr="00AC7015">
        <w:rPr>
          <w:rStyle w:val="StyleUnderline"/>
        </w:rPr>
        <w:t xml:space="preserve"> and the form of exteriority </w:t>
      </w:r>
      <w:r w:rsidRPr="00AC7015">
        <w:rPr>
          <w:rStyle w:val="StyleUnderline"/>
          <w:highlight w:val="green"/>
        </w:rPr>
        <w:t>do n</w:t>
      </w:r>
      <w:r w:rsidRPr="00AC7015">
        <w:rPr>
          <w:rStyle w:val="StyleUnderline"/>
        </w:rPr>
        <w:t>o</w:t>
      </w:r>
      <w:r w:rsidRPr="00AC7015">
        <w:rPr>
          <w:rStyle w:val="StyleUnderline"/>
          <w:highlight w:val="green"/>
        </w:rPr>
        <w:t>t</w:t>
      </w:r>
      <w:r w:rsidRPr="00AC7015">
        <w:rPr>
          <w:rStyle w:val="StyleUnderline"/>
        </w:rPr>
        <w:t xml:space="preserve"> </w:t>
      </w:r>
      <w:r w:rsidRPr="00AC7015">
        <w:rPr>
          <w:rStyle w:val="StyleUnderline"/>
          <w:highlight w:val="green"/>
        </w:rPr>
        <w:t>have an irresistible revolutionary calling but change meaning</w:t>
      </w:r>
      <w:r w:rsidRPr="00AC7015">
        <w:rPr>
          <w:rStyle w:val="StyleUnderline"/>
        </w:rPr>
        <w:t xml:space="preserve"> drastically </w:t>
      </w:r>
      <w:r w:rsidRPr="00AC7015">
        <w:rPr>
          <w:rStyle w:val="StyleUnderline"/>
          <w:highlight w:val="green"/>
        </w:rPr>
        <w:t>depending on the interactions they are part of and the concrete conditions of their exercise or establishment</w:t>
      </w:r>
      <w:r w:rsidRPr="00DA2BF3">
        <w:rPr>
          <w:rFonts w:eastAsia="Times New Roman" w:cs="Times New Roman"/>
          <w:sz w:val="10"/>
          <w:lang w:eastAsia="ja-JP"/>
        </w:rPr>
        <w:t xml:space="preserve"> </w:t>
      </w:r>
      <w:r w:rsidRPr="00DA2BF3">
        <w:rPr>
          <w:rFonts w:eastAsia="Times New Roman" w:cs="Times New Roman"/>
          <w:sz w:val="10"/>
          <w:szCs w:val="16"/>
          <w:lang w:eastAsia="ja-JP"/>
        </w:rPr>
        <w:t>(for example, the way in which total war and popular war, and even guerrilla warfare, borrow one another's methods).65</w:t>
      </w:r>
    </w:p>
    <w:p xmlns:wp14="http://schemas.microsoft.com/office/word/2010/wordml" w:rsidR="00E45F43" w:rsidP="00E45F43" w:rsidRDefault="00E45F43" w14:paraId="4F904CB7" wp14:textId="77777777"/>
    <w:p xmlns:wp14="http://schemas.microsoft.com/office/word/2010/wordml" w:rsidR="00E45F43" w:rsidP="00E45F43" w:rsidRDefault="00E45F43" w14:paraId="281A10F7" wp14:textId="77777777">
      <w:pPr>
        <w:pStyle w:val="Heading4"/>
        <w:rPr>
          <w:lang w:eastAsia="ja-JP"/>
        </w:rPr>
      </w:pPr>
      <w:r>
        <w:rPr>
          <w:lang w:eastAsia="ja-JP"/>
        </w:rPr>
        <w:lastRenderedPageBreak/>
        <w:t>State appropriation of nomad -&gt; war machine focused on the endless peace of war operationalized through security</w:t>
      </w:r>
    </w:p>
    <w:p xmlns:wp14="http://schemas.microsoft.com/office/word/2010/wordml" w:rsidRPr="004A4C74" w:rsidR="00E45F43" w:rsidP="00E45F43" w:rsidRDefault="00E45F43" w14:paraId="39D22E29" wp14:textId="77777777">
      <w:pPr>
        <w:rPr>
          <w:rFonts w:eastAsia="Times New Roman" w:cs="Times New Roman"/>
          <w:lang w:eastAsia="ja-JP"/>
        </w:rPr>
      </w:pPr>
      <w:r w:rsidRPr="0090035C">
        <w:rPr>
          <w:rFonts w:eastAsia="Times New Roman" w:cs="Times New Roman"/>
          <w:b/>
          <w:sz w:val="26"/>
          <w:szCs w:val="26"/>
          <w:lang w:eastAsia="ja-JP"/>
        </w:rPr>
        <w:t>Deleuze and Guattari 80</w:t>
      </w:r>
      <w:r>
        <w:rPr>
          <w:rFonts w:eastAsia="Times New Roman" w:cs="Times New Roman"/>
          <w:lang w:eastAsia="ja-JP"/>
        </w:rPr>
        <w:t xml:space="preserve"> </w:t>
      </w:r>
      <w:r w:rsidRPr="004A4C74">
        <w:rPr>
          <w:rFonts w:eastAsia="Times New Roman" w:cs="Times New Roman"/>
          <w:lang w:eastAsia="ja-JP"/>
        </w:rPr>
        <w:t>[“</w:t>
      </w:r>
      <w:r>
        <w:rPr>
          <w:rFonts w:eastAsia="Times New Roman" w:cs="Times New Roman"/>
          <w:lang w:eastAsia="ja-JP"/>
        </w:rPr>
        <w:t>7000 B.C.: APPARATUS OF CAPTURE</w:t>
      </w:r>
      <w:r w:rsidRPr="004A4C74">
        <w:rPr>
          <w:rFonts w:eastAsia="Times New Roman" w:cs="Times New Roman"/>
          <w:lang w:eastAsia="ja-JP"/>
        </w:rPr>
        <w:t xml:space="preserve">” A Thousand Plateaus, by Gilles Deleuze and FeÌlix Guattari, Les Editions de Minuit, 1980, pp. </w:t>
      </w:r>
      <w:r>
        <w:rPr>
          <w:rFonts w:eastAsia="Times New Roman" w:cs="Times New Roman"/>
          <w:lang w:eastAsia="ja-JP"/>
        </w:rPr>
        <w:t>466-67</w:t>
      </w:r>
      <w:r w:rsidRPr="004A4C74">
        <w:rPr>
          <w:rFonts w:eastAsia="Times New Roman" w:cs="Times New Roman"/>
          <w:lang w:eastAsia="ja-JP"/>
        </w:rPr>
        <w:t>.]//KI</w:t>
      </w:r>
    </w:p>
    <w:p xmlns:wp14="http://schemas.microsoft.com/office/word/2010/wordml" w:rsidRPr="001930E0" w:rsidR="00E45F43" w:rsidP="00E45F43" w:rsidRDefault="00E45F43" w14:paraId="108A4EDC" wp14:textId="77777777">
      <w:pPr>
        <w:spacing w:after="0" w:line="240" w:lineRule="auto"/>
        <w:rPr>
          <w:rFonts w:eastAsia="Calibri" w:cs="Calibri"/>
          <w:b/>
          <w:bCs/>
        </w:rPr>
      </w:pPr>
      <w:r w:rsidRPr="001930E0">
        <w:rPr>
          <w:rFonts w:eastAsia="Times New Roman" w:cs="Times New Roman"/>
          <w:lang w:eastAsia="ja-JP"/>
        </w:rPr>
        <w:t xml:space="preserve">4. </w:t>
      </w:r>
      <w:r w:rsidRPr="001930E0">
        <w:rPr>
          <w:rFonts w:eastAsia="Times New Roman" w:cs="Times New Roman"/>
          <w:i/>
          <w:iCs/>
          <w:lang w:eastAsia="ja-JP"/>
        </w:rPr>
        <w:t xml:space="preserve">Power (puissance). </w:t>
      </w:r>
      <w:r w:rsidRPr="001930E0">
        <w:rPr>
          <w:rFonts w:eastAsia="Times New Roman" w:cs="Times New Roman"/>
          <w:lang w:eastAsia="ja-JP"/>
        </w:rPr>
        <w:t xml:space="preserve">Let us suppose that the axiomatic necessarily marshals a power higher than the one it treats, in other words, than that of the aggregates serving as its models. This is like a power of the continuum, tied to the axiomatic but exceeding it. We immediately recognize this power as a power of destruction, of war, a power incarnated in financial, industrial, and military technological complexes that are in continuity with one another. On the one hand, war clearly follows the same movement as capitalism: In the same way as the proportion of constant capital keeps growing, war becomes increasingly a "war of materiel" in which the human being no longer even represents a variable capital of subjection, but is instead a pure element of machinic enslavement. On the other hand, and this is the main point, the growing importance of constant capital in the axiomatic means that the depreciation of existing capital and the formation of new capital assume a rhythm and scale that necessarily take the route of a war machine now incarnated in the complexes: the complexes actively contribute to the redistributions of the world necessary for the exploitation of maritime and planetary resources. There is a continuous "threshold" of power that accompanies in every instance the shifting of the axiomatic's limits; it is as though the power of war always supersaturated the system's saturation, and was its necessary condition. The classical conflicts among the States of the center (as well as periph- eral colonization) have been joined, or rather replaced, by two great conflictual lines, between West and East and North and South; these lines intersect and together cover everything. But the overarmament of the West and East not only leaves the reality of local wars entirely intact and gives them a new force and new stakes; it not only founds the "apocalyptic" pos- sibility of a direct confrontation along the two great axes; it also seems that the war machine takes on a specific supplementary meaning: industrial, political, judicial, etc. It is indeed true that the States, throughout their his- tory, have repeatedly appropriated the war machine; and it was after the war machine was appropriated that war, its preparation and effectuation, became the exclusive object of the machine, but as a more or less "limited" war. As for the aim, it remained the political aim of the States. The various factors that tended to make war a "total war," most notably the fascist factor, marked the beginning of an inversion of the movement: as though the States, through the war they waged against one another, had after a long period of appropriation reconstituted an autonomous war machine. But this unchained or liberated war machine continued to have as its object war in action, a now total, unlimited kind of war. The entire fascist economy became a war economy, but the war economy still needed total war as its object. For this reason, fascist war still fell under Clausewitz's formula, "the continuation of politics by other means," even though those other means had become exclusive, in other words, the political aim had entered into contradiction with the object (hence Virilio's idea that the fascist State was a "suicidal" State more than a totalitarian one). It was only after World War II that the automatization, then automation of the war machine had their true effect. The war machine, the new antagonisms traversing it considered, no longer had war as its exclusive object but took in charge and as its object peace, politics, the world order, in short, the aim. This is where the inversion of Clausewitz's formula comes in: it is politics that becomes the continuation of war; // </w:t>
      </w:r>
      <w:r w:rsidRPr="001930E0">
        <w:rPr>
          <w:rFonts w:eastAsia="Times New Roman" w:cs="Times New Roman"/>
          <w:i/>
          <w:iCs/>
          <w:lang w:eastAsia="ja-JP"/>
        </w:rPr>
        <w:t xml:space="preserve">is peace that technologically frees the unlimited material process of total war. </w:t>
      </w:r>
      <w:r w:rsidRPr="001930E0">
        <w:rPr>
          <w:rFonts w:eastAsia="Times New Roman" w:cs="Times New Roman"/>
          <w:lang w:eastAsia="ja-JP"/>
        </w:rPr>
        <w:t xml:space="preserve">War ceases to be the materialization of the war machine; </w:t>
      </w:r>
      <w:r w:rsidRPr="001930E0">
        <w:rPr>
          <w:rFonts w:eastAsia="Times New Roman" w:cs="Times New Roman"/>
          <w:i/>
          <w:iCs/>
          <w:lang w:eastAsia="ja-JP"/>
        </w:rPr>
        <w:t xml:space="preserve">the war machine itself becomes materialized war. </w:t>
      </w:r>
      <w:r w:rsidRPr="001930E0">
        <w:rPr>
          <w:rFonts w:eastAsia="Times New Roman" w:cs="Times New Roman"/>
          <w:lang w:eastAsia="ja-JP"/>
        </w:rPr>
        <w:t xml:space="preserve">In this sense, there was no longer a need for fascism. The Fascists were only child precursors, and the absolute peace of survival succeeded where total war had failed. The Third World War was already upon us. The war machine reigned over the entire axiomatic like the power of the continuum that sur- rounded the "world-economy," and it put all the parts of the </w:t>
      </w:r>
      <w:r w:rsidRPr="001930E0">
        <w:rPr>
          <w:rFonts w:eastAsia="Times New Roman" w:cs="Times New Roman"/>
          <w:lang w:eastAsia="ja-JP"/>
        </w:rPr>
        <w:lastRenderedPageBreak/>
        <w:t>universe in contact. The world became a smooth space again (sea, air, atmosphere), over which reigned a single war machine, even when it opposed its own parts. Wars had become a part of peace. More than that, the States no longer appropriated the war machine; they reconstituted a war machine of which they themselves were only the parts. Of all the authors who have developed an apocalyptic or millenarian sense, it is to Paul Virilio's credit to have emphasized these five rigorous points: that the war machine finds its new object in the absolute peace of terror or deterrence; that it performs a technoscientific "capitalization"; that this war machine is terrifying not as a function of a possible war that it promises us, as by blackmail, but, on the contrary, as a function of the real, very special kind of peace it promotes and has already installed; that this war machine no longer needs a qualified enemy but, in conformity with the requirements of an axiomatic, operates against the "unspecified enemy," domestic or foreign (an individual, group, class, people, event, world); that there arose from this a new conception of security as materialized war, as organized insecurity or molecularized, distributed, programmed catastrophe.64</w:t>
      </w:r>
    </w:p>
    <w:p xmlns:wp14="http://schemas.microsoft.com/office/word/2010/wordml" w:rsidR="00E45F43" w:rsidP="00E45F43" w:rsidRDefault="00E45F43" w14:paraId="3AE83842" wp14:textId="77777777">
      <w:pPr>
        <w:pStyle w:val="Heading3"/>
      </w:pPr>
      <w:r>
        <w:lastRenderedPageBreak/>
        <w:t>I: Recuperation of History</w:t>
      </w:r>
    </w:p>
    <w:p xmlns:wp14="http://schemas.microsoft.com/office/word/2010/wordml" w:rsidR="00E45F43" w:rsidP="00E45F43" w:rsidRDefault="00E45F43" w14:paraId="7BA84ED8" wp14:textId="77777777">
      <w:pPr>
        <w:pStyle w:val="Heading4"/>
      </w:pPr>
      <w:r>
        <w:t>Recuperation bad</w:t>
      </w:r>
    </w:p>
    <w:p xmlns:wp14="http://schemas.microsoft.com/office/word/2010/wordml" w:rsidR="00E45F43" w:rsidP="00E45F43" w:rsidRDefault="00E45F43" w14:paraId="18FF7A23" wp14:textId="77777777">
      <w:r w:rsidRPr="008131DC">
        <w:rPr>
          <w:rStyle w:val="Style13ptBold"/>
        </w:rPr>
        <w:t xml:space="preserve">Parr 08 </w:t>
      </w:r>
      <w:r w:rsidRPr="008131DC">
        <w:rPr>
          <w:sz w:val="16"/>
        </w:rPr>
        <w:t xml:space="preserve">[Adrian, Professor and Director of The Charles Phelps Taft Research Center; Department of Political Science &amp; School of Architecture and Interior Design; UNESCO Water Chair, “US Military Abuses at Abu Ghraib,” in Deleuze and Memorial Culture: Desire, Singular Memory, and the Politics of Trauma, pp. </w:t>
      </w:r>
      <w:r>
        <w:t>144-6//ak</w:t>
      </w:r>
    </w:p>
    <w:p xmlns:wp14="http://schemas.microsoft.com/office/word/2010/wordml" w:rsidR="00E45F43" w:rsidP="00E45F43" w:rsidRDefault="00E45F43" w14:paraId="598236DE" wp14:textId="77777777">
      <w:r>
        <w:t>There is no doubt that the holocaust is repeated throughout Germany in the form of exhibitions, museums, educational programs, the reconstruction of synagogues, the meager leftovers of Jewish culture, and extensive landscape memorialization. Geographer Kenneth Foote, for instance, understands landscape memorialization to be a platform whereupon the past is interpreted and given meaning. He examines how traditions are reinforced and even changed through what he describes as the sanctification of particular sites. Tragedy sites he writes are ‘sanctified to highlight points of origin and great accomplishment and to celebrate the lives of heroes and the sacrifices ordinary people have made for city, state, [and] nation’ producing a common history.2 He develops an interesting categorical distinction between sanctification and rectification. Sanctification marks the ‘traumas of nationhood’ imparting an ethical or moral message that exceeds the loss of life. Although there are several reasons why a site comes to be sanctified the most important one he gives is whether or not the ‘tragedy touches a single, relatively homogenous, self-identified community, one that comes to view the tragedy as a common, public loss.’3 Here it would seem that the holocaust in the context of Berlin would be an appropriate example of what Foote terms sanctification. On the other hand, rectification, Foote explains, is when a site is cleared of blame and returned to use.4 Having sought out sites where terrible accidents happened, he discovers he is unable to find empirical evidence that these events in fact took place.5 This, too, would seem to be an appropriate assessment of Berlin since there are many parts of the city where Jewish life has disappeared to the point where even smells of Yiddish food and the sounds of Klezmer music have completely vanished. Nevertheless, the difficulty of this categorical distinction surfaces in the spatiotemporal conclusion Foote draws, for he says the reason why the rectified site is cleared of blame is because there exists one significant condition subtending it: innocence. The space itself remains pure regardless of time having supposedly contaminated it and yet the logic of this argument suggests that the event in question is merely a moment in time without simultaneity in the present or future. For a space to remain unblemished regardless of the movement of history not only presupposes an ideational space that recalls Plato’s Ideal Forms, but by reducing the landscape to a historiographical distinction between the past, present, and future, Foote strips the intensive and affective dimension out of time. What this means is that when a site is considered free from blame it remains intact despite the force of time. Put differently, no longer considered as the cause of a given disaster the site doesn’t become a lightning rod for communal healing. According to Foote’s analysis, this situation absolves the innocent site from giving rise to questions concerning honor and guilt. So while the category of rectification denies the notion of an original trauma grounded in the landscape, through a displacement of the ground into a transcendent structure the ground returns as an Ideal space immune to history. This conclusion, however, produces some rather uncomfortable questions in the context of holocaust remembrance in Germany.</w:t>
      </w:r>
    </w:p>
    <w:p xmlns:wp14="http://schemas.microsoft.com/office/word/2010/wordml" w:rsidR="00E45F43" w:rsidP="00E45F43" w:rsidRDefault="00E45F43" w14:paraId="423ABF60" wp14:textId="77777777">
      <w:pPr>
        <w:pStyle w:val="Heading3"/>
      </w:pPr>
      <w:r>
        <w:lastRenderedPageBreak/>
        <w:t>I: Capitalism</w:t>
      </w:r>
    </w:p>
    <w:p xmlns:wp14="http://schemas.microsoft.com/office/word/2010/wordml" w:rsidR="00E45F43" w:rsidP="00E45F43" w:rsidRDefault="00E45F43" w14:paraId="39F0DABA" wp14:textId="77777777">
      <w:pPr>
        <w:pStyle w:val="Heading4"/>
      </w:pPr>
      <w:r>
        <w:t>National formations of trauma are oedipal and capitalistic</w:t>
      </w:r>
    </w:p>
    <w:p xmlns:wp14="http://schemas.microsoft.com/office/word/2010/wordml" w:rsidR="00E45F43" w:rsidP="00E45F43" w:rsidRDefault="00E45F43" w14:paraId="70824839" wp14:textId="77777777">
      <w:r w:rsidRPr="008131DC">
        <w:rPr>
          <w:rStyle w:val="Style13ptBold"/>
        </w:rPr>
        <w:t xml:space="preserve">Parr 08 </w:t>
      </w:r>
      <w:r w:rsidRPr="008131DC">
        <w:rPr>
          <w:sz w:val="16"/>
        </w:rPr>
        <w:t xml:space="preserve">[Adrian, Professor and Director of The Charles Phelps Taft Research Center; Department of Political Science &amp; School of Architecture and Interior Design; UNESCO Water Chair, “US Military Abuses at Abu Ghraib,” in Deleuze and Memorial Culture: Desire, Singular Memory, and the Politics of Trauma, pp. </w:t>
      </w:r>
      <w:r w:rsidRPr="00AF5DB5">
        <w:t>173-4</w:t>
      </w:r>
      <w:r>
        <w:t>//ak</w:t>
      </w:r>
    </w:p>
    <w:p xmlns:wp14="http://schemas.microsoft.com/office/word/2010/wordml" w:rsidRPr="00AF5DB5" w:rsidR="00E45F43" w:rsidP="00E45F43" w:rsidRDefault="00E45F43" w14:paraId="09C2E0A2" wp14:textId="77777777">
      <w:r>
        <w:t xml:space="preserve">Although the reproduction process characterizing the family cannot be said to be directly economic, it is a process that involves noneconomic kinship features of alliance and filiation common to capital. Indeed, just as, Marx once noted, labor is enslaved through its external determination by capital, so too Freudian desire is subjugated within the form of the nuclear family by the abstract figure of Oedipus. In this way, the benefit of Deleuze and Guattari for our analysis comes from the way they advise that money is not just a matter of accumulation and exchange, as Marx was to posit, it is also how guilt is created. When Deleuze and Guattari fuse together the Trauma and Consumption 173 psychoanalytic observation of the family as a source of guilt with the Marxist analysis of the rise of the capitalist economy, they present a model not just where desire can rediscover its productive dimension once again (as outlined in Chapter 1) but a framework in which to understand the intimate connection between the family and capitalism. That is, the economy is not just driven by surplus and exchangevalue it is also a system of debt; in this regard the role of the family in creating a deep-rooted sense of guilt and an eternal indebtedness is pivotal. Furthermore, an Oedipal subjectivity results because the choices available for subject identification are restricted to either the father or the mother. This restrictive set of options produces a feeble and vulnerable subjectivity that needs to be revitalized by other social determinations. Rather than open subjectivity up to a multiplicity of social determinations – a primarily utopian exercise – new sources of identification also appear in isolated form – nationalism or memory extremism – and as such these simply fortify reproductive subjectivity. This segregation of reproduction from the sphere of production constitutes a particularly capitalist social formation. We now arrive at our third and final system of desire – the conjunctive synthesis. The cultural condition of remembrance, mourning, and commemoration has shifted over time from the art of the symbolic elaboration or the narration of memory and history to capital production. Conceding that memorial culture has become a part of our staple diet the problem of how it manifests itself lies not so much in the genre of memorialization, rather in the way in which memory becomes a semi-autonomous force, one that reduces trauma to an object of reification – entertainment value – and as an avenue through which a capitalist axiomatic is propounded and reinforced. Remembering traumatic events has become another form of consumption, this being the third synthesis of the process of desire that Deleuze and Guattari speak of: the conjunctive synthesis.27 What the conjunctive synthesis conjugates are series of decoded flows, this being a process that happens in and through the second synthesis that records energies. The conjunctive synthesis, or what they otherwise refer to as ‘consumption,’ produces intensities such as the ‘intense feeling of transition, states of pure, naked intensity stripped of all shape and form.’28 But where do these intensities come from? Simply put, they come from prior forces of repulsion and attraction along with the opposition between these. That is, desire consumes itself through supposed polar opposites such as self-enjoyment and suffering. In summary, it is this opposition that creates positive intensities that ‘are never an expression of the final equilibrium of a system, but consist, rather, of an unlimited number of stationary, mestastable states through which a subject passes.’29 What this means is that, unlike Marx was to posit, the economic base is not more important than the superstructure for our analysis of memorial culture; rather, both can be said </w:t>
      </w:r>
      <w:r>
        <w:lastRenderedPageBreak/>
        <w:t xml:space="preserve">to be effected because of contingent conjunctions of affect and desire. Hence, to claim that the conditions defining memorial culture are economic is not to say that social interest in trauma is just an issue to do with money. Using the definition Deleuze gives of the economic in Difference and Repetition this would mean a ‘theme or “problematic” always covered over by its cases of solution.’30 Equally, the economic conditions of global capitalism constitute an economic social problem determining how a solution is found in very real social relations. This is why for Deleuze the social dialectic, which he understands as ‘the totality of the problems posed to a given society, or the synthetic and problematizing field of that society,’ is necessarily economic.31 The particular kinds of investment trauma takes raises an interesting problem to do not just with what memory shares in common with desire but also social capital. This is why with Guattari he explains that ‘the general theory of society is a generalized theory of flows; it is in terms of the latter that one must consider the relationship of social production to desiring-production, the variations of this relationship in each case, and the limits of this relationship in the capitalist system.’32 Keeping in mind that the sociality of traumatic memory is never given but is the effect of processes of remembrance, the point is that remembrance is a differential field conditioning the social, and in this regard traumatic memory is the desiring production animating the affects, energies, and intensities that actualize how social capital is organized. The particular character social capital takes is not given because it is only ever an aggregate of effects of different traumatic memories that are in turn undergoing different processes of remembrance (albeit vaguely). Memorial culture has come to the fore at a time when memory is increasingly being situated in connection to guilt by the market and culture. What ensues is that the market turns memory into capital – which helps account for our observation in Chapter 4 that it is not so much that the logic of postmodernism fosters amnesia as Jameson was to posit, rather it doesn’t allow us to forget because there is money to be made off of the labor of memory and, more importantly, because the energies and affects of trauma are productive. Herein lies Trauma and Consumption 175 the isomorphic effect of traumatic memory when it is put to work in the service of capitalism. Deleuze and Guattari explain: To the extent that capitalism constitutes an axiomatic (production for the market), all States and all social formations tend to become isomorphic in their capacity as models of realization: there is but one centered world market, the capitalist one, in which even the so-called socialist countries participate. Worldwide organization thus ceases to pass ‘between’ heterogeneous formations since it assures the isomorphy of those formations. But it would be wrong to confuse isomorphy with homogeneity. For one thing, isomorphy allows, and even incites, a great heterogeneity among States (democratic, totalitarian, and, especially, ‘socialist’ States are not facades). For another thing, the international capitalist axiomatic effectively assures the isomorphy of the diverse formations only where the domestic market is developing and expanding, in other words, in ‘the center.’33 With an illegitimate use of the conjunctive synthesis memorial culture turns abstraction (capital) into a point of social authority, restricting the lines of identification open for social organization, integrating the differential and potentially irruptive field of traumatic memory. For example, the isomorphy of Governor Pataki’s warning outlined in Chapter 7 comes from capital organizing the different formations of traumatic memory so as to guarantee the integration of various memory configurations. However, it is at the level of the state (cultural policy, cultural institutions, the governor, demonstrations of relatives of 9/11 victims) whereby the flows and energies of traumatic memory that capital organizes are reemployed as a noncapitalist mode of production. Pataki viewed the ground zero site as ‘sacred ground,’ likening it to the ‘beaches of Normandy or Pearl Harbor, and we will not tolerate anything on that site that denigrates America, denigrates New York or freedom, or denigrates the sacrifice or </w:t>
      </w:r>
      <w:r>
        <w:lastRenderedPageBreak/>
        <w:t>courage that the heroes showed on Sept. 11.’34 Ominously, he went on to point out that he would use his power as New York Governor to block the tenancy of any cultural institution that did not toe the line with politically themed artwork that took the memory of the site as its critical point of departure. The governor’s ultimatum was a direct response to demonstrations protesting against the inclusion of the Drawing Center at the ground zero site that included approximately 200 relatives of 9/11 victims. Deleuze and Guattari are instructive in helping us understand the segregative form of this kind of memorial culture in their comments on literature: Here again, oedipalization is one of the most important factors in the reduction of literature (in this case memory) to an object of consumption conforming to the established order, and incapable of causing anyone harm. It is not a question here of the personal oedipalization of the author and his readers, but of the Oedipal form to which one attempts to enslave the work itself, to make of it this minor expressive activity that secretes ideology according to the dominant codes.35 In other words, it is through the production of traumatic memory consumption where subjectivity appears. And as our above example of protests against the inclusion of the Drawing Center at the ground zero site attests to, it is not just consumption at the level of moneycapital but also at the level of social-capital; furthermore, in the context of memorial culture the process of consumption also includes memory-capital. The nationalistic sentiment behind the rallying call to eliminate any cultural institution that is deemed unpatriotic in its focus is a segregative and illegitimate use of the conjunctive synthesis. It is one that projects the force of memory onto a paternalistic memory, not vice versa as a psychoanalytic interpretation might posit. In other words, it is Oedipus that relies upon such nationalistic fervor. The revolutionary energies of a deterritorializing memory appear too frightening and it seems better to ‘fall back under the law of the signifier, marked by castration, triangulated in Oedipus,’ the effect of which is that the crowd displaces the ‘limit, they make it pass into the interior of the social formation, between the social production and reproduction that they invest, and the familial reproduction that they fall back on, to which they apply all the investments.’36 Under such circumstances a fully paranoid and fascistic subjectivity is constructed, one that is dominated by the segregative form of a reterritorializing memory. According to Deleuze and Guattari this constitutes an illegitimate conjunctive synthesis because it is isolationist. In other words, there is a biunivocal use of memory that produces segregation (one that is nationalistic and racist), the result of which is the integration of difference and the construction of a fixed subject. However, we need also to remember that although the deterritorialized and decoded flows of traumatic memory are conjugated, this does not happen without those selfsame flows ‘forging farther ahead; without their escaping both the axiomatic that conjugates them and the models that reterritorialize them . . .’ so that a revolutionary remembrance of struggle can reappear once more.37</w:t>
      </w:r>
    </w:p>
    <w:p xmlns:wp14="http://schemas.microsoft.com/office/word/2010/wordml" w:rsidRPr="00DE0860" w:rsidR="00E45F43" w:rsidP="00E45F43" w:rsidRDefault="00E45F43" w14:paraId="06971CD3" wp14:textId="77777777"/>
    <w:p xmlns:wp14="http://schemas.microsoft.com/office/word/2010/wordml" w:rsidRPr="00E85EC4" w:rsidR="00E45F43" w:rsidP="00E45F43" w:rsidRDefault="00E45F43" w14:paraId="2A1F701D" wp14:textId="77777777"/>
    <w:p xmlns:wp14="http://schemas.microsoft.com/office/word/2010/wordml" w:rsidR="00E45F43" w:rsidP="00E45F43" w:rsidRDefault="00E45F43" w14:paraId="6B537419" wp14:textId="77777777">
      <w:pPr>
        <w:pStyle w:val="Heading3"/>
      </w:pPr>
      <w:r>
        <w:lastRenderedPageBreak/>
        <w:t>S: Jeremiah and the First Temple</w:t>
      </w:r>
    </w:p>
    <w:p xmlns:wp14="http://schemas.microsoft.com/office/word/2010/wordml" w:rsidR="00E45F43" w:rsidP="00E45F43" w:rsidRDefault="00E45F43" w14:paraId="26B6FA31" wp14:textId="77777777">
      <w:pPr>
        <w:pStyle w:val="Heading4"/>
      </w:pPr>
      <w:r>
        <w:t>The destruction of the first and second temple - mourning/memory that doesn’t use the past as the template for the future</w:t>
      </w:r>
    </w:p>
    <w:p xmlns:wp14="http://schemas.microsoft.com/office/word/2010/wordml" w:rsidRPr="00F113EF" w:rsidR="00E45F43" w:rsidP="00E45F43" w:rsidRDefault="00E45F43" w14:paraId="26075481" wp14:textId="77777777">
      <w:r w:rsidRPr="008131DC">
        <w:rPr>
          <w:rStyle w:val="Style13ptBold"/>
        </w:rPr>
        <w:t xml:space="preserve">Parr 08 </w:t>
      </w:r>
      <w:r w:rsidRPr="008131DC">
        <w:rPr>
          <w:sz w:val="16"/>
        </w:rPr>
        <w:t xml:space="preserve">[Adrian, Professor and Director of The Charles Phelps Taft Research Center; Department of Political Science &amp; School of Architecture and Interior Design; UNESCO Water Chair, “US Military Abuses at Abu Ghraib,” in Deleuze and Memorial Culture: Desire, Singular Memory, and the Politics of Trauma, pp. </w:t>
      </w:r>
      <w:r>
        <w:t>181 – Read slow</w:t>
      </w:r>
    </w:p>
    <w:p xmlns:wp14="http://schemas.microsoft.com/office/word/2010/wordml" w:rsidRPr="007074A2" w:rsidR="00E45F43" w:rsidP="00E45F43" w:rsidRDefault="00E45F43" w14:paraId="2F5DCF39" wp14:textId="77777777">
      <w:pPr>
        <w:rPr>
          <w:rStyle w:val="StyleUnderline"/>
        </w:rPr>
      </w:pPr>
      <w:r w:rsidRPr="007074A2">
        <w:rPr>
          <w:rStyle w:val="StyleUnderline"/>
        </w:rPr>
        <w:t>During the Jewish period of mourning over the destruction of the first and second temples</w:t>
      </w:r>
      <w:r>
        <w:t xml:space="preserve"> – Tishah B’av – </w:t>
      </w:r>
      <w:r w:rsidRPr="007074A2">
        <w:rPr>
          <w:rStyle w:val="StyleUnderline"/>
        </w:rPr>
        <w:t>it is written in the Siddur that Plato accompanied King Nebuchadnezzar when he destroyed the First Temple. Once the building was in ruins Plato encounters the wailing prophet Jeremiah near the Temple Mount. Aghast that such a preeminent and wise sage should be weeping over a pile of ruins, Plato asks him why</w:t>
      </w:r>
      <w:r>
        <w:t xml:space="preserve"> on earth he is crying, </w:t>
      </w:r>
      <w:r w:rsidRPr="007074A2">
        <w:rPr>
          <w:rStyle w:val="StyleUnderline"/>
        </w:rPr>
        <w:t>explaining</w:t>
      </w:r>
      <w:r>
        <w:t xml:space="preserve"> to him </w:t>
      </w:r>
      <w:r w:rsidRPr="007074A2">
        <w:rPr>
          <w:rStyle w:val="StyleUnderline"/>
        </w:rPr>
        <w:t>that it is pointless to cry over the past.</w:t>
      </w:r>
      <w:r>
        <w:t xml:space="preserve"> He goes on to ask Jeremiah what good his tears can possibly do now that the building is just a pile of sticks and stones. </w:t>
      </w:r>
      <w:r w:rsidRPr="007074A2">
        <w:rPr>
          <w:rStyle w:val="StyleUnderline"/>
        </w:rPr>
        <w:t>Jeremiah answers by exclaiming Plato couldn’t possibly understand because this was where he acquired his wisdom. According to Jewish tradition,</w:t>
      </w:r>
      <w:r>
        <w:t xml:space="preserve"> Jeremiah demonstrates the key attributes of anyone worthy of being a prophet and </w:t>
      </w:r>
      <w:r w:rsidRPr="007074A2">
        <w:rPr>
          <w:rStyle w:val="StyleUnderline"/>
        </w:rPr>
        <w:t>the lesson drawn from the story is that Jeremiah is neither wallowing in self-pity, nor is he consumed by feelings of injustice or even personal suffering.</w:t>
      </w:r>
      <w:r>
        <w:t xml:space="preserve"> This is because, as Rav Simcha Zissel of Kelm clarifies, </w:t>
      </w:r>
      <w:r w:rsidRPr="007074A2">
        <w:rPr>
          <w:rStyle w:val="StyleUnderline"/>
        </w:rPr>
        <w:t>Jeremiah is not mourning over the past but out of hope for the future. Every tear shed contributes to the reconstruction of the next Temple.</w:t>
      </w:r>
      <w:r>
        <w:t xml:space="preserve">2 Put differently, for Jeremiah the past is a source of inspiration, not a burden. For this reason Jeremiah exclaims </w:t>
      </w:r>
      <w:r w:rsidRPr="007074A2">
        <w:rPr>
          <w:rStyle w:val="StyleUnderline"/>
        </w:rPr>
        <w:t>Plato cannot possibly understand why he cries, for his tears are future oriented; they inaugurate an act of social remembrance aspiring to put the present to work for a future yet to come. During Tishah B’av the social lesson is not to suffer over the past; instead emphasis is given to the active power of mourning to foster courage, hope, and a sense of joy in the future: remembrance as struggle. In this regard, memory is used by the social field in a distinctively non-Oedipal way so that the past is not a blueprint for the future.3</w:t>
      </w:r>
    </w:p>
    <w:p xmlns:wp14="http://schemas.microsoft.com/office/word/2010/wordml" w:rsidR="00E45F43" w:rsidP="00E45F43" w:rsidRDefault="00E45F43" w14:paraId="14870810" wp14:textId="77777777">
      <w:pPr>
        <w:pStyle w:val="Heading3"/>
      </w:pPr>
      <w:r>
        <w:lastRenderedPageBreak/>
        <w:t>S: We are all Illegal</w:t>
      </w:r>
    </w:p>
    <w:p xmlns:wp14="http://schemas.microsoft.com/office/word/2010/wordml" w:rsidR="00E45F43" w:rsidP="00E45F43" w:rsidRDefault="00E45F43" w14:paraId="49D9A5A8" wp14:textId="77777777">
      <w:pPr>
        <w:pStyle w:val="Heading4"/>
      </w:pPr>
      <w:r>
        <w:t>We are all illegal (also an alt for a K)</w:t>
      </w:r>
    </w:p>
    <w:p xmlns:wp14="http://schemas.microsoft.com/office/word/2010/wordml" w:rsidR="00E45F43" w:rsidP="00E45F43" w:rsidRDefault="00E45F43" w14:paraId="54BAFA39" wp14:textId="77777777">
      <w:r w:rsidRPr="00A761C0">
        <w:rPr>
          <w:rStyle w:val="Style13ptBold"/>
        </w:rPr>
        <w:t>Woodward and Jones III 05</w:t>
      </w:r>
      <w:r>
        <w:t xml:space="preserve"> [Keith, Prof. Geograpy @ UW-Madison; John Paul, Prof. Geography and Dean of Social and Behavioral Sciences @ Univ. of Arizona, “On the Border with Deleuze and Guattari,” In </w:t>
      </w:r>
      <w:r w:rsidRPr="002F03BC">
        <w:rPr>
          <w:i/>
        </w:rPr>
        <w:t>B/ordering Space,</w:t>
      </w:r>
      <w:r>
        <w:rPr>
          <w:i/>
        </w:rPr>
        <w:t xml:space="preserve"> </w:t>
      </w:r>
      <w:r>
        <w:t>ed. Doris Wasti-Walter, pp. 245-6//ak]</w:t>
      </w:r>
    </w:p>
    <w:p xmlns:wp14="http://schemas.microsoft.com/office/word/2010/wordml" w:rsidRPr="006F56F7" w:rsidR="00E45F43" w:rsidP="00E45F43" w:rsidRDefault="00E45F43" w14:paraId="500C03B5" wp14:textId="77777777">
      <w:pPr>
        <w:rPr>
          <w:rStyle w:val="StyleUnderline"/>
        </w:rPr>
      </w:pPr>
      <w:r w:rsidRPr="00C33886">
        <w:rPr>
          <w:sz w:val="12"/>
        </w:rPr>
        <w:t xml:space="preserve">Todos Somos Regales: La Resistencia in the Southwest U.S. La Resistencia is an organization dedicated to fighting the criminalization of immigrants by the U.S. Border Patrol (La Migra) and by police and vigilantes who enforce control over the U.S.-Mexican border. Founded in 1987, the organization has continuously planned and participated in demonstrations and information dissemination activities aimed at disrupting the physical violence, imprisonment, and deportation experienced by immigrants. </w:t>
      </w:r>
      <w:r w:rsidRPr="00C33886">
        <w:rPr>
          <w:rStyle w:val="StyleUnderline"/>
        </w:rPr>
        <w:t>Rejecting the order word, `illegal', La Resistencia grounds its opposition in the guarantee that `All persons have a right to work'</w:t>
      </w:r>
      <w:r w:rsidRPr="00C33886">
        <w:rPr>
          <w:sz w:val="12"/>
        </w:rPr>
        <w:t xml:space="preserve"> (La Resistencia, 2003). </w:t>
      </w:r>
      <w:r w:rsidRPr="00C33886">
        <w:rPr>
          <w:rStyle w:val="StyleUnderline"/>
        </w:rPr>
        <w:t>This right,</w:t>
      </w:r>
      <w:r w:rsidRPr="00C33886">
        <w:rPr>
          <w:sz w:val="12"/>
        </w:rPr>
        <w:t xml:space="preserve"> which </w:t>
      </w:r>
      <w:r w:rsidRPr="00C33886">
        <w:rPr>
          <w:rStyle w:val="StyleUnderline"/>
        </w:rPr>
        <w:t>is held to supercede any government dictate, is asserted to protect workers and their families from any sanction as they move across the border.</w:t>
      </w:r>
      <w:r w:rsidRPr="00C33886">
        <w:rPr>
          <w:sz w:val="12"/>
        </w:rPr>
        <w:t xml:space="preserve"> In asking readers to judge their commitment to the organization's goals, the La Resistencia website poses the following questions: Do you believe that: • People are driven from their homeland and come to the U.S. to survive? • All people have a right to survive regardless of legal status? • Being an immigrant is not a crime? Human life is more important than laws? • People with legal status have the responsibility to defy and resist unjust laws, struggle alongside our brothers and sisters who have been deemed illegal, and protect them? (La Resistencia, 2003). </w:t>
      </w:r>
      <w:r w:rsidRPr="00C33886">
        <w:rPr>
          <w:rStyle w:val="StyleUnderline"/>
        </w:rPr>
        <w:t>As part of its activism, the organization opposed California's Proposition 187, an anti-immigrant law that attempted to deny illegally-designated immigrants access to health care, housing, and education, and which `would force people working in education, health care and social services to become "junior Migra agents" or risk losing their jobs and their licenses to work, and possibly jail time'</w:t>
      </w:r>
      <w:r w:rsidRPr="00C33886">
        <w:rPr>
          <w:sz w:val="12"/>
        </w:rPr>
        <w:t xml:space="preserve"> GA Resistencia, 2003; Mains, 2000). In response to Proposition 187 and its national counterpart, Federal 187, </w:t>
      </w:r>
      <w:r w:rsidRPr="00C33886">
        <w:rPr>
          <w:rStyle w:val="StyleUnderline"/>
        </w:rPr>
        <w:t>La Resistencia has engaged in a multipronged strategy of resistance to `unmap the borders in the world'</w:t>
      </w:r>
      <w:r w:rsidRPr="00C33886">
        <w:rPr>
          <w:sz w:val="12"/>
        </w:rPr>
        <w:t xml:space="preserve"> (van Houtum and Struver, 2002, p. 23) </w:t>
      </w:r>
      <w:r w:rsidRPr="00C33886">
        <w:rPr>
          <w:rStyle w:val="StyleUnderline"/>
        </w:rPr>
        <w:t>organizing and demonstrating against border blockades and INS detention centers, confronting and exposing acts of violence on the part of La Migra, providing sanctuary for the persecuted, encouraging anti-discriminatory hiring practices on the part of employers, and defying laws that disallow immigrants access to health care and education</w:t>
      </w:r>
      <w:r w:rsidRPr="00C33886">
        <w:rPr>
          <w:sz w:val="12"/>
        </w:rPr>
        <w:t xml:space="preserve"> (La Resistencia, 2003). </w:t>
      </w:r>
      <w:r w:rsidRPr="00C33886">
        <w:rPr>
          <w:rStyle w:val="StyleUnderline"/>
        </w:rPr>
        <w:t>Members of La Resistencia are recognizable by the blue triangles adorning their clothing and by their banners reading, `Todos Somos Ilegales/We Are All Illegals'. The blue triangle is appropriated from its use in Nazi Germany, where it identified `stateless people'. La Resistencia distributes the emblem as a sign of solidarity with `illegal aliens',</w:t>
      </w:r>
      <w:r w:rsidRPr="00C33886">
        <w:rPr>
          <w:sz w:val="12"/>
        </w:rPr>
        <w:t xml:space="preserve"> the complex body of people categorized through contemporary constructions of Statehood and personhood (Figure 15.1). `</w:t>
      </w:r>
      <w:r w:rsidRPr="00C33886">
        <w:rPr>
          <w:rStyle w:val="StyleUnderline"/>
        </w:rPr>
        <w:t>Todos Somos Ilegales/We Are All Illegals' is aimed at disrupting State territorializations of subjectivity</w:t>
      </w:r>
      <w:r w:rsidRPr="00C33886">
        <w:rPr>
          <w:sz w:val="12"/>
        </w:rPr>
        <w:t xml:space="preserve"> (Figure 15.2). </w:t>
      </w:r>
      <w:r w:rsidRPr="00C33886">
        <w:rPr>
          <w:rStyle w:val="StyleUnderline"/>
        </w:rPr>
        <w:t>Inasmuch as `illegal' serves as an ontological legitimation for violence committed by both vigilantes and the State</w:t>
      </w:r>
      <w:r w:rsidRPr="00C33886">
        <w:rPr>
          <w:sz w:val="12"/>
        </w:rPr>
        <w:t xml:space="preserve"> (from murder to laws such as Federal 187), </w:t>
      </w:r>
      <w:r w:rsidRPr="00C33886">
        <w:rPr>
          <w:rStyle w:val="StyleUnderline"/>
        </w:rPr>
        <w:t>refrains of `Todos Somos Ilegales' flattens or smooths the border by delegitimating exclusivist nationalisms. This borderdisordering phrase is simultaneously ordering, encompassing all bodies living within it and offering a new transcendent body, a new `We', that no longer identifies with the State.</w:t>
      </w:r>
      <w:r>
        <w:rPr>
          <w:rStyle w:val="StyleUnderline"/>
        </w:rPr>
        <w:t xml:space="preserve"> </w:t>
      </w:r>
      <w:r w:rsidRPr="00C33886">
        <w:rPr>
          <w:sz w:val="12"/>
        </w:rPr>
        <w:t xml:space="preserve">La Resistencia's website demonstrates an acute understanding of the spatial territorialization and deterritorializations noted in the previous section. In response to the increasingly militarized and striated social space encountered by migrants, La Resistencia explains: `The recent anti-terrorist law, the new welfare law, the group of legislation known as "Federal 187", plans to make "English Only" the law of the land, the millions of dollars spent to militarize the U.S./Mexico border ...these moves work to drive immigrants further underground, to set the stage for more raids and round-ups, jailings and beating [sic], deportations and warfare at the border, and to create an anti-immigrant climate which creates a class of "illegals" against whom no crime is unthinkable' (La Resistencia, 2003). La Resistencia's website demonstrates an acute understanding of the spatial territorialization and deterritorializations noted in the previous section. In response to the increasingly militarized and striated social space encountered by migrants, La Resistencia explains: `The recent anti-terrorist law, the new welfare law, the group of legislation known as "Federal 187", plans to make "English Only" the law of the land, the millions of dollars spent to militarize the U.S./Mexico border ...these moves work to drive immigrants further underground, to set the stage for more raids and round-ups, jailings and beating [sic], deportations and warfare at the border, and to create an anti-immigrant climate which creates a class of "illegals" against whom no crime is unthinkable' (La Resistencia, 2003). As Spener and Staudt (1998) note (also Mains, 2000), </w:t>
      </w:r>
      <w:r w:rsidRPr="00C33886">
        <w:rPr>
          <w:rStyle w:val="StyleUnderline"/>
        </w:rPr>
        <w:t>while these territorializations work against immigrants, other borderings serve the interest of capital. At the present time we have `a border open to capital but closed to workers'</w:t>
      </w:r>
      <w:r w:rsidRPr="00C33886">
        <w:rPr>
          <w:sz w:val="12"/>
        </w:rPr>
        <w:t xml:space="preserve">: the arrival of NAFTA and the accompanying clampdown on the border [through Operation Blockade] were quite explicable: before free trade, U.S. capitalists did not have unfettered access to cheap Mexican workers. It was necessary, therefore, to ` import' Mexican workers into the United States. Now, with the Mexican state opening its territory to unfettered foreign investment, U.S. capital had a greater interest in keeping Mexican workers in Mexico, which constituted something of a low-wage labor reserve for manufacturing. In fact, at the, time of the blockade, some cynics speculated that the Border Patrol was actually in cahoots with the operators of maquiladoras in Ciudad Juarez, who complained that they had a shortage of assembly workers at the going rate of pay (Spener and Staudt, 1998: 235-36). </w:t>
      </w:r>
      <w:r w:rsidRPr="00C33886">
        <w:rPr>
          <w:rStyle w:val="StyleUnderline"/>
        </w:rPr>
        <w:t xml:space="preserve">The duplicity of this </w:t>
      </w:r>
      <w:r w:rsidRPr="00C33886">
        <w:rPr>
          <w:rStyle w:val="StyleUnderline"/>
        </w:rPr>
        <w:lastRenderedPageBreak/>
        <w:t>capital-state alliance is subject to a stinging critique by La Resistencia:</w:t>
      </w:r>
      <w:r>
        <w:rPr>
          <w:rStyle w:val="StyleUnderline"/>
        </w:rPr>
        <w:t xml:space="preserve"> </w:t>
      </w:r>
      <w:r w:rsidRPr="00C33886">
        <w:rPr>
          <w:rStyle w:val="StyleUnderline"/>
        </w:rPr>
        <w:t>`It is extreme hypocrisy for the government to state that people may not cross borders to survive. U.S. corporations send investments anywhere they want. The U.S. sends armies all over the world to bomb and kill people and sponsor death squad governments. All these create the very conditions that make survival impossible'</w:t>
      </w:r>
      <w:r w:rsidRPr="00C33886">
        <w:rPr>
          <w:sz w:val="12"/>
        </w:rPr>
        <w:t xml:space="preserve"> (La Resistencia, 2003). </w:t>
      </w:r>
      <w:r w:rsidRPr="00C33886">
        <w:rPr>
          <w:rStyle w:val="StyleUnderline"/>
        </w:rPr>
        <w:t>None of the above is to suggest that the border is somehow exhaustively organized according to a neoliberal capital-state alliance.</w:t>
      </w:r>
      <w:r w:rsidRPr="00C33886">
        <w:rPr>
          <w:sz w:val="12"/>
        </w:rPr>
        <w:t xml:space="preserve"> For example, Patricia Price's discussion of the `aesthetics of Aztlan' deconstructs the.supposed binary solidity of the southwestern border of the U.S., suggesting that it is instead a fragmented, `spatial schizophrenia' (2000, p. 104) where signs constantly disrupt the nationalized order of things. As with the slogans of La Resistencia, Price explains that the presence of tattoos and murals inscribed upon bodies and walls invoking the imagined geography of Aztlan and its attendant counter-nationalizing discourse rupture the apparent stability of spatial identity instituted throughout the border region. </w:t>
      </w:r>
      <w:r w:rsidRPr="00C33886">
        <w:rPr>
          <w:rStyle w:val="StyleUnderline"/>
        </w:rPr>
        <w:t>The solidity of the border as an ordering and organizational principle of identity is disrupted through minor deterritorializations of bodies and spaces that are transformed to signal associations with other people who nevertheless occupy the same territory (`We are all illegals'). When understood as an event that deterritorializes the body, such forms of sign-based resistance can produce a disruptive affect, or what Deleuze calls `a shock to thought'</w:t>
      </w:r>
      <w:r w:rsidRPr="00C33886">
        <w:rPr>
          <w:sz w:val="12"/>
        </w:rPr>
        <w:t xml:space="preserve"> (1989, p. 156), upon their witnesses. Price cites a San Diego resident who exemplifies the disorientation inherent in such shocks: There are a whole lot of portions of Los Angeles city ...if you didn't know where you're at you'd swear you're in Tijuana. You cannot tell the difference. You cannot tell the difference. The barrio that exists in Tijuana looks exactly the same as the one in Los Angeles. As an American, I'm offended by that' (Price, 2000, pp. 103-4; emphasis in original).</w:t>
      </w:r>
      <w:r>
        <w:rPr>
          <w:sz w:val="12"/>
        </w:rPr>
        <w:t xml:space="preserve"> </w:t>
      </w:r>
      <w:r>
        <w:t xml:space="preserve">Conclusion </w:t>
      </w:r>
      <w:r w:rsidRPr="009B1396">
        <w:rPr>
          <w:rStyle w:val="StyleUnderline"/>
        </w:rPr>
        <w:t>The concept of borders developed in this paper is strikingly different from a conception that understands them to be stable, permanently situated objects. On the contrary, `at the limit, all that counts is the constantly shifting borderline'</w:t>
      </w:r>
      <w:r>
        <w:t xml:space="preserve"> (Deleuze and Guattari, 1987, p. 367, italics added). The movement of the borderline that marks the horizon of the multiplicity is perhaps more akin to the borderlands that are said to surround state borders as sites of intensive marginality and creativity. As such, the smooth spaces generated by assemblages (e.g., La Resistencia) that resist both the striating forces of the state and the smooth reterritorializations of capital are not metaphorically like borderlands, but are themselves borderlands constituted by the bordering activity of becoming. In this sense, </w:t>
      </w:r>
      <w:r w:rsidRPr="006F56F7">
        <w:rPr>
          <w:rStyle w:val="StyleUnderline"/>
        </w:rPr>
        <w:t>borderlands can appear and disappear at any point within striated space (and not simply along the State border). As Anzaldua notes, `when I capitalize Borderlands, it means that it's not the actual Southwest or the Canada-U.S. border, but that it's an emotional Borderlands which can be found anywhere where there are different kinds of people coming together and occupying the same space or where there are spaces that are sort of hemmed in by these larger groups of people</w:t>
      </w:r>
      <w:r>
        <w:t xml:space="preserve">' (1994-95, p. 77). </w:t>
      </w:r>
      <w:r w:rsidRPr="006F56F7">
        <w:rPr>
          <w:rStyle w:val="StyleUnderline"/>
        </w:rPr>
        <w:t>Assemblages such as La Resistencia take their lines of flight from what they are bordering against: striations, organizations, institutions that want to close the escape hatches and fold these fleeing aberrations back into the order of things. The group's strategy seems to speak to the solution proposed by Deleuze and Guattari: `it is by leaving the plan(e) of capital, and never ceasing to leave it, that a mass becomes increasingly revolutionary and destroys the dominant equilibrium of the denumerable sets'</w:t>
      </w:r>
      <w:r>
        <w:t xml:space="preserve"> (1987, p. 472). If capital has indeed erased international borders, leaving the plan(e) of capital requires something that Massumi has encouraged from the outset: that you carry your borderings with you. The erasure of national borders (which is itself always an imperfect concept and an incomplete project: see Paasi, 2003; Yeung, 1998) would not mean the end of borders. Following Johnson and Michaelson, </w:t>
      </w:r>
      <w:r w:rsidRPr="006F56F7">
        <w:rPr>
          <w:rStyle w:val="StyleUnderline"/>
        </w:rPr>
        <w:t>we can `trouble the place of the border'</w:t>
      </w:r>
      <w:r>
        <w:t xml:space="preserve"> (1997, p. 31) </w:t>
      </w:r>
      <w:r w:rsidRPr="006F56F7">
        <w:rPr>
          <w:rStyle w:val="StyleUnderline"/>
        </w:rPr>
        <w:t>in order to see it distributed across various diverse spaces, and not simply constituted by capital or state striations, but as emerging from the assemblages of bodies becoming-other upon it.</w:t>
      </w:r>
      <w:r>
        <w:t xml:space="preserve"> La Resistencia's `transversal territorial reappropriation' (Hardt and Negri, 2001) embraces the perpetual end point proposed by Massumi: `</w:t>
      </w:r>
      <w:r w:rsidRPr="006F56F7">
        <w:rPr>
          <w:rStyle w:val="StyleUnderline"/>
        </w:rPr>
        <w:t xml:space="preserve">To achieve the goal that has no end means ceasing to seem to be what you are [`legal'] in order to become what you cannot be: supermolecular forever. The goal is a limit approached, </w:t>
      </w:r>
      <w:r w:rsidRPr="006F56F7">
        <w:rPr>
          <w:rStyle w:val="StyleUnderline"/>
        </w:rPr>
        <w:lastRenderedPageBreak/>
        <w:t>never reached</w:t>
      </w:r>
      <w:r>
        <w:t xml:space="preserve">' (1992, p. 106, emphasis in original). </w:t>
      </w:r>
      <w:r w:rsidRPr="006F56F7">
        <w:rPr>
          <w:rStyle w:val="StyleUnderline"/>
        </w:rPr>
        <w:t>The practice of reappropriation of space by the multitude, the minor</w:t>
      </w:r>
      <w:r>
        <w:t xml:space="preserve"> (Katz, 1996), </w:t>
      </w:r>
      <w:r w:rsidRPr="006F56F7">
        <w:rPr>
          <w:rStyle w:val="StyleUnderline"/>
        </w:rPr>
        <w:t>manifests becomings-other by assembling in and with space, by bordering against the surrounding smooth spaces of capital.</w:t>
      </w:r>
      <w:r>
        <w:t xml:space="preserve"> But even the term ` reappropriation' may be problematic: becomings can never really re-appropriate, they cannot return ownership, capture, or repossess a space. Rather, </w:t>
      </w:r>
      <w:r w:rsidRPr="006F56F7">
        <w:rPr>
          <w:rStyle w:val="StyleUnderline"/>
        </w:rPr>
        <w:t>these moments of becoming merely reawaken what was always there: the ever-existing capacity for mutual transformativity and inter-affectivity.</w:t>
      </w:r>
    </w:p>
    <w:p xmlns:wp14="http://schemas.microsoft.com/office/word/2010/wordml" w:rsidRPr="00CB35C0" w:rsidR="00E45F43" w:rsidP="00E45F43" w:rsidRDefault="00E45F43" w14:paraId="03EFCA41" wp14:textId="77777777"/>
    <w:p xmlns:wp14="http://schemas.microsoft.com/office/word/2010/wordml" w:rsidR="00E45F43" w:rsidP="00E45F43" w:rsidRDefault="00E45F43" w14:paraId="17B148EC" wp14:textId="77777777">
      <w:pPr>
        <w:pStyle w:val="Heading3"/>
      </w:pPr>
      <w:r>
        <w:lastRenderedPageBreak/>
        <w:t>S: Becoming-Imperceptible</w:t>
      </w:r>
    </w:p>
    <w:p xmlns:wp14="http://schemas.microsoft.com/office/word/2010/wordml" w:rsidRPr="004F2111" w:rsidR="00E45F43" w:rsidP="00E45F43" w:rsidRDefault="00E45F43" w14:paraId="3D3B0970" wp14:textId="77777777">
      <w:pPr>
        <w:pStyle w:val="Heading4"/>
      </w:pPr>
      <w:r>
        <w:t>Attempts to recuperate the violence of border in a humanitarian mission is bound to sovereignty that conditions border violence – instead we remember the devil’s highway and those who traverse it as a lesson in nomadic modes of becoming-imperceptible, as a call for a multiplication of practices that smooth the striated space of border politics</w:t>
      </w:r>
    </w:p>
    <w:p xmlns:wp14="http://schemas.microsoft.com/office/word/2010/wordml" w:rsidRPr="004F2111" w:rsidR="00E45F43" w:rsidP="00E45F43" w:rsidRDefault="00E45F43" w14:paraId="61BE58BA" wp14:textId="77777777">
      <w:pPr>
        <w:rPr>
          <w:sz w:val="16"/>
        </w:rPr>
      </w:pPr>
      <w:r w:rsidRPr="004F2111">
        <w:rPr>
          <w:rStyle w:val="Style13ptBold"/>
        </w:rPr>
        <w:t>Papadapolous and Tsianos 07</w:t>
      </w:r>
      <w:r w:rsidRPr="004F2111">
        <w:rPr>
          <w:sz w:val="16"/>
        </w:rPr>
        <w:t xml:space="preserve"> (Dimitris, Senior Fellow of the Higher Education Academy at the University of Leicester, Ph.D from the Free University of Berlin; Vassilis, Professor of Social Sciences at the University of Hamburg, “The Autonomy of Migration: The Animals of Undocumented Mobility,” Global Schizophrenia, 223-231, 2007) //jd</w:t>
      </w:r>
    </w:p>
    <w:p xmlns:wp14="http://schemas.microsoft.com/office/word/2010/wordml" w:rsidRPr="00FF3171" w:rsidR="00E45F43" w:rsidP="00E45F43" w:rsidRDefault="00E45F43" w14:paraId="5196FF03" wp14:textId="77777777">
      <w:pPr>
        <w:rPr>
          <w:rStyle w:val="StyleUnderline"/>
        </w:rPr>
      </w:pPr>
      <w:r w:rsidRPr="008339DE">
        <w:rPr>
          <w:sz w:val="16"/>
        </w:rPr>
        <w:t xml:space="preserve">Imperceptibility </w:t>
      </w:r>
      <w:r w:rsidRPr="00FF3171">
        <w:rPr>
          <w:rStyle w:val="StyleUnderline"/>
        </w:rPr>
        <w:t>The concept of becoming seeks to articulate a political practice in which social actors escape their normalized representations and reconstitute themselves in the course of participating in, and changing, the conditions of their material existence. Becoming is not only a force against something (against, primarily, the ubiquitous model of individualism and the sovereign regimes of population control), but is also a force which enables desire. Every becoming is a transformation of one multiplicity into another; every becoming radicalizes desire and creates new individuations and new affections. Becoming is a drift. But these continuous becomings - these ceaseless processes of diversification and transformation - do not fabricate an infinite series of differences. Deleuze is not a difference engineer: differences, individuations, modalities are only a starting point; they are the building materials of the world. Interestingly enough, the end of all becomings is not the proliferation of diversity and difference, but its disappearance. Becoming imperceptible is the immanent end of all becomings, it is a process of becoming everybody/everything; of eliminating the use of names to articulate and affirm that which exceeds the moment</w:t>
      </w:r>
      <w:r w:rsidRPr="008339DE">
        <w:rPr>
          <w:sz w:val="16"/>
        </w:rPr>
        <w:t xml:space="preserve">. Becoming indis- cernible, impersonal, imperceptible is Deleuze and Guattari's universal political project because in order to become imperceptible one must dismantle in oneself everything that prevents one from slipping between things and growing in the midst of things.1 This chapter2 will trace the political implications of the notion of imperceptibility in relation to migration, and its role in the emergence of new modes of cooperation and action. </w:t>
      </w:r>
      <w:r w:rsidRPr="00FF3171">
        <w:rPr>
          <w:rStyle w:val="StyleUnderline"/>
        </w:rPr>
        <w:t>Starting from a discussion of the notion of nomadism, we will argue that the practices of contemporary transnational migration force us to revise Deleuze and Guattari's split between nomadism and migration. Nomadism's dictum - 'you never arrive somewhere' - constitutes the matrix of today's migrational movements. The following section attempts to delineate various modes of nomadic becoming which govern migrants' embodied experiences: becoming animal, becoming women, becoming amphibious, becoming imperceptible.</w:t>
      </w:r>
      <w:r w:rsidRPr="008339DE">
        <w:rPr>
          <w:sz w:val="16"/>
        </w:rPr>
        <w:t xml:space="preserve"> Finally, in the last section, we discuss how these volatile transformations escape the pervasive politics of represent- ation, rights and visibility. This exodus confronts today's configurations of political sovereignty with an imperceptible force which renders the 'walls around the world' irreversibly porous. This is the autonomy of migration. Documents The arrival of Sir Alfred Mehran has been registered in many European police departments of immigration affairs, yet his figure remains an enigma. Mehran's biography seems to be emblematic of the figure of the nomad. His desire was to come to Britain on a refugee passport with his original name, Mehran Karimi Nasseri. In 1988 he flew from Brussels via Paris to London. In London he was refused entry into the country and sent back to Paris. But France also denied him entry and Brussels would not accept him back. Since then he has lived in the transit area of Terminal 1 in the Charles de Gaulle airport in Paris. When he finally got a UNHCR passport and was able to travel again and to leave the transit space, he declined to acknowledge and sign the necessary documents, arguing that the person 'Mehran Karimi Nasseri' did not exist any more. This person existed in 1988; today he is Sir Alfred Mehran. </w:t>
      </w:r>
      <w:r w:rsidRPr="00FF3171">
        <w:rPr>
          <w:rStyle w:val="StyleUnderline"/>
        </w:rPr>
        <w:t xml:space="preserve">This course of events is a perfect example of nomadic life. Nomadic motion is not about movement but is about the appropriation and remaking of space. What characterizes the nomad is not his/her passage through enclosures, borders, obstacles, doors, barriers. The nomad does not have a target, does not pass through a territory, leaves nothing behind, goes nowhere. The nomad embodies the desire to link two points together, and therefore s/he </w:t>
      </w:r>
      <w:r w:rsidRPr="00FF3171">
        <w:rPr>
          <w:rStyle w:val="StyleUnderline"/>
        </w:rPr>
        <w:lastRenderedPageBreak/>
        <w:t>always occupies the space between these two points. The enigma of Sir Alfred Mehran's arrival does not result from his multiple displacements and final capture in Paris, rather it refers to the fact that this very moment of arrival lasts 17 years.</w:t>
      </w:r>
      <w:r w:rsidRPr="008339DE">
        <w:rPr>
          <w:sz w:val="16"/>
        </w:rPr>
        <w:t xml:space="preserve"> Arrival has a longue duree, it covers almost the whole life of the nomad. One is always there and always leaving, always leaving and always manifesting in the materiality of the place where one is. You never arrive somewhere. Sir Alfred Mehran's spectacular story breaks with a classic conception of migration as a unidirectional, purposeful and intentional process. In this version of migration - typical of Fordist societies - </w:t>
      </w:r>
      <w:r w:rsidRPr="00FF3171">
        <w:rPr>
          <w:rStyle w:val="StyleUnderline"/>
        </w:rPr>
        <w:t>the migrant is the signifier of a particular conceptualization of mobility: the individualized subject laboriously calculating the cost-benefit ratio of his/her trip and then starting an itinerary with fixed points of departure and arrival. But migration is not an individual strategy, nor does it designate the option 'exit/ Rather it characterizes the continuous shifts and radical re-articulations of individual trajectories. Migration is not the evacuation of a place and the occupation of a different one, it is the making and remaking of one's own life on the scenery of the world. World-making. You cannot measure migration in changes of position or location, but only in the increase in its inclusiveness and the amplitude of its intensities. Even if migration starts sometimes as a form of dislocation (forced by poverty, patriarchal exploitation, war, famine), its target is not relocation but the active transformation of social space</w:t>
      </w:r>
      <w:r w:rsidRPr="00E4024D">
        <w:rPr>
          <w:rStyle w:val="StyleUnderline"/>
        </w:rPr>
        <w:t>. By being embedded in broader networks of intensive social change, migration challenges and reconstitutes the sovereign population control which functions solely through the identification and control of individual subjects' movements.</w:t>
      </w:r>
      <w:r w:rsidRPr="008339DE">
        <w:rPr>
          <w:sz w:val="16"/>
        </w:rPr>
        <w:t xml:space="preserve"> Sir Alfred Mehran represents, in the most radical way, a non-representable migrant: </w:t>
      </w:r>
      <w:r w:rsidRPr="00E4024D">
        <w:rPr>
          <w:rStyle w:val="StyleUnderline"/>
        </w:rPr>
        <w:t>the person who starts the journey is not the same at the end; the space which one inhabits is not the one intended; your documents do not refer to who you are or who you were, but to who you become in the journey.</w:t>
      </w:r>
      <w:r w:rsidRPr="008339DE">
        <w:rPr>
          <w:sz w:val="16"/>
        </w:rPr>
        <w:t xml:space="preserve"> Travel becomes the law; becoming becomes the code. Animals </w:t>
      </w:r>
      <w:r w:rsidRPr="00E4024D">
        <w:rPr>
          <w:rStyle w:val="StyleUnderline"/>
        </w:rPr>
        <w:t>The coyote is more than a canis latrans in the borderline of USA and Mexico. It also designates all the commercial 'guides' who are able to cross the national borders and organize illegal migrational movements and undocumented mobility.</w:t>
      </w:r>
      <w:r w:rsidRPr="008339DE">
        <w:rPr>
          <w:sz w:val="16"/>
        </w:rPr>
        <w:t xml:space="preserve"> British sailors call the elusive helpers of stowaway passengers 'sharks'; in the Greek-Albanian borders their name is 'korakia' (ravens). In Chinese they are called 'shetou' (snakehead); a person who is as cunning as a snake and knows how to use his/her agile head to find a way through difficult situations. 'Shetou' was also the name of the Chinese network blamed in public discussion for the Dover tragedy, which involved the death of 58 illegal migrants in a container lorry at Dover, UK, in the beginning of this millennium. </w:t>
      </w:r>
      <w:r w:rsidRPr="00FF3171">
        <w:rPr>
          <w:rStyle w:val="StyleUnderline"/>
        </w:rPr>
        <w:t>Official anti-trafficking discourse is bound to a sovereign conception of border politic: it individualizes border crossings and presents migrants as victims of the smuggler mafia. In the dominant public imaginary, migration is an illegally organized scandal with only two players: lawbreaking migrants and criminal smugglers. But the criminalization of border crossing, and the reduction of the complex and polymorphic networks which sustain migrational movements to a single or double actor piece, hides how the alleged sovereign humanitarian doctrine - 'save the people' - is nothing but the a violent fixation on the politics of 'save the national borders' and on the protection of the national corpus from unchecked intrusion. (We'll come to the importance of this preoccupation with borders for the constitution of national sovereignty later.) Migration is not a unilinear process of individual choice; it is not an effect of the push and pull mechanics of supply and demand for human capital. Migration adapts differently to each particular context; it changes its faces, links unexpected social actors together, absorbs and reshapes the sovereign dynamics targeting its contro</w:t>
      </w:r>
      <w:r w:rsidRPr="008339DE">
        <w:rPr>
          <w:sz w:val="16"/>
        </w:rPr>
        <w:t xml:space="preserve">l. Migration is arbitrary in its flows, de-individualized, and constitutive of new transnational spaces which exceed and neutralize sovereign politics. Migration is like big waves: migrants never appear precisely where they are expected; their arrival can never be predicted exactly, but they always come; and they have a magnitude to reorder the whole given geography of a seashore, the sandbanks, the seabed, the maritime animals and plants, the rocks, the beach. In Turkey, trafficking with illegal migrants - 'koyun ticareti' (sheep trade) - is more than an affair of corrupt policemen and has little in common with the phantom of a globally active 'smuggler' mafia. The coastal 'sheep trade' is a whole regime of mobility; a whole informal network in which hundreds of different actors participate - each one with different stakes - to make borders permeable. Migration makes material and psychosocial spaces porous - a Benjaminian porosity - where public and private </w:t>
      </w:r>
      <w:r w:rsidRPr="008339DE">
        <w:rPr>
          <w:sz w:val="16"/>
        </w:rPr>
        <w:lastRenderedPageBreak/>
        <w:t xml:space="preserve">intermingle, deviance and norm are rene- gotiated, zones of exploitation and justice are rearranged, formal and informal situations are reassembled. Rendering states' apparatuses and borders porous is the tactic migrants deploy to oppose the control of desire. Becoming animal is not simply a metaphor for transactions in the current regime of mobility, nor is it just a new academic theoret- ical trend; it is the cipher for the corporeal substratum of transnational migration in times of a global regime of forced illegality. </w:t>
      </w:r>
      <w:r w:rsidRPr="00FF3171">
        <w:rPr>
          <w:rStyle w:val="StyleUnderline"/>
        </w:rPr>
        <w:t>Consider for example the importance of becoming for the migrants' border crossing of the Straits of Gibraltar. In 1991, Spain imposed a visa requirement for migrants from the Maghreb region. Since then, migrants from Morocco, Mali, Senegal, Mauritania (etc.) gather in Tangier waiting for an appropriate moment to cross the Mediterranean. They are called 'Herraguas'(the burners); people prepared to burn their documents when they reach the Spanish Schengen border in order to avoid being returned to their country of origin. In the film Tanger, le rive des bruleurs (Morocco/France 2002), Leila Kilani follows the paths of Rhimo, Denis, and others, and documents the de-individualized dreams and practices of these burners. But the strategy of de-identification is not primarily a question of shifting identitarian ascriptions; it is a material and an embodied way of being. The strategy of de-identification is a voluntary 'de-humanization' in the sense that it breaks the relation between your name and your body. A body without a name is a non-human human being; an animal which runs.</w:t>
      </w:r>
      <w:r w:rsidRPr="008339DE">
        <w:rPr>
          <w:sz w:val="16"/>
        </w:rPr>
        <w:t xml:space="preserve"> It is non-human because it deliberately abandons the humanist regime of rights. The UNHCR convention for asylum seekers protects the rights of refugees on arrival, but not when they are on the road. And as we already know, the arrival has a longue duree: it does not concern the moment of arrival but the whole trip; perhaps a whole life. This is how migration solves the enigma of arrival. As the burners say: if you want to cross the Spanish borders, it is not sufficient to burn your papers, you have to become an animal your- self. Becoming is essential to mobility. The trope of becoming animal is only one of the options migrants employ in order to claim their freedom of movement. Becoming woman, becoming child, becoming elder, becoming soil, becoming fluid, along with becoming animal; these movements are the migrants' answer to the control of their desire.</w:t>
      </w:r>
      <w:r w:rsidRPr="00FF3171">
        <w:rPr>
          <w:rStyle w:val="StyleUnderline"/>
        </w:rPr>
        <w:t xml:space="preserve"> </w:t>
      </w:r>
      <w:r w:rsidRPr="008339DE">
        <w:rPr>
          <w:sz w:val="16"/>
        </w:rPr>
        <w:t xml:space="preserve">Consider for example the 'eternal' becomings of one Interviewee - a Chinese man on his way to France who we met in a camp in Northern Greece during fieldwork for a project on transnational migration routes. This man was forced to stay in Romania for some time, married and got a residence permit there, applied for an EU visa, was rejected, reapplied and got a 3 month work permit which brought him to Paris, after over- staying his visa for more than 12 months was caught and deported back to Romania (something which means that you are not eligible to apply for an EU visa for a period of 10 years), in Romania he changed identity and gender, married again as a woman now, applied again for an EU visa, traveled to Paris, changed identity again and married in France, where finally he got a residence permit. Sometime later this person sent us an email to say that he or she - because the grammatical conventions of this sentence oblige us to choose a pronoun - had arrived in Canada. </w:t>
      </w:r>
      <w:r w:rsidRPr="00FF3171">
        <w:rPr>
          <w:rStyle w:val="StyleUnderline"/>
        </w:rPr>
        <w:t xml:space="preserve">Becoming is the inherent impetus of migration. Migrants do not connect to each other by representing and communicating their 'true' individual identities, nor by translating for others what they posses or what they 'are'. Migrants do not need translation to communicate; migration does not need mediation. Migrants connect to each other through becomings; through their own gradual and careful, sometimes painful, transformation of their existing bodily constitution, they realize their desire by changing their bodies, voices, accents, patois, hair, color, height, gender, age, biographies. Deleuze and Guattari write: Starting from the forms one has, the subject one is, the organs one has, or the functions one fulfils, becoming is to extract particles between which one establishes the relations of movement and rest, speed and slowness that are closest to what one is becoming and through which one becomes. This is the sense in which becoming is the process of desire.3 </w:t>
      </w:r>
      <w:r w:rsidRPr="008339DE">
        <w:rPr>
          <w:sz w:val="16"/>
        </w:rPr>
        <w:t xml:space="preserve">The migrant's becoming creates the indeterminate materiality on which new connections, sociabilities, lines of flight, informal networks, and transit spaces thrive. Becoming is the way to link the enigma of arrival and the enigma of origin into a process of dis-identification. We mean dis-identification literally here, as the way to become more than one. </w:t>
      </w:r>
      <w:r w:rsidRPr="00FF3171">
        <w:rPr>
          <w:rStyle w:val="StyleUnderline"/>
        </w:rPr>
        <w:t xml:space="preserve">Migrants' material becomings do not end in new states of being, rather they constitute being as the point of departure on which new becomings can emerge. Being is similar to the transit spaces where migrants rest for a while, reconnect to their communities, call their relatives and friends, earn more money to pay the smugglers, collect powers, prepare their new becomings. Being is nothing more than becoming's intermediate stages. If being is a passport number, the migrant's becomings are countless. The multiplication of beings. Two, three; many passports! Dis-identification = being everyone. Because you </w:t>
      </w:r>
      <w:r w:rsidRPr="00FF3171">
        <w:rPr>
          <w:rStyle w:val="StyleUnderline"/>
        </w:rPr>
        <w:lastRenderedPageBreak/>
        <w:t xml:space="preserve">must be everyone in order to be everywhere. Becoming imperceptible: Deleuze and Guattari call this the cosmic formula of multiplicity. The imperceptibility of migration does not mean that migration itself is imperceptible. On the contrary, the more migrational flows become powerful and effective by materializing the practices of becoming, the more they turn out to be the most privileged targets for registration, regulation and restriction by sovereign power. Becoming impercept- ible is an immanent act of resistance because it makes it impossible to identify migration as a process which consists of fixed collective subjects. Becoming imperceptible is the most precise and effective tool migrants employ to oppose the individualizing, quantifying and representational pressures of the settled, constituted geopolitical power. </w:t>
      </w:r>
      <w:r w:rsidRPr="008339DE">
        <w:rPr>
          <w:sz w:val="16"/>
        </w:rPr>
        <w:t xml:space="preserve">The cunning of migration What kind of political subject does imperceptibility create? </w:t>
      </w:r>
      <w:r w:rsidRPr="00FF3171">
        <w:rPr>
          <w:rStyle w:val="StyleUnderline"/>
        </w:rPr>
        <w:t xml:space="preserve">How is migration woven into the emergence of a post-representational era of politics? The politics of difference of the eighties and nineties intervenes in the given conditions of representation; renegotiating and rearticulating them under the imperative that resistance is possible. Cultural studies, postcolonialism, postfeminism, queer studies, and radical democratic approaches have all revealed that the given systems of represent- ation generate the effacement of certain differences (the migrant, the queer, the subaltern, the excluded) and have thus introduced a new subversive strategy of visibility. But these times are over. The crisis of multiculturalism, the difficulties of aligning queer politics with other radical social movements, the gradual occupation of postfeminist positions by communitarian neo-essentialisms, and the obsession of radical democratic approaches with the question of formal rights: all these mark a phase of stagnation of subversive politics and suggest the absorption of such politics into a vortex of liberal thinking. </w:t>
      </w:r>
      <w:r w:rsidRPr="008339DE">
        <w:rPr>
          <w:sz w:val="16"/>
        </w:rPr>
        <w:t xml:space="preserve">This is the end of the politics of representation. And as such, the end of the strategy of visibility. Instead of visibility, we say: imperceptib- ility. Instead of being perceptible, discernible and identifiable, current migration puts on the agenda a new form of politics and a new form- ation of active political subjects whose aim is not to find a different way to become or to be a political subject, but to refuse to become a subject at all. Sir Alfred Mehran refused to use his original name when, in 1999, he was offered a UNHCR passport which - through the assimilationist logic of liberal-national administration - rendered him identifiable. Many of the migrants in the border camps do not wait for a decision regarding their asylum status, but instead escape the camps and dive into the informal networks of clandestine labor in the metro- polises. The migrants waiting in the North shores of Africa to cross the Mediterranean in floating coffins choose to burn their documents and enter a life which de facto puts them outside of any politics of visibility. Visibility, meanwhile, in the context of illegal migration, belongs to the inventory of technologies for policing migrational flows. </w:t>
      </w:r>
      <w:r w:rsidRPr="00FF3171">
        <w:rPr>
          <w:rStyle w:val="StyleUnderline"/>
        </w:rPr>
        <w:t>Migrants become stronger when they become visible by obtaining rights, but the demands of migrants and the dynamics of migration cannot be exhausted in the quest for visibility and rights. This is because both function as differentiation markers that establish a clear and visible link between the person and its origins; between the body and an iden- tity. And this is precisely not what migrants want when they are clandes- tine on the road. What they want is to become everybody by refusing to become integrated and assimilated in the logic of border administration; what they want is to become imperceptible. Migration is the moment where you prefer to say: I prefer not to be. And this is not something which characterizes contemporary migration alone. It is only because of the dominance of communitarian, humanist, and identity oriented conceptual systems in social sciences (and associated public discourses) that we are prevented from seeing migration as one of the biggest labor- atories for the subversion of liberal politics</w:t>
      </w:r>
      <w:r w:rsidRPr="008339DE">
        <w:rPr>
          <w:sz w:val="16"/>
        </w:rPr>
        <w:t xml:space="preserve">. Even the emblematic Ellis Island should not be considered the melting pot out of which the new American citizen was born, but rather the space where endless stories of virtual identities were invented in order to make one eligible to cross the 'golden door' into America. The whole vision of an America 'welcoming everyone from abroad' - an America which is 'open to difference' - is based on an infinite series of inventions and lies. Valuable lies, nice lies, vital lies. America's history and the cunning of migration. Migration is the sister of transience; it produces mixed forms, menwomen, new species. The cunning of migration breeds animals. How to register them in the clean and pedantic archives of the administration? How to respond to a sheep or a raven when it has the courage to encounter the gaze of the bureaucrat in a police department of immigration affairs and demand asylum? How to register all these liminal animals? How to </w:t>
      </w:r>
      <w:r w:rsidRPr="008339DE">
        <w:rPr>
          <w:sz w:val="16"/>
        </w:rPr>
        <w:lastRenderedPageBreak/>
        <w:t xml:space="preserve">record all these paperless subjects? How to codify all these continuous becomings? Impossible. </w:t>
      </w:r>
      <w:r w:rsidRPr="00FF3171">
        <w:rPr>
          <w:rStyle w:val="StyleUnderline"/>
        </w:rPr>
        <w:t>Of course migration's weapon of imperceptibility does not always succeed. It is a route without guarantees. It involves pain, suffering, hunger, desperation, torture; even the death of thousands of people in the sunken ships into the oceans of earth. But in this text we are deliberately not presenting migration once again as a humanit- arian scandal, nor as a deviation from the evolutionist human rights doctrine of Western modernity. Is it a coincidence that the wide- spread images of migration in the media and public discourses - which depict it as a series of monstrous tragedies - supply equally the ubiquitous humanitarian discourses as well as the xenophobic and racist politics of forced repatriation? This text attempts to change the perspective and to approach migration as a constitutive moment of the current social transformation; a moment which is primarily sustained by cooperation, solidarity, the use of broad networks and resources, shared knowledge, collective anticipation. This understanding of migration puts the issue of citizenship directly on the agenda of post-national polity (consider three different demands of migrational movements related to an enlargement of traditional conceptualizations of citizenship: cultural citizenship, flexible citizenship and universal citizenship).</w:t>
      </w:r>
    </w:p>
    <w:p xmlns:wp14="http://schemas.microsoft.com/office/word/2010/wordml" w:rsidR="00E45F43" w:rsidP="00E45F43" w:rsidRDefault="00E45F43" w14:paraId="5F96A722" wp14:textId="77777777"/>
    <w:p xmlns:wp14="http://schemas.microsoft.com/office/word/2010/wordml" w:rsidR="00E45F43" w:rsidP="00577678" w:rsidRDefault="00E45F43" w14:paraId="3B5729B4" wp14:textId="77777777">
      <w:pPr>
        <w:pStyle w:val="Heading2"/>
      </w:pPr>
      <w:r>
        <w:lastRenderedPageBreak/>
        <w:t>AFF Answers</w:t>
      </w:r>
    </w:p>
    <w:p xmlns:wp14="http://schemas.microsoft.com/office/word/2010/wordml" w:rsidR="00E45F43" w:rsidP="00E45F43" w:rsidRDefault="00E45F43" w14:paraId="1D939B33" wp14:textId="77777777">
      <w:pPr>
        <w:pStyle w:val="Heading3"/>
      </w:pPr>
      <w:r>
        <w:lastRenderedPageBreak/>
        <w:t>A2: You aren’t the migrant/False equivalence</w:t>
      </w:r>
    </w:p>
    <w:p xmlns:wp14="http://schemas.microsoft.com/office/word/2010/wordml" w:rsidRPr="008074C0" w:rsidR="00E45F43" w:rsidP="00E45F43" w:rsidRDefault="00E45F43" w14:paraId="60765ABC" wp14:textId="77777777">
      <w:pPr>
        <w:pStyle w:val="Heading4"/>
      </w:pPr>
      <w:r>
        <w:t>It is the striation of space that makes both the border and the migrant – people moving across what the state has delimited as the border is imminently a nomadic movement.  To figure the movement of the nomad as that of the migrant is to cartographically sediment movement and to normalize the distribution of enclosure – instead we remember those who move across the border as the nomad who smooths the striated space of the border, moving as people will--without guilt--in the intermezzo of the world (in plain English, they’re only migrants to you because you don’t think they are supposed to be here)</w:t>
      </w:r>
    </w:p>
    <w:p xmlns:wp14="http://schemas.microsoft.com/office/word/2010/wordml" w:rsidRPr="00490D28" w:rsidR="00E45F43" w:rsidP="00E45F43" w:rsidRDefault="00E45F43" w14:paraId="077E3ECC" wp14:textId="77777777">
      <w:r w:rsidRPr="00490D28">
        <w:rPr>
          <w:rStyle w:val="Style13ptBold"/>
        </w:rPr>
        <w:t>Deleuze and Guattari 80</w:t>
      </w:r>
      <w:r w:rsidRPr="00490D28">
        <w:t xml:space="preserve"> [“1227: TREATISE ON NOMADOLOGY  - THE WAR MACHINE.” A Thousand Plateaus, by Gilles Deleuze and FeÌlix Guattari, Les Editions de Minuit, 1980, pp. 380–382.]//KI</w:t>
      </w:r>
    </w:p>
    <w:p xmlns:wp14="http://schemas.microsoft.com/office/word/2010/wordml" w:rsidRPr="00024E47" w:rsidR="00E45F43" w:rsidP="00E45F43" w:rsidRDefault="00E45F43" w14:paraId="6576A30D" wp14:textId="77777777">
      <w:pPr>
        <w:rPr>
          <w:rFonts w:eastAsia="Times New Roman" w:cs="Times New Roman"/>
          <w:sz w:val="12"/>
          <w:lang w:eastAsia="ja-JP"/>
        </w:rPr>
      </w:pPr>
      <w:r w:rsidRPr="00490D28">
        <w:rPr>
          <w:rStyle w:val="StyleUnderline"/>
        </w:rPr>
        <w:t>The nomad has a territory; he follows customary paths;</w:t>
      </w:r>
      <w:r w:rsidRPr="00024E47">
        <w:rPr>
          <w:rFonts w:eastAsia="Times New Roman" w:cs="Times New Roman"/>
          <w:sz w:val="12"/>
          <w:lang w:eastAsia="ja-JP"/>
        </w:rPr>
        <w:t xml:space="preserve"> he goes from one point to another; he is not ignorant of points (water points, dwelling points, assembly points, etc.). </w:t>
      </w:r>
      <w:r w:rsidRPr="00490D28">
        <w:rPr>
          <w:rStyle w:val="StyleUnderline"/>
        </w:rPr>
        <w:t>But</w:t>
      </w:r>
      <w:r w:rsidRPr="00024E47">
        <w:rPr>
          <w:rFonts w:eastAsia="Times New Roman" w:cs="Times New Roman"/>
          <w:sz w:val="12"/>
          <w:lang w:eastAsia="ja-JP"/>
        </w:rPr>
        <w:t xml:space="preserve"> the question is what in nomad life is a principle and what is only a consequence. To begin with, </w:t>
      </w:r>
      <w:r w:rsidRPr="00490D28">
        <w:rPr>
          <w:rStyle w:val="StyleUnderline"/>
        </w:rPr>
        <w:t>although the points determine paths, they are strictly subordinated to the paths they determine, the reverse of what happens with the sedentary.</w:t>
      </w:r>
      <w:r w:rsidRPr="00024E47">
        <w:rPr>
          <w:rFonts w:eastAsia="Times New Roman" w:cs="Times New Roman"/>
          <w:sz w:val="12"/>
          <w:lang w:eastAsia="ja-JP"/>
        </w:rPr>
        <w:t xml:space="preserve"> The water point is reached only in order to be left behind; </w:t>
      </w:r>
      <w:r w:rsidRPr="00490D28">
        <w:rPr>
          <w:rStyle w:val="StyleUnderline"/>
        </w:rPr>
        <w:t>every point is a relay and exists only as a relay.</w:t>
      </w:r>
      <w:r w:rsidRPr="00024E47">
        <w:rPr>
          <w:rFonts w:eastAsia="Times New Roman" w:cs="Times New Roman"/>
          <w:sz w:val="12"/>
          <w:lang w:eastAsia="ja-JP"/>
        </w:rPr>
        <w:t xml:space="preserve"> A path is always between two points, but the in-between has taken on all the consistency and enjoys both an autonomy and a direction of its own. </w:t>
      </w:r>
      <w:r w:rsidRPr="0090035C">
        <w:rPr>
          <w:rFonts w:eastAsia="Times New Roman" w:cs="Times New Roman"/>
          <w:b/>
          <w:u w:val="single"/>
          <w:lang w:eastAsia="ja-JP"/>
        </w:rPr>
        <w:t>The life of the nomad is the intermezzo</w:t>
      </w:r>
      <w:r w:rsidRPr="00024E47">
        <w:rPr>
          <w:rFonts w:eastAsia="Times New Roman" w:cs="Times New Roman"/>
          <w:sz w:val="12"/>
          <w:lang w:eastAsia="ja-JP"/>
        </w:rPr>
        <w:t xml:space="preserve">. Even the elements of his dwelling are conceived in terms of the trajectory that is forever mobilizing them.49 The </w:t>
      </w:r>
      <w:r w:rsidRPr="00490D28">
        <w:rPr>
          <w:rStyle w:val="StyleUnderline"/>
        </w:rPr>
        <w:t>nomad is not at all the same as the migrant; for the migrant goes principally from one point to another, even if the second point is uncertain, unforeseen, or not well localized. But the nomad goes from point to point only as a consequence and as a factual necessity</w:t>
      </w:r>
      <w:r w:rsidRPr="00024E47">
        <w:rPr>
          <w:rFonts w:eastAsia="Times New Roman" w:cs="Times New Roman"/>
          <w:sz w:val="12"/>
          <w:lang w:eastAsia="ja-JP"/>
        </w:rPr>
        <w:t xml:space="preserve">; in principle, points for him are relays along a trajectory. </w:t>
      </w:r>
      <w:r w:rsidRPr="00490D28">
        <w:rPr>
          <w:rStyle w:val="StyleUnderline"/>
        </w:rPr>
        <w:t>Nomads and migrants can mix in many ways, or form a common aggregate</w:t>
      </w:r>
      <w:r w:rsidRPr="00024E47">
        <w:rPr>
          <w:rFonts w:eastAsia="Times New Roman" w:cs="Times New Roman"/>
          <w:sz w:val="12"/>
          <w:lang w:eastAsia="ja-JP"/>
        </w:rPr>
        <w:t xml:space="preserve">; their causes and conditions are no less distinct for that (for example, those who joined Mohammed at Medina had a choice between a nomadic or bedouin pledge, and a pledge of hegira or emigration).50 Second, even though the </w:t>
      </w:r>
      <w:r w:rsidRPr="00490D28">
        <w:rPr>
          <w:rStyle w:val="StyleUnderline"/>
        </w:rPr>
        <w:t>nomadic trajectory</w:t>
      </w:r>
      <w:r w:rsidRPr="00024E47">
        <w:rPr>
          <w:rFonts w:eastAsia="Times New Roman" w:cs="Times New Roman"/>
          <w:sz w:val="12"/>
          <w:lang w:eastAsia="ja-JP"/>
        </w:rPr>
        <w:t xml:space="preserve"> may follow trails or customary routes, it </w:t>
      </w:r>
      <w:r w:rsidRPr="00490D28">
        <w:rPr>
          <w:rStyle w:val="StyleUnderline"/>
        </w:rPr>
        <w:t>does not fulfill the function of the sedentary road, which is to parcel out a closed space to people</w:t>
      </w:r>
      <w:r w:rsidRPr="00024E47">
        <w:rPr>
          <w:rFonts w:eastAsia="Times New Roman" w:cs="Times New Roman"/>
          <w:sz w:val="12"/>
          <w:lang w:eastAsia="ja-JP"/>
        </w:rPr>
        <w:t xml:space="preserve">, assigning each person a share and regulating the communication between shares. The </w:t>
      </w:r>
      <w:r w:rsidRPr="00490D28">
        <w:rPr>
          <w:rStyle w:val="StyleUnderline"/>
        </w:rPr>
        <w:t>nomadic trajectory does the opposite: it distributes people (or animals) in an open space, one that is indefinite</w:t>
      </w:r>
      <w:r w:rsidRPr="00024E47">
        <w:rPr>
          <w:sz w:val="12"/>
        </w:rPr>
        <w:t xml:space="preserve"> and noncommunicating</w:t>
      </w:r>
      <w:r w:rsidRPr="00024E47">
        <w:rPr>
          <w:rFonts w:eastAsia="Times New Roman" w:cs="Times New Roman"/>
          <w:sz w:val="12"/>
          <w:lang w:eastAsia="ja-JP"/>
        </w:rPr>
        <w:t xml:space="preserve">. </w:t>
      </w:r>
      <w:r w:rsidRPr="008074C0">
        <w:rPr>
          <w:rStyle w:val="StyleUnderline"/>
        </w:rPr>
        <w:t>The nomos</w:t>
      </w:r>
      <w:r w:rsidRPr="00024E47">
        <w:rPr>
          <w:rFonts w:eastAsia="Times New Roman" w:cs="Times New Roman"/>
          <w:sz w:val="12"/>
          <w:lang w:eastAsia="ja-JP"/>
        </w:rPr>
        <w:t xml:space="preserve"> came to designate the law, but that was originally because it was distribution, a mode of distribution. It </w:t>
      </w:r>
      <w:r w:rsidRPr="008074C0">
        <w:rPr>
          <w:rStyle w:val="StyleUnderline"/>
        </w:rPr>
        <w:t>is a very special kind of distribution</w:t>
      </w:r>
      <w:r w:rsidRPr="00024E47">
        <w:rPr>
          <w:rFonts w:eastAsia="Times New Roman" w:cs="Times New Roman"/>
          <w:sz w:val="12"/>
          <w:lang w:eastAsia="ja-JP"/>
        </w:rPr>
        <w:t xml:space="preserve">, one without division into shares, </w:t>
      </w:r>
      <w:r w:rsidRPr="008074C0">
        <w:rPr>
          <w:rStyle w:val="StyleUnderline"/>
        </w:rPr>
        <w:t>in a space without borders or enclosure.</w:t>
      </w:r>
      <w:r w:rsidRPr="00024E47">
        <w:rPr>
          <w:rFonts w:eastAsia="Times New Roman" w:cs="Times New Roman"/>
          <w:sz w:val="12"/>
          <w:lang w:eastAsia="ja-JP"/>
        </w:rPr>
        <w:t xml:space="preserve"> The nomos is the consistency of a fuzzy aggregate: </w:t>
      </w:r>
      <w:r w:rsidRPr="008074C0">
        <w:rPr>
          <w:rStyle w:val="StyleUnderline"/>
        </w:rPr>
        <w:t>it is in this sense that it stands in opposition to the law or the polls</w:t>
      </w:r>
      <w:r w:rsidRPr="00024E47">
        <w:rPr>
          <w:rFonts w:eastAsia="Times New Roman" w:cs="Times New Roman"/>
          <w:sz w:val="12"/>
          <w:lang w:eastAsia="ja-JP"/>
        </w:rPr>
        <w:t>, as the backcountry, a mountainside, or the vague expanse around a city ("either nomos or polis").51 Therefore, and this is the</w:t>
      </w:r>
      <w:r w:rsidRPr="00024E47">
        <w:rPr>
          <w:rFonts w:eastAsia="Times New Roman" w:cs="Times New Roman"/>
          <w:sz w:val="12"/>
        </w:rPr>
        <w:t xml:space="preserve"> </w:t>
      </w:r>
      <w:r w:rsidRPr="00024E47">
        <w:rPr>
          <w:rFonts w:eastAsia="Times New Roman" w:cs="Times New Roman"/>
          <w:sz w:val="12"/>
          <w:lang w:eastAsia="ja-JP"/>
        </w:rPr>
        <w:t xml:space="preserve">third point, </w:t>
      </w:r>
      <w:r w:rsidRPr="00024E47">
        <w:rPr>
          <w:sz w:val="12"/>
        </w:rPr>
        <w:t xml:space="preserve">there is a significant difference between the spaces: </w:t>
      </w:r>
      <w:r w:rsidRPr="008074C0">
        <w:rPr>
          <w:rStyle w:val="StyleUnderline"/>
        </w:rPr>
        <w:t>sedentary space is striated, by walls, enclosures, and roads between enclosures, while nomad space is smooth</w:t>
      </w:r>
      <w:r w:rsidRPr="00024E47">
        <w:rPr>
          <w:rFonts w:eastAsia="Times New Roman" w:cs="Times New Roman"/>
          <w:sz w:val="12"/>
          <w:lang w:eastAsia="ja-JP"/>
        </w:rPr>
        <w:t xml:space="preserve">, marked only by "traits" that are effaced and displaced with the trajectory. Even the lamellae of the desert slide over each other, producing an inimitable sound. </w:t>
      </w:r>
      <w:r w:rsidRPr="008074C0">
        <w:rPr>
          <w:rStyle w:val="StyleUnderline"/>
        </w:rPr>
        <w:t>The nomad distributes himself in a smooth space; he occupies, inhabits, holds that space; that is his territorial principle.</w:t>
      </w:r>
      <w:r w:rsidRPr="00024E47">
        <w:rPr>
          <w:rFonts w:eastAsia="Times New Roman" w:cs="Times New Roman"/>
          <w:sz w:val="12"/>
          <w:lang w:eastAsia="ja-JP"/>
        </w:rPr>
        <w:t xml:space="preserve"> It is therefore false to define the nomad by movement. Toynbee is profoundly right to suggest that the nomad is on the contrary he who does not move. Whereas the migrant leaves behind a milieu that has become amorphous or hostile, </w:t>
      </w:r>
      <w:r w:rsidRPr="008074C0">
        <w:rPr>
          <w:rStyle w:val="StyleUnderline"/>
        </w:rPr>
        <w:t>the nomad is one who does not depart</w:t>
      </w:r>
      <w:r w:rsidRPr="00024E47">
        <w:rPr>
          <w:rFonts w:eastAsia="Times New Roman" w:cs="Times New Roman"/>
          <w:sz w:val="12"/>
          <w:lang w:eastAsia="ja-JP"/>
        </w:rPr>
        <w:t xml:space="preserve">, does not want to depart, </w:t>
      </w:r>
      <w:r w:rsidRPr="008074C0">
        <w:rPr>
          <w:rStyle w:val="StyleUnderline"/>
        </w:rPr>
        <w:t>who clings to the smooth space left</w:t>
      </w:r>
      <w:r w:rsidRPr="00024E47">
        <w:rPr>
          <w:rFonts w:eastAsia="Times New Roman" w:cs="Times New Roman"/>
          <w:sz w:val="12"/>
          <w:lang w:eastAsia="ja-JP"/>
        </w:rPr>
        <w:t xml:space="preserve"> by the receding forest, where the steppe or the desert advances, </w:t>
      </w:r>
      <w:r w:rsidRPr="008074C0">
        <w:rPr>
          <w:rStyle w:val="StyleUnderline"/>
        </w:rPr>
        <w:t>and who invents nomadism as a response to this challenge.</w:t>
      </w:r>
      <w:r w:rsidRPr="00024E47">
        <w:rPr>
          <w:rFonts w:eastAsia="Times New Roman" w:cs="Times New Roman"/>
          <w:sz w:val="12"/>
          <w:lang w:eastAsia="ja-JP"/>
        </w:rPr>
        <w:t xml:space="preserve">52 Of course, </w:t>
      </w:r>
      <w:r w:rsidRPr="008074C0">
        <w:rPr>
          <w:rStyle w:val="StyleUnderline"/>
        </w:rPr>
        <w:t>the nomad moves, but while seated, and he is only seated while moving</w:t>
      </w:r>
      <w:r w:rsidRPr="00024E47">
        <w:rPr>
          <w:rFonts w:eastAsia="Times New Roman" w:cs="Times New Roman"/>
          <w:sz w:val="12"/>
          <w:lang w:eastAsia="ja-JP"/>
        </w:rPr>
        <w:t xml:space="preserve"> (the Bedouin galloping, knees on the saddle, sitting on the soles of his upturned feet, "a feat of balance"). The </w:t>
      </w:r>
      <w:r w:rsidRPr="008074C0">
        <w:rPr>
          <w:rStyle w:val="StyleUnderline"/>
        </w:rPr>
        <w:t>nomad knows how to wait, he has infinite patience. Immobility and speed, catatonia and rush, a "stationary process," station as process</w:t>
      </w:r>
      <w:r w:rsidRPr="00024E47">
        <w:rPr>
          <w:rFonts w:eastAsia="Times New Roman" w:cs="Times New Roman"/>
          <w:sz w:val="12"/>
          <w:lang w:eastAsia="ja-JP"/>
        </w:rPr>
        <w:t xml:space="preserve">—these traits of Kleist's are eminently those of the nomad. It is thus necessary to make a distinction between speed and movement: a movement may be very fast, but that does not give it speed; a speed may be very slow, or even immobile, yet it is still speed. </w:t>
      </w:r>
      <w:r w:rsidRPr="008074C0">
        <w:rPr>
          <w:rStyle w:val="StyleUnderline"/>
        </w:rPr>
        <w:t>Movement is extensive; speed is intensive.</w:t>
      </w:r>
      <w:r w:rsidRPr="00024E47">
        <w:rPr>
          <w:sz w:val="12"/>
        </w:rPr>
        <w:t xml:space="preserve"> </w:t>
      </w:r>
      <w:r w:rsidRPr="00024E47">
        <w:rPr>
          <w:rFonts w:eastAsia="Times New Roman" w:cs="Times New Roman"/>
          <w:sz w:val="12"/>
          <w:lang w:eastAsia="ja-JP"/>
        </w:rPr>
        <w:t xml:space="preserve">Movement designates the relative character of a body </w:t>
      </w:r>
      <w:r w:rsidRPr="00024E47">
        <w:rPr>
          <w:rFonts w:eastAsia="Times New Roman" w:cs="Times New Roman"/>
          <w:sz w:val="12"/>
          <w:lang w:eastAsia="ja-JP"/>
        </w:rPr>
        <w:lastRenderedPageBreak/>
        <w:t xml:space="preserve">considered as "one," and which goes from point to point; speed, on the contrary, constitutes the absolute character of a body whose irreducible parts (atoms) occupy or fill a smooth space in the manner of a vortex, with the possibility of springing up at any point. (It is therefore not surprising that reference has been made to spiritual voyages effected without relative movement, but in intensity, in one place: these are part of nomadism.) In short, we will say by convention that </w:t>
      </w:r>
      <w:r w:rsidRPr="008074C0">
        <w:rPr>
          <w:rStyle w:val="StyleUnderline"/>
        </w:rPr>
        <w:t>only nomads have absolute movement, in other words, speed; vortical or swirling movement is an essential feature of their war machine.</w:t>
      </w:r>
      <w:r w:rsidRPr="00024E47">
        <w:rPr>
          <w:rFonts w:eastAsia="Times New Roman" w:cs="Times New Roman"/>
          <w:sz w:val="12"/>
          <w:lang w:eastAsia="ja-JP"/>
        </w:rPr>
        <w:t xml:space="preserve"> </w:t>
      </w:r>
      <w:r w:rsidRPr="008074C0">
        <w:rPr>
          <w:rStyle w:val="StyleUnderline"/>
        </w:rPr>
        <w:t>It is in this sense that nomads have no points, paths, or land, even though they do by all appearances. If the nomad can be called the Deterritorialized par excellence, it is precisely because there is no reterritorialization afterward as with the migrant</w:t>
      </w:r>
      <w:r w:rsidRPr="00024E47">
        <w:rPr>
          <w:rFonts w:eastAsia="Times New Roman" w:cs="Times New Roman"/>
          <w:sz w:val="12"/>
          <w:lang w:eastAsia="ja-JP"/>
        </w:rPr>
        <w:t xml:space="preserve">, or upon something else as with the sedentary (the sedentary's relation with the earth is mediatized by something else, a property regime, a State apparatus). </w:t>
      </w:r>
      <w:r w:rsidRPr="008074C0">
        <w:rPr>
          <w:rStyle w:val="StyleUnderline"/>
        </w:rPr>
        <w:t>With the nomad</w:t>
      </w:r>
      <w:r w:rsidRPr="00024E47">
        <w:rPr>
          <w:rFonts w:eastAsia="Times New Roman" w:cs="Times New Roman"/>
          <w:sz w:val="12"/>
          <w:lang w:eastAsia="ja-JP"/>
        </w:rPr>
        <w:t xml:space="preserve">, on the contrary, </w:t>
      </w:r>
      <w:r w:rsidRPr="008074C0">
        <w:rPr>
          <w:rStyle w:val="StyleUnderline"/>
        </w:rPr>
        <w:t>it is deterritorialization that constitutes the relation to the earth, to such a degree that the nomad reterritorializes on deterritorialization itself. It is the earth that deterritorializes itself</w:t>
      </w:r>
      <w:r w:rsidRPr="00024E47">
        <w:rPr>
          <w:rFonts w:eastAsia="Times New Roman" w:cs="Times New Roman"/>
          <w:sz w:val="12"/>
          <w:lang w:eastAsia="ja-JP"/>
        </w:rPr>
        <w:t xml:space="preserve">, in a way </w:t>
      </w:r>
      <w:r w:rsidRPr="008074C0">
        <w:rPr>
          <w:rStyle w:val="StyleUnderline"/>
        </w:rPr>
        <w:t>that provides the nomad with a territory. The land ceases to be land, tending to become simply</w:t>
      </w:r>
      <w:r w:rsidRPr="00024E47">
        <w:rPr>
          <w:rFonts w:eastAsia="Times New Roman" w:cs="Times New Roman"/>
          <w:sz w:val="12"/>
          <w:lang w:eastAsia="ja-JP"/>
        </w:rPr>
        <w:t xml:space="preserve"> ground (sol) or </w:t>
      </w:r>
      <w:r w:rsidRPr="008074C0">
        <w:rPr>
          <w:rStyle w:val="StyleUnderline"/>
        </w:rPr>
        <w:t>support. The earth does not become deterritorialized in its global and relative movement, but at specific locations, at the spot where the forest recedes, or where the steppe and the desert advance.</w:t>
      </w:r>
      <w:r w:rsidRPr="00024E47">
        <w:rPr>
          <w:rFonts w:eastAsia="Times New Roman" w:cs="Times New Roman"/>
          <w:sz w:val="12"/>
          <w:lang w:eastAsia="ja-JP"/>
        </w:rPr>
        <w:t xml:space="preserve"> Hubac is right to say that nomadism is explainable less by universal changes in climate (which relate instead to migrations) as by the "divagation of local climates."53 </w:t>
      </w:r>
      <w:r w:rsidRPr="008074C0">
        <w:rPr>
          <w:rStyle w:val="StyleUnderline"/>
        </w:rPr>
        <w:t>The nomads are</w:t>
      </w:r>
      <w:r w:rsidRPr="00024E47">
        <w:rPr>
          <w:rFonts w:eastAsia="Times New Roman" w:cs="Times New Roman"/>
          <w:sz w:val="12"/>
          <w:lang w:eastAsia="ja-JP"/>
        </w:rPr>
        <w:t xml:space="preserve"> there, on the land, </w:t>
      </w:r>
      <w:r w:rsidRPr="008074C0">
        <w:rPr>
          <w:rStyle w:val="StyleUnderline"/>
        </w:rPr>
        <w:t>wherever there forms a smooth space that gnaws, and tends to grow, in all directions. The nomads inhabit these places</w:t>
      </w:r>
      <w:r w:rsidRPr="00024E47">
        <w:rPr>
          <w:rFonts w:eastAsia="Times New Roman" w:cs="Times New Roman"/>
          <w:sz w:val="12"/>
          <w:lang w:eastAsia="ja-JP"/>
        </w:rPr>
        <w:t xml:space="preserve">; they remain in them, </w:t>
      </w:r>
      <w:r w:rsidRPr="008074C0">
        <w:rPr>
          <w:rStyle w:val="StyleUnderline"/>
        </w:rPr>
        <w:t>and they themselves make them grow, for it has been established that the nomads make the desert no less than they are made by it. They are vectors of deterritorialization.</w:t>
      </w:r>
      <w:r w:rsidRPr="00024E47">
        <w:rPr>
          <w:rFonts w:eastAsia="Times New Roman" w:cs="Times New Roman"/>
          <w:sz w:val="12"/>
          <w:lang w:eastAsia="ja-JP"/>
        </w:rPr>
        <w:t xml:space="preserve"> They add desert to desert, steppe to steppe, by a series of local operations whose orientation and direction endlessly vary.54 The sand desert has not only oases, which are like fixed points, but also rhizomatic vegetation that is temporary and shifts location according to local rains, bringing changes in the direction of the crossings.55 The same terms are used to describe ice deserts as sand deserts: there is no line separating earth and sky; there is no intermediate distance, no perspective or contour; visibility is limited; and yet </w:t>
      </w:r>
      <w:r w:rsidRPr="008074C0">
        <w:rPr>
          <w:rStyle w:val="StyleUnderline"/>
        </w:rPr>
        <w:t>there is an extraordinarily fine topology that relies not on points or objects but rather on haecceities, on sets of relations</w:t>
      </w:r>
      <w:r w:rsidRPr="00024E47">
        <w:rPr>
          <w:rFonts w:eastAsia="Times New Roman" w:cs="Times New Roman"/>
          <w:sz w:val="12"/>
          <w:lang w:eastAsia="ja-JP"/>
        </w:rPr>
        <w:t xml:space="preserve"> (winds, undulations of snow or sand, the song of the sand or the creaking of ice, the tactile qualities of both). </w:t>
      </w:r>
      <w:r w:rsidRPr="008074C0">
        <w:rPr>
          <w:rStyle w:val="StyleUnderline"/>
        </w:rPr>
        <w:t>It is a tactile space, or rather "haptic," a sonorous much more than a visual space.</w:t>
      </w:r>
      <w:r w:rsidRPr="00024E47">
        <w:rPr>
          <w:rFonts w:eastAsia="Times New Roman" w:cs="Times New Roman"/>
          <w:sz w:val="12"/>
          <w:lang w:eastAsia="ja-JP"/>
        </w:rPr>
        <w:t xml:space="preserve">56 </w:t>
      </w:r>
      <w:r w:rsidRPr="008074C0">
        <w:rPr>
          <w:rStyle w:val="StyleUnderline"/>
        </w:rPr>
        <w:t>The variability, the polyvocality of directions, is an essential feature of smooth spaces of the rhizome type, and it alters their cartography. The nomad, nomad space, is localized and not delimited. What is both limited and limiting is striated space</w:t>
      </w:r>
      <w:r w:rsidRPr="00024E47">
        <w:rPr>
          <w:rFonts w:eastAsia="Times New Roman" w:cs="Times New Roman"/>
          <w:sz w:val="12"/>
          <w:lang w:eastAsia="ja-JP"/>
        </w:rPr>
        <w:t xml:space="preserve">, the relative global: it is limited in its parts, which are assigned constant directions, are oriented in relation to one another, </w:t>
      </w:r>
      <w:r w:rsidRPr="008074C0">
        <w:rPr>
          <w:rStyle w:val="StyleUnderline"/>
        </w:rPr>
        <w:t>divisible by boundaries</w:t>
      </w:r>
      <w:r w:rsidRPr="00024E47">
        <w:rPr>
          <w:rFonts w:eastAsia="Times New Roman" w:cs="Times New Roman"/>
          <w:sz w:val="12"/>
          <w:lang w:eastAsia="ja-JP"/>
        </w:rPr>
        <w:t>, and can interlink; what is limiting {limes or wall, and no longer boundary) is this aggregate in relation to the smooth spaces it "contains," whose growth it slows or prevents, and which it restricts or places outside. Even when the nomad sustains its effects, he does not belong to this relative global, where one passes from one point to another, from one region to another. Rather, he is in a local absolute, an absolute that is manifested locally, and engendered in a series of local operations of varying orientations: desert, steppe, ice, sea.</w:t>
      </w:r>
    </w:p>
    <w:p xmlns:wp14="http://schemas.microsoft.com/office/word/2010/wordml" w:rsidR="00E45F43" w:rsidP="00E45F43" w:rsidRDefault="00E45F43" w14:paraId="162046F9" wp14:textId="77777777">
      <w:pPr>
        <w:pStyle w:val="Heading3"/>
      </w:pPr>
      <w:r>
        <w:lastRenderedPageBreak/>
        <w:t>A2: Storytelling bad</w:t>
      </w:r>
    </w:p>
    <w:p xmlns:wp14="http://schemas.microsoft.com/office/word/2010/wordml" w:rsidRPr="00AC7015" w:rsidR="00E45F43" w:rsidP="00E45F43" w:rsidRDefault="00E45F43" w14:paraId="74B1B25A" wp14:textId="77777777">
      <w:pPr>
        <w:pStyle w:val="Heading4"/>
      </w:pPr>
      <w:r>
        <w:t>The devaluation of life begins as death is mobilized for the state of exception –our method of schizoid remembrance refuses to generalize life and death at the border in favor of a storytelling that enables us to see another’s death as inseparable from our own responsibility</w:t>
      </w:r>
    </w:p>
    <w:p xmlns:wp14="http://schemas.microsoft.com/office/word/2010/wordml" w:rsidRPr="001C4446" w:rsidR="00E45F43" w:rsidP="00E45F43" w:rsidRDefault="00E45F43" w14:paraId="625EBF2E" wp14:textId="77777777">
      <w:pPr>
        <w:rPr>
          <w:sz w:val="14"/>
        </w:rPr>
      </w:pPr>
      <w:r w:rsidRPr="00BF00B4">
        <w:rPr>
          <w:rStyle w:val="Style13ptBold"/>
        </w:rPr>
        <w:t>Johannes 15</w:t>
      </w:r>
      <w:r w:rsidRPr="001C4446">
        <w:rPr>
          <w:sz w:val="14"/>
        </w:rPr>
        <w:t xml:space="preserve"> (Daniela, originally from Chile, obtained her Ph.D from The University of Arizona on Spanish and Border Studies. She teaches classes on Latinos and Latin American Studies, Women's and Gender Studies, and Spanish; her research focuses on the dynamic relationship between individually motivated actions, modes of security and material culture as it takes place in U.S-Mexico Border, Desert and Death: Biopolitical Landscapes and Affect in US-Mexico Border Representations, 93-99, The University of Arizona, 2015, </w:t>
      </w:r>
      <w:hyperlink w:history="1" r:id="rId127">
        <w:r w:rsidRPr="001C4446">
          <w:rPr>
            <w:rStyle w:val="Hyperlink"/>
            <w:sz w:val="14"/>
          </w:rPr>
          <w:t>https://repository.arizona.edu/bitstream/handle/10150/581327/azu_etd_14061_sip1_m.pdf?sequence=1</w:t>
        </w:r>
      </w:hyperlink>
      <w:r w:rsidRPr="001C4446">
        <w:rPr>
          <w:sz w:val="14"/>
        </w:rPr>
        <w:t>) //jd</w:t>
      </w:r>
    </w:p>
    <w:p xmlns:wp14="http://schemas.microsoft.com/office/word/2010/wordml" w:rsidRPr="00AC7015" w:rsidR="00E45F43" w:rsidP="00E45F43" w:rsidRDefault="00E45F43" w14:paraId="065DE06A" wp14:textId="77777777">
      <w:pPr>
        <w:rPr>
          <w:rStyle w:val="StyleUnderline"/>
        </w:rPr>
      </w:pPr>
      <w:r w:rsidRPr="00AD7E8B">
        <w:rPr>
          <w:sz w:val="10"/>
        </w:rPr>
        <w:t xml:space="preserve">The Affect of Death “Something remains unactualized, inseparable from but unassimilable to any particular emotional expression....The autonomy of affect is its participation in the virtual.” (Massumi, 2015:106) Death in Bolaño’s 2666 is treated as the irrevocable, graphic aftermath of border evil. </w:t>
      </w:r>
      <w:r w:rsidRPr="00AC7015">
        <w:rPr>
          <w:rStyle w:val="StyleUnderline"/>
        </w:rPr>
        <w:t>The rendering of mass death in a graphic, bodily presentation of facts, functions as the transition (transmission) from the virtual to the material</w:t>
      </w:r>
      <w:r w:rsidRPr="00AD7E8B">
        <w:rPr>
          <w:sz w:val="10"/>
        </w:rPr>
        <w:t xml:space="preserve"> reality of literature. In this sense, the book as the material act of reading assimilates the reader as its virtual counterpart. In the context of </w:t>
      </w:r>
      <w:r w:rsidRPr="00050E81">
        <w:rPr>
          <w:rStyle w:val="StyleUnderline"/>
        </w:rPr>
        <w:t>border affects</w:t>
      </w:r>
      <w:r w:rsidRPr="00AD7E8B">
        <w:rPr>
          <w:sz w:val="10"/>
        </w:rPr>
        <w:t xml:space="preserve">, 2666 </w:t>
      </w:r>
      <w:r w:rsidRPr="00050E81">
        <w:rPr>
          <w:rStyle w:val="StyleUnderline"/>
        </w:rPr>
        <w:t>insists that the reader takes in the always inexplicable dimensions of death as part of a more physical experience, that is closer than we think</w:t>
      </w:r>
      <w:r w:rsidRPr="00AD7E8B">
        <w:rPr>
          <w:sz w:val="10"/>
        </w:rPr>
        <w:t xml:space="preserve">, perhaps closer than thought. In the Introduction to Difference and Repetition, Deleuze refers to the common mistake to confuse repetition with generalization, he puts it in this question: </w:t>
      </w:r>
      <w:r w:rsidRPr="00AC7015">
        <w:rPr>
          <w:rStyle w:val="StyleUnderline"/>
        </w:rPr>
        <w:t>“How can we recognize that something has been repeated without referring to a general form that emerges through repetition and allows it to be recognized?”...</w:t>
      </w:r>
      <w:r w:rsidRPr="00AD7E8B">
        <w:rPr>
          <w:sz w:val="10"/>
        </w:rPr>
        <w:t xml:space="preserve">he goes ahead and proposes that repetition responds to a “freely adopted moral law”. By this, as John Protevi (2010) points out, Deleuze transforms any philosophical anxiety (guided by scientific aspirations) about natural laws of repetition to moral laws. Since the most common critique to this point in Deleuze is to demonstrate how a unique thing can be repeated, Protevi interprets this turn to morality as a concern in Deleuze, pointing out that the questions about repetition haven’t been properly posed: “He claims that the question ‘How do we recognize repetition’ is one of the wrong sort. We should be asking ‘Why does repetition matter?’, ‘Why is it significant?’ and ‘How do we repeat well’. This is a very odd reversal in the common-sense order of these questions.” (36) In a way, </w:t>
      </w:r>
      <w:r w:rsidRPr="00AC7015">
        <w:rPr>
          <w:rStyle w:val="StyleUnderline"/>
        </w:rPr>
        <w:t xml:space="preserve">Deleuze’s purpose is to dismantle the establishment of knowledge as the search for the “essence” of things. </w:t>
      </w:r>
      <w:r w:rsidRPr="00AD7E8B">
        <w:rPr>
          <w:sz w:val="10"/>
        </w:rPr>
        <w:t xml:space="preserve">In fact, at the end of the chapter he redefines the concept of essence and its importance for philosophy. This is especially useful when thinking about the repetition of death as what happens naturally, since death is the natural ending of life. However </w:t>
      </w:r>
      <w:r w:rsidRPr="00AC7015">
        <w:rPr>
          <w:rStyle w:val="StyleUnderline"/>
        </w:rPr>
        <w:t xml:space="preserve">in the biopolitical environment of the border Desert, what happens naturally is not related to the essence of things </w:t>
      </w:r>
      <w:r w:rsidRPr="00AD7E8B">
        <w:rPr>
          <w:sz w:val="10"/>
        </w:rPr>
        <w:t xml:space="preserve">(See Chapter one and the necropolitic cartographic representation of the migrant’s death) </w:t>
      </w:r>
      <w:r w:rsidRPr="00AC7015">
        <w:rPr>
          <w:rStyle w:val="StyleUnderline"/>
        </w:rPr>
        <w:t>but to a well spread moral law that considers the death of others on the basis of their difference.</w:t>
      </w:r>
      <w:r w:rsidRPr="00AD7E8B">
        <w:rPr>
          <w:sz w:val="10"/>
        </w:rPr>
        <w:t xml:space="preserve"> Deleuze’s coalescing of difference and repetition helps understand this point as he develops it as a critique of essentialisms. </w:t>
      </w:r>
      <w:r w:rsidRPr="00050E81">
        <w:rPr>
          <w:rStyle w:val="StyleUnderline"/>
        </w:rPr>
        <w:t>Repetition</w:t>
      </w:r>
      <w:r w:rsidRPr="00AD7E8B">
        <w:rPr>
          <w:sz w:val="10"/>
        </w:rPr>
        <w:t xml:space="preserve"> in Deleuze’s account </w:t>
      </w:r>
      <w:r w:rsidRPr="00050E81">
        <w:rPr>
          <w:rStyle w:val="StyleUnderline"/>
        </w:rPr>
        <w:t>is independent of generality, since it does not correspond to equivalency or substitutability.</w:t>
      </w:r>
      <w:r w:rsidRPr="00AD7E8B">
        <w:rPr>
          <w:sz w:val="10"/>
        </w:rPr>
        <w:t xml:space="preserve"> </w:t>
      </w:r>
      <w:r>
        <w:rPr>
          <w:rStyle w:val="StyleUnderline"/>
        </w:rPr>
        <w:t>I</w:t>
      </w:r>
      <w:r w:rsidRPr="00AC7015">
        <w:rPr>
          <w:rStyle w:val="StyleUnderline"/>
        </w:rPr>
        <w:t>n attempt to understand a phenomenon like genocide</w:t>
      </w:r>
      <w:r w:rsidRPr="00AD7E8B">
        <w:rPr>
          <w:sz w:val="10"/>
        </w:rPr>
        <w:t>—in this case, femicide—</w:t>
      </w:r>
      <w:r w:rsidRPr="00AC7015">
        <w:rPr>
          <w:rStyle w:val="StyleUnderline"/>
        </w:rPr>
        <w:t>generality can be a trap as it can turn into exclusivity</w:t>
      </w:r>
      <w:r w:rsidRPr="00AD7E8B">
        <w:rPr>
          <w:sz w:val="10"/>
        </w:rPr>
        <w:t xml:space="preserve">. If we take the repetition of death as it happens with the Juárez’s dead women as part of a series of repeated members we fall in the trap of generalization, </w:t>
      </w:r>
      <w:r w:rsidRPr="00AC7015">
        <w:rPr>
          <w:rStyle w:val="StyleUnderline"/>
        </w:rPr>
        <w:t xml:space="preserve">seeing death as equivalent in each member, thus, as an effect of “natural” </w:t>
      </w:r>
      <w:r w:rsidRPr="00BF00B4">
        <w:rPr>
          <w:rStyle w:val="StyleUnderline"/>
        </w:rPr>
        <w:t>difference.</w:t>
      </w:r>
      <w:r w:rsidRPr="00AD7E8B">
        <w:rPr>
          <w:sz w:val="10"/>
        </w:rPr>
        <w:t xml:space="preserve"> </w:t>
      </w:r>
      <w:r w:rsidRPr="00AC7015">
        <w:rPr>
          <w:rStyle w:val="StyleUnderline"/>
        </w:rPr>
        <w:t xml:space="preserve">This would lead to the easy conclusion that death at the border always happens to certain kinds of people. </w:t>
      </w:r>
      <w:r w:rsidRPr="00AD7E8B">
        <w:rPr>
          <w:sz w:val="10"/>
        </w:rPr>
        <w:t xml:space="preserve">Quantitatively, each death only adds one more number to the pattern (equivalency). Qualitatively, </w:t>
      </w:r>
      <w:r w:rsidRPr="00050E81">
        <w:rPr>
          <w:rStyle w:val="StyleUnderline"/>
        </w:rPr>
        <w:t>the repeated features of the dead</w:t>
      </w:r>
      <w:r w:rsidRPr="00AD7E8B">
        <w:rPr>
          <w:sz w:val="10"/>
        </w:rPr>
        <w:t xml:space="preserve"> women would </w:t>
      </w:r>
      <w:r w:rsidRPr="00AC7015">
        <w:rPr>
          <w:rStyle w:val="StyleUnderline"/>
        </w:rPr>
        <w:t xml:space="preserve">reinforce substitutability, or the idea that always the same categories are deserving of death and discrimination (women, workers, indigenous, migrants etc.). </w:t>
      </w:r>
      <w:r w:rsidRPr="00AD7E8B">
        <w:rPr>
          <w:sz w:val="10"/>
        </w:rPr>
        <w:t xml:space="preserve">In 2666, “The Part about the crimes” is narrated in a clinical and journalist expositive register. It recounts the dead bodies of women, which from 1995-1998 were left in the desert after being raped, strangled, dismembered and massacred. Bolaño bases the </w:t>
      </w:r>
      <w:r w:rsidRPr="00050E81">
        <w:rPr>
          <w:rStyle w:val="StyleUnderline"/>
        </w:rPr>
        <w:t>stories of dead women in real facts, taken from forensic data</w:t>
      </w:r>
      <w:r w:rsidRPr="00AD7E8B">
        <w:rPr>
          <w:sz w:val="10"/>
        </w:rPr>
        <w:t xml:space="preserve">, morgue reports and a number of print sources (especially the work of Valdés and González Rodríguez). Each of the stories tells the details of the bodies as they were found and examined. All of them exhibit mostly the same corporeal marks, but Bolaño identifies each of them individually. After around a hundred pages, </w:t>
      </w:r>
      <w:r w:rsidRPr="00AC7015">
        <w:rPr>
          <w:rStyle w:val="StyleUnderline"/>
        </w:rPr>
        <w:t>the identification of bodies with names stops being relevant</w:t>
      </w:r>
      <w:r w:rsidRPr="00AD7E8B">
        <w:rPr>
          <w:sz w:val="10"/>
        </w:rPr>
        <w:t xml:space="preserve"> for the reading </w:t>
      </w:r>
      <w:r w:rsidRPr="00AC7015">
        <w:rPr>
          <w:rStyle w:val="StyleUnderline"/>
        </w:rPr>
        <w:t>and what stands out is the repetition</w:t>
      </w:r>
      <w:r w:rsidRPr="00AD7E8B">
        <w:rPr>
          <w:sz w:val="10"/>
        </w:rPr>
        <w:t xml:space="preserve"> of bodily features, some times sensationalist, which follow the pattern of the first body found, that of a thirteen year-old girl, which, according to the autopsy, Esperanza Gómez Saldaña had been strangled to death. There was bruising on her legs and rib cage. She had been vaginally and anally raped, probably more than once, since both orifices exhibited tears and abrasions, from which she had bled profusely.... A black orderly, who had moved north from Veracruz years ago, put the body away in a freezer. (354) </w:t>
      </w:r>
      <w:r w:rsidRPr="00AC7015">
        <w:rPr>
          <w:rStyle w:val="StyleUnderline"/>
        </w:rPr>
        <w:t>The emphasis on</w:t>
      </w:r>
      <w:r w:rsidRPr="00AD7E8B">
        <w:rPr>
          <w:sz w:val="10"/>
        </w:rPr>
        <w:t xml:space="preserve"> bodily features and </w:t>
      </w:r>
      <w:r w:rsidRPr="00AC7015">
        <w:rPr>
          <w:rStyle w:val="StyleUnderline"/>
        </w:rPr>
        <w:t>disposability of these bodies confronts the reader with the devaluation of life as “bare life”</w:t>
      </w:r>
      <w:r w:rsidRPr="00AD7E8B">
        <w:rPr>
          <w:sz w:val="10"/>
        </w:rPr>
        <w:t xml:space="preserve"> (Agamben) as well as the devaluation of death as that which occurs to others, the margins of population. Both remain stripped of the political capacities. </w:t>
      </w:r>
      <w:r w:rsidRPr="00AC7015">
        <w:rPr>
          <w:rStyle w:val="StyleUnderline"/>
        </w:rPr>
        <w:t>In this sense, the dead</w:t>
      </w:r>
      <w:r w:rsidRPr="00AD7E8B">
        <w:rPr>
          <w:sz w:val="10"/>
        </w:rPr>
        <w:t xml:space="preserve"> women of Juarez femicides, represented in Bolaño’s novel </w:t>
      </w:r>
      <w:r w:rsidRPr="006D54B9">
        <w:rPr>
          <w:rStyle w:val="StyleUnderline"/>
        </w:rPr>
        <w:t>are “more or less dead”,</w:t>
      </w:r>
      <w:r w:rsidRPr="00AC7015">
        <w:rPr>
          <w:rStyle w:val="StyleUnderline"/>
        </w:rPr>
        <w:t xml:space="preserve"> </w:t>
      </w:r>
      <w:r w:rsidRPr="00AD7E8B">
        <w:rPr>
          <w:sz w:val="10"/>
        </w:rPr>
        <w:t xml:space="preserve">as Alice Driver (2015) entitles her book on femicide, </w:t>
      </w:r>
      <w:r w:rsidRPr="00AC7015">
        <w:rPr>
          <w:rStyle w:val="StyleUnderline"/>
        </w:rPr>
        <w:t>haunting the ethics of representation.</w:t>
      </w:r>
      <w:r w:rsidRPr="00AD7E8B">
        <w:rPr>
          <w:sz w:val="10"/>
        </w:rPr>
        <w:t xml:space="preserve"> She draws her title quote in The Part about the Crimes in 2666 where the detective Loya tells the congresswoman Azucena del Plata that in Mexico a person can be more or less dead, which explains in a way the phantasmagorical sense of “The Part about the Crimes” and how evil is developed throughout the novel in a way that attacks the living and where life in its political quality is indistinguishable from death, since it cannot claim the right to live (a kind of haunting very different from that which happens in magical realism, according to Andrews, 2014) Loya is a detective investigating a case that has personally caught the attention of the Congresswoman Azucena del Plata in the U.S. He tries to make her desist by saying that she is wasting her money, as the following interchange makes clear: </w:t>
      </w:r>
      <w:r w:rsidRPr="00AD7E8B">
        <w:rPr>
          <w:sz w:val="10"/>
        </w:rPr>
        <w:lastRenderedPageBreak/>
        <w:t xml:space="preserve">Do you mean you think Kelly is dead? I shouted. More or less, he said without losing his composure in the slightest. What do you mean, more or less? I shouted. For fuck’s sake, you are either dead or you’re not! In Mexico a person can be more or less dead, he answered very seriously...Loya smiled. What are you laughing at, I said. I’m sick of Mexicans who talk and act as if this is all Pedro Páramo, I said. (624) Perhaps the mentioning of Juan Rulfo’s novel is intentional here, since Bolaño sought to distance himself from the Boom and “Magical Realism” that depicted the apparitions as supernatural interventions in the natural world. </w:t>
      </w:r>
      <w:r w:rsidRPr="006D54B9">
        <w:rPr>
          <w:rStyle w:val="StyleUnderline"/>
        </w:rPr>
        <w:t>Bolaño goes mocks the phantasmagorical as a superstitious part of identity.</w:t>
      </w:r>
      <w:r w:rsidRPr="00AD7E8B">
        <w:rPr>
          <w:sz w:val="10"/>
        </w:rPr>
        <w:t xml:space="preserve"> </w:t>
      </w:r>
      <w:r w:rsidRPr="00AC7015">
        <w:rPr>
          <w:rStyle w:val="StyleUnderline"/>
        </w:rPr>
        <w:t>Instead he recognizes the living as death as the aftermath of Latin-American personal Holocausts</w:t>
      </w:r>
      <w:r w:rsidRPr="006D54B9">
        <w:rPr>
          <w:rStyle w:val="StyleUnderline"/>
        </w:rPr>
        <w:t>,</w:t>
      </w:r>
      <w:r w:rsidRPr="00AD7E8B">
        <w:rPr>
          <w:sz w:val="10"/>
        </w:rPr>
        <w:t xml:space="preserve"> in pro of the establishment of a self-regulated economic system (i.e. Dictatorships, and later the inequalities and violence product of Neoliberal measures). Santa Teresa’s (Juárez’s) high rate of migrant indigenous women population (due to establishment of American maquiladoras), as Loya refers to Mexican citizens, carry this ghostly stigma, </w:t>
      </w:r>
      <w:r w:rsidRPr="00AC7015">
        <w:rPr>
          <w:rStyle w:val="StyleUnderline"/>
        </w:rPr>
        <w:t>the citizens that either dead or alive count the same.</w:t>
      </w:r>
      <w:r w:rsidRPr="00AD7E8B">
        <w:rPr>
          <w:sz w:val="10"/>
        </w:rPr>
        <w:t xml:space="preserve"> According to Driver, Santa Teresa is “more or less dead” in three different ways: </w:t>
      </w:r>
      <w:r w:rsidRPr="00AC7015">
        <w:rPr>
          <w:rStyle w:val="StyleUnderline"/>
        </w:rPr>
        <w:t>one because “they are alive but</w:t>
      </w:r>
      <w:r w:rsidRPr="00AD7E8B">
        <w:rPr>
          <w:sz w:val="10"/>
        </w:rPr>
        <w:t xml:space="preserve"> poor thus </w:t>
      </w:r>
      <w:r w:rsidRPr="00AC7015">
        <w:rPr>
          <w:rStyle w:val="StyleUnderline"/>
        </w:rPr>
        <w:t>denied the rights of citizenship”; second “they are among the hundreds of thousands of disappeared women and men whose disappearance have gone uninvestigated-thus nobody knows if they are dead or alive” and third “they have been murdered, but their deaths have not been investigated nor their bodies identified.”</w:t>
      </w:r>
      <w:r w:rsidRPr="00AD7E8B">
        <w:rPr>
          <w:sz w:val="10"/>
        </w:rPr>
        <w:t xml:space="preserve"> (66) </w:t>
      </w:r>
      <w:r w:rsidRPr="00AC7015">
        <w:rPr>
          <w:rStyle w:val="StyleUnderline"/>
        </w:rPr>
        <w:t>All three of these characteristics</w:t>
      </w:r>
      <w:r w:rsidRPr="00AD7E8B">
        <w:rPr>
          <w:sz w:val="10"/>
        </w:rPr>
        <w:t xml:space="preserve"> that Driver identifies </w:t>
      </w:r>
      <w:r w:rsidRPr="00AC7015">
        <w:rPr>
          <w:rStyle w:val="StyleUnderline"/>
        </w:rPr>
        <w:t>catalogue</w:t>
      </w:r>
      <w:r w:rsidRPr="00AD7E8B">
        <w:rPr>
          <w:sz w:val="10"/>
        </w:rPr>
        <w:t xml:space="preserve"> the femicides as the difference-making capacity that throws out the result of </w:t>
      </w:r>
      <w:r w:rsidRPr="00AC7015">
        <w:rPr>
          <w:rStyle w:val="StyleUnderline"/>
        </w:rPr>
        <w:t>bare life, the exclusion to the point of termination of political (human) rights to live well, and the literal termination of the right to live. As Agamben explains, “At once excluding bare life from and capturing it within the political order, the state of exception actually constituted, in its very separatedness, the hidden foundation on which the entire political system rested.” (7)</w:t>
      </w:r>
      <w:r w:rsidRPr="00AD7E8B">
        <w:rPr>
          <w:sz w:val="10"/>
        </w:rPr>
        <w:t xml:space="preserve"> This shows how </w:t>
      </w:r>
      <w:r w:rsidRPr="00AC7015">
        <w:rPr>
          <w:rStyle w:val="StyleUnderline"/>
        </w:rPr>
        <w:t xml:space="preserve">a state of exception is not concentrated in the institutional State but is practiced through the mechanisms of exclusion, difference making processes sustained in moral laws as natural laws. </w:t>
      </w:r>
      <w:r w:rsidRPr="00AD7E8B">
        <w:rPr>
          <w:sz w:val="10"/>
        </w:rPr>
        <w:t xml:space="preserve">The violence against women, for instance in 2666 is shown as the generalized phenomenon that dismisses the importance of violence on the base of the categorization of difference. In this way, the narrator connects the dots of evidence and assumes a sequence of natural cause of death and physical and moral consequences. For instance, “the first dead woman of May was never identified, so it was assumed she was a migrant from some central or southern state who had stopped in Santa Teresa on her way to the United States...no one reported her missing” (359). As with the relation of repetition with equivalency and substitutability shown by Deleuze, the connection of death with woman and with migration is the easiest semantic relation to assume. Although the narrator gives names and fills the bodies with the presumed facts that ended their lives, all of these bodies are shown to have belonged to women whom have sought better conditions of life. As modes of survival many of them migrated to work on maquiladoras. All of them are victims of a machinarian system that produces inequalities. In the novel, as it may have happened in reality, the repetition of the fact of death follows investigations by police officers, a congresswoman, family members, journalists, turning the crude image of dead bodies into “disappearance”, a moral adopted law. </w:t>
      </w:r>
      <w:r w:rsidRPr="00AC7015">
        <w:rPr>
          <w:rStyle w:val="StyleUnderline"/>
        </w:rPr>
        <w:t>The value of life begins only at the time of death. As Marjorie Agosin says in a poem from her collection about the femicide in Juárez, Secrets in the Sand, “All we know about them/is their death” (25).</w:t>
      </w:r>
      <w:r w:rsidRPr="00AD7E8B">
        <w:rPr>
          <w:sz w:val="10"/>
        </w:rPr>
        <w:t xml:space="preserve"> Bolaño shows death at its most exposed materiality, the body on its way to decomposition, ironically it becomes the main signifier of their life. The same way, </w:t>
      </w:r>
      <w:r w:rsidRPr="00AC7015">
        <w:rPr>
          <w:rStyle w:val="StyleUnderline"/>
        </w:rPr>
        <w:t>the devaluation of life begins as the living dead bodies are raised for the practices of State of exception. The State’s failure to provide life as quality and in its literal form- the right of life- implies an economy of death that flows as an affect, across bodies, territories, times</w:t>
      </w:r>
      <w:r w:rsidRPr="00AD7E8B">
        <w:rPr>
          <w:sz w:val="10"/>
        </w:rPr>
        <w:t xml:space="preserve">. The serial production of the industry these women enchain is the same economy of serial excluding/killing to which they are bound. 2666 is written in a Deleuzian sense, as the critique of difference and repetition understood as the production of essentialisms, especially of difference as the source of exclusion and as the equivalent of natural human selection. In sum, the dead women seen from the materiality of death takes off the abstraction/generalization of death as that which happens to others, as the phenomenon in mass that corresponds to a sector of society as an absolute difference law. In change, </w:t>
      </w:r>
      <w:r w:rsidRPr="00AC7015">
        <w:rPr>
          <w:rStyle w:val="StyleUnderline"/>
        </w:rPr>
        <w:t>the repetition of the same in different names throws difference in repetition as inseparable, which allows to see other’s death as inseparable from own responsibility.</w:t>
      </w:r>
      <w:r w:rsidRPr="00AD7E8B">
        <w:rPr>
          <w:sz w:val="10"/>
        </w:rPr>
        <w:t xml:space="preserve"> The addition of each dead woman reflects on the maximalist nature of the novel and contributes a difference to the difference-making processes. </w:t>
      </w:r>
      <w:r w:rsidRPr="00AC7015">
        <w:rPr>
          <w:rStyle w:val="StyleUnderline"/>
        </w:rPr>
        <w:t>That is to say, each body makes a difference</w:t>
      </w:r>
      <w:r w:rsidRPr="00AD7E8B">
        <w:rPr>
          <w:sz w:val="10"/>
        </w:rPr>
        <w:t>. Bolaño’s contribution in this sense is to show –</w:t>
      </w:r>
      <w:r w:rsidRPr="00AC7015">
        <w:rPr>
          <w:rStyle w:val="StyleUnderline"/>
        </w:rPr>
        <w:t>in the most topological way-</w:t>
      </w:r>
      <w:r w:rsidRPr="00AD7E8B">
        <w:rPr>
          <w:sz w:val="10"/>
        </w:rPr>
        <w:t xml:space="preserve">that </w:t>
      </w:r>
      <w:r w:rsidRPr="00AC7015">
        <w:rPr>
          <w:rStyle w:val="StyleUnderline"/>
        </w:rPr>
        <w:t>repetition doesn’t happen in isolation in the remote desert, but haunts each element, including us</w:t>
      </w:r>
      <w:r w:rsidRPr="00AD7E8B">
        <w:rPr>
          <w:sz w:val="10"/>
        </w:rPr>
        <w:t xml:space="preserve"> as readers, as is going to be explained in the next chapter, </w:t>
      </w:r>
      <w:r w:rsidRPr="00AC7015">
        <w:rPr>
          <w:rStyle w:val="StyleUnderline"/>
        </w:rPr>
        <w:t>and reminds one that what persists as repetition are the failures of a system no longer physically identifiable, but hidden, behind every death becoming disappearance, within every “more or less” dead body.</w:t>
      </w:r>
    </w:p>
    <w:p xmlns:wp14="http://schemas.microsoft.com/office/word/2010/wordml" w:rsidR="00E45F43" w:rsidP="00E45F43" w:rsidRDefault="00E45F43" w14:paraId="48F47E46" wp14:textId="77777777">
      <w:pPr>
        <w:pStyle w:val="Heading3"/>
      </w:pPr>
      <w:r>
        <w:lastRenderedPageBreak/>
        <w:t>A2: Rights/Liberalism</w:t>
      </w:r>
    </w:p>
    <w:p xmlns:wp14="http://schemas.microsoft.com/office/word/2010/wordml" w:rsidR="00E45F43" w:rsidP="00E45F43" w:rsidRDefault="00E45F43" w14:paraId="418A993D" wp14:textId="77777777">
      <w:pPr>
        <w:pStyle w:val="Heading4"/>
        <w:spacing w:before="0"/>
      </w:pPr>
      <w:r>
        <w:t xml:space="preserve">Rights bad – sovereignty produces the state of exception and intensifies capitalism – the migrant as nomad destabilizes sovereignty </w:t>
      </w:r>
    </w:p>
    <w:p xmlns:wp14="http://schemas.microsoft.com/office/word/2010/wordml" w:rsidRPr="00317DA3" w:rsidR="00E45F43" w:rsidP="00E45F43" w:rsidRDefault="00E45F43" w14:paraId="56B9A392" wp14:textId="77777777">
      <w:pPr>
        <w:rPr>
          <w:sz w:val="16"/>
        </w:rPr>
      </w:pPr>
      <w:r w:rsidRPr="00317DA3">
        <w:rPr>
          <w:rStyle w:val="Style13ptBold"/>
        </w:rPr>
        <w:t>Papadapolous and Tsianos 7</w:t>
      </w:r>
      <w:r w:rsidRPr="00317DA3">
        <w:rPr>
          <w:sz w:val="16"/>
        </w:rPr>
        <w:t xml:space="preserve"> (Dimitris, Senior Fellow of the Higher Education Academy at the University of Leicester, Ph.D from the Free University of Berlin. Vassilis, Professor of Social Sciences at the University of Hamburg. “The Autonomy of Migration: The Animals of Undocumented Mobility.” 2007, pg 231-234)//ANH</w:t>
      </w:r>
    </w:p>
    <w:p xmlns:wp14="http://schemas.microsoft.com/office/word/2010/wordml" w:rsidRPr="00E72FBD" w:rsidR="00E45F43" w:rsidP="00E45F43" w:rsidRDefault="00E45F43" w14:paraId="62F66F88" wp14:textId="77777777">
      <w:pPr>
        <w:rPr>
          <w:rStyle w:val="Style13ptBold"/>
        </w:rPr>
      </w:pPr>
      <w:r w:rsidRPr="0058441F">
        <w:rPr>
          <w:sz w:val="14"/>
        </w:rPr>
        <w:t xml:space="preserve">The demise of the strategy of visibility marks a turning point in the way we understand politics. </w:t>
      </w:r>
      <w:r w:rsidRPr="00E72FBD">
        <w:rPr>
          <w:rStyle w:val="StyleUnderline"/>
        </w:rPr>
        <w:t>How does migration open possibilities for rethinking the end of contemporary forms of sovereignty</w:t>
      </w:r>
      <w:r w:rsidRPr="0058441F">
        <w:rPr>
          <w:sz w:val="14"/>
        </w:rPr>
        <w:t xml:space="preserve">? </w:t>
      </w:r>
      <w:r w:rsidRPr="00E72FBD">
        <w:rPr>
          <w:rStyle w:val="StyleUnderline"/>
        </w:rPr>
        <w:t>The politics of representation and its subversive re-articulations belong to the inventory of the historical realization of democratic social organization. Its core principle is national sovereignty, the ideal correspondence and congruence of people and territory</w:t>
      </w:r>
      <w:r w:rsidRPr="0058441F">
        <w:rPr>
          <w:sz w:val="14"/>
        </w:rPr>
        <w:t xml:space="preserve">. </w:t>
      </w:r>
      <w:r w:rsidRPr="00E72FBD">
        <w:rPr>
          <w:rStyle w:val="StyleUnderline"/>
        </w:rPr>
        <w:t>National sovereignty</w:t>
      </w:r>
      <w:r w:rsidRPr="0058441F">
        <w:rPr>
          <w:sz w:val="14"/>
        </w:rPr>
        <w:t xml:space="preserve"> attempts to establish this correspondence in two subsequent moments: first, it </w:t>
      </w:r>
      <w:r w:rsidRPr="00E72FBD">
        <w:rPr>
          <w:rStyle w:val="StyleUnderline"/>
        </w:rPr>
        <w:t>separates and classifies the people of a territory into groups and social strata through the signification procedures of representation</w:t>
      </w:r>
      <w:r w:rsidRPr="0058441F">
        <w:rPr>
          <w:sz w:val="14"/>
        </w:rPr>
        <w:t xml:space="preserve">; second, </w:t>
      </w:r>
      <w:r w:rsidRPr="00E72FBD">
        <w:rPr>
          <w:rStyle w:val="StyleUnderline"/>
        </w:rPr>
        <w:t>it assigns rights of participation to each of these represented groups.</w:t>
      </w:r>
      <w:r w:rsidRPr="0058441F">
        <w:rPr>
          <w:sz w:val="14"/>
        </w:rPr>
        <w:t xml:space="preserve"> National sovereignty is based on the national social compromise between different groups and strata for a potential egalitarian distribution of rights. Migration is part of this process, even if it has been treated differently in different countries. In most European countries, for example, migration was assimilated in the form of Gastarbeit (temporary employment), which performs an inclusion of the right to work at the national level without the extensive granting of equal political rights. </w:t>
      </w:r>
      <w:r w:rsidRPr="00E72FBD">
        <w:rPr>
          <w:rStyle w:val="StyleUnderline"/>
        </w:rPr>
        <w:t>In countries which actively encouraged immigration, migrants were incorporated in the national social compromise by accepting them as an integral part of the national project in general.</w:t>
      </w:r>
      <w:r w:rsidRPr="0058441F">
        <w:rPr>
          <w:sz w:val="14"/>
        </w:rPr>
        <w:t xml:space="preserve"> In this case, migrants were granted not only full work rights but also political rights. But desp</w:t>
      </w:r>
      <w:r w:rsidRPr="00E72FBD">
        <w:rPr>
          <w:rStyle w:val="StyleUnderline"/>
        </w:rPr>
        <w:t xml:space="preserve">ite the seemingly egalitarian treatment of migration in this second case, migrants came across the </w:t>
      </w:r>
      <w:r w:rsidRPr="00E64250">
        <w:rPr>
          <w:rStyle w:val="StyleUnderline"/>
        </w:rPr>
        <w:t>racist dispositifs</w:t>
      </w:r>
      <w:r w:rsidRPr="00E72FBD">
        <w:rPr>
          <w:rStyle w:val="StyleUnderline"/>
        </w:rPr>
        <w:t xml:space="preserve"> prevalent in these societies</w:t>
      </w:r>
      <w:r w:rsidRPr="00E64250">
        <w:rPr>
          <w:rStyle w:val="StyleUnderline"/>
        </w:rPr>
        <w:t>. Equal rights did not mean the possession of equal symbolic capital</w:t>
      </w:r>
      <w:r w:rsidRPr="00E72FBD">
        <w:rPr>
          <w:rStyle w:val="StyleUnderline"/>
        </w:rPr>
        <w:t xml:space="preserve"> in the politics of representation.</w:t>
      </w:r>
      <w:r w:rsidRPr="0058441F">
        <w:rPr>
          <w:sz w:val="14"/>
        </w:rPr>
        <w:t xml:space="preserve"> The fact that cultural studies and postcolonialism (which are, as we said earlier, concerned with the critique of the representational deficit) arose primarily in these countries, and came later to continental Europe, is the result of this particular historical experience, namely: the coexistence between equal rights and racist treatment; between formal equality and de facto ethnic segmentation. </w:t>
      </w:r>
      <w:r w:rsidRPr="00E72FBD">
        <w:rPr>
          <w:rStyle w:val="StyleUnderline"/>
        </w:rPr>
        <w:t>Despite all these variations in the treatment of migration, the main focus was always the assignment of rights and representational visibility to migrants</w:t>
      </w:r>
      <w:r w:rsidRPr="0058441F">
        <w:rPr>
          <w:sz w:val="14"/>
        </w:rPr>
        <w:t xml:space="preserve">. </w:t>
      </w:r>
      <w:r w:rsidRPr="00E72FBD">
        <w:rPr>
          <w:rStyle w:val="StyleUnderline"/>
        </w:rPr>
        <w:t xml:space="preserve">The demand for unrestricted rights and extensive representation - the so called 'double R axiom' - is an outcome of </w:t>
      </w:r>
      <w:r w:rsidRPr="00E64250">
        <w:rPr>
          <w:rStyle w:val="StyleUnderline"/>
        </w:rPr>
        <w:t>the pressure migration exerts on national sovereignty</w:t>
      </w:r>
      <w:r w:rsidRPr="00E72FBD">
        <w:rPr>
          <w:rStyle w:val="StyleUnderline"/>
        </w:rPr>
        <w:t xml:space="preserve"> to restructure the functional relationship between people and territory</w:t>
      </w:r>
      <w:r w:rsidRPr="0058441F">
        <w:rPr>
          <w:sz w:val="14"/>
        </w:rPr>
        <w:t xml:space="preserve">. </w:t>
      </w:r>
      <w:r w:rsidRPr="00E72FBD">
        <w:rPr>
          <w:rStyle w:val="StyleUnderline"/>
        </w:rPr>
        <w:t>The constitutive outside of national sovereignty is not another extraterritorial national sovereignty but the border as the material manifestation of their relation. The double R principle does not only organize the national-territorial corpus, it primarily designates the relation to outer states and their people</w:t>
      </w:r>
      <w:r w:rsidRPr="0058441F">
        <w:rPr>
          <w:sz w:val="14"/>
        </w:rPr>
        <w:t xml:space="preserve">. Thus, </w:t>
      </w:r>
      <w:r w:rsidRPr="00E72FBD">
        <w:rPr>
          <w:rStyle w:val="StyleUnderline"/>
        </w:rPr>
        <w:t xml:space="preserve">the double R axiom </w:t>
      </w:r>
      <w:r w:rsidRPr="00E64250">
        <w:rPr>
          <w:rStyle w:val="StyleUnderline"/>
        </w:rPr>
        <w:t>simultaneously defines the matrix of positive rights and representation within the national territory and the non-existence of rights and symbolic presence beyond its borders</w:t>
      </w:r>
      <w:r w:rsidRPr="00E72FBD">
        <w:rPr>
          <w:rStyle w:val="StyleUnderline"/>
        </w:rPr>
        <w:t>.</w:t>
      </w:r>
      <w:r w:rsidRPr="0058441F">
        <w:rPr>
          <w:sz w:val="14"/>
        </w:rPr>
        <w:t xml:space="preserve"> When we think of the double R axiom, we have to always consider that it also refers to its exact opposite: the absence of rights and representation. This is why </w:t>
      </w:r>
      <w:r w:rsidRPr="00E72FBD">
        <w:rPr>
          <w:rStyle w:val="StyleUnderline"/>
        </w:rPr>
        <w:t xml:space="preserve">the state of exception </w:t>
      </w:r>
      <w:r w:rsidRPr="0058441F">
        <w:rPr>
          <w:sz w:val="14"/>
        </w:rPr>
        <w:t xml:space="preserve">in modern political theory </w:t>
      </w:r>
      <w:r w:rsidRPr="00E72FBD">
        <w:rPr>
          <w:rStyle w:val="StyleUnderline"/>
        </w:rPr>
        <w:t>is</w:t>
      </w:r>
      <w:r w:rsidRPr="0058441F">
        <w:rPr>
          <w:sz w:val="14"/>
        </w:rPr>
        <w:t xml:space="preserve"> regarded as </w:t>
      </w:r>
      <w:r w:rsidRPr="00E72FBD">
        <w:rPr>
          <w:rStyle w:val="StyleUnderline"/>
        </w:rPr>
        <w:t>the crucial moment of modern national sovereignty</w:t>
      </w:r>
      <w:r w:rsidRPr="0058441F">
        <w:rPr>
          <w:sz w:val="14"/>
        </w:rPr>
        <w:t xml:space="preserve">. Because always inherently given in national sovereignty is its negation. It can always deny its own foundations and withdraw from its function as the creditor of the double R axiom. </w:t>
      </w:r>
      <w:r w:rsidRPr="00E72FBD">
        <w:rPr>
          <w:rStyle w:val="StyleUnderline"/>
        </w:rPr>
        <w:t xml:space="preserve">The state of exception is the moment </w:t>
      </w:r>
      <w:r w:rsidRPr="00E64250">
        <w:rPr>
          <w:rStyle w:val="StyleUnderline"/>
        </w:rPr>
        <w:t>where the borders are erected within the national territory; tearing up any apparent society of equals</w:t>
      </w:r>
      <w:r w:rsidRPr="00E72FBD">
        <w:rPr>
          <w:rStyle w:val="StyleUnderline"/>
        </w:rPr>
        <w:t>.</w:t>
      </w:r>
      <w:r w:rsidRPr="0058441F">
        <w:rPr>
          <w:sz w:val="14"/>
        </w:rPr>
        <w:t xml:space="preserve"> Despite the conceptualization of the nation as an egalitarian unity of the people, </w:t>
      </w:r>
      <w:r w:rsidRPr="00E64250">
        <w:rPr>
          <w:rStyle w:val="StyleUnderline"/>
        </w:rPr>
        <w:t xml:space="preserve">national sovereignty is organized around an inner border </w:t>
      </w:r>
      <w:r w:rsidRPr="00E72FBD">
        <w:rPr>
          <w:rStyle w:val="StyleUnderline"/>
        </w:rPr>
        <w:t>which traverses the whole society from its very beginning:</w:t>
      </w:r>
      <w:r w:rsidRPr="00E64250">
        <w:rPr>
          <w:rStyle w:val="StyleUnderline"/>
        </w:rPr>
        <w:t xml:space="preserve"> the hierarchical organization of gender relations and the organization of the national imaginary along masculinized and homophobic ideology</w:t>
      </w:r>
      <w:r w:rsidRPr="0058441F">
        <w:rPr>
          <w:sz w:val="14"/>
        </w:rPr>
        <w:t xml:space="preserve">. </w:t>
      </w:r>
      <w:r w:rsidRPr="00E64250">
        <w:rPr>
          <w:rStyle w:val="StyleUnderline"/>
        </w:rPr>
        <w:t>National sovereignty is institutionalized gender oppression.</w:t>
      </w:r>
      <w:r w:rsidRPr="0058441F">
        <w:rPr>
          <w:sz w:val="14"/>
        </w:rPr>
        <w:t xml:space="preserve"> </w:t>
      </w:r>
      <w:r w:rsidRPr="00E72FBD">
        <w:rPr>
          <w:rStyle w:val="StyleUnderline"/>
        </w:rPr>
        <w:t>There is no nation which guarantees equal rights and equal symbolic power to men and women, to heterosexuals and queer people</w:t>
      </w:r>
      <w:r w:rsidRPr="0058441F">
        <w:rPr>
          <w:sz w:val="14"/>
        </w:rPr>
        <w:t xml:space="preserve">. So, from </w:t>
      </w:r>
      <w:r w:rsidRPr="0058441F">
        <w:rPr>
          <w:sz w:val="14"/>
        </w:rPr>
        <w:lastRenderedPageBreak/>
        <w:t xml:space="preserve">the very first moment of its existence, </w:t>
      </w:r>
      <w:r w:rsidRPr="00E64250">
        <w:rPr>
          <w:rStyle w:val="StyleUnderline"/>
        </w:rPr>
        <w:t>the power of national sovereignty is that it can always erect borders in its own corpus</w:t>
      </w:r>
      <w:r w:rsidRPr="00E72FBD">
        <w:rPr>
          <w:rStyle w:val="StyleUnderline"/>
        </w:rPr>
        <w:t>; it can perform surgical operation on its own body, on the society of the people</w:t>
      </w:r>
      <w:r w:rsidRPr="0058441F">
        <w:rPr>
          <w:sz w:val="14"/>
        </w:rPr>
        <w:t xml:space="preserve">. </w:t>
      </w:r>
      <w:r w:rsidRPr="00E72FBD">
        <w:rPr>
          <w:rStyle w:val="StyleUnderline"/>
        </w:rPr>
        <w:t>While national sovereignty is the all-inclusive and all-digesting belly of Leviathan, the state of exception which results from the state's erection of borders within its own society, is the moment when Leviathan empties its belly; throwing out of its body that which is destabilizing it</w:t>
      </w:r>
      <w:r w:rsidRPr="0058441F">
        <w:rPr>
          <w:sz w:val="14"/>
        </w:rPr>
        <w:t xml:space="preserve">. </w:t>
      </w:r>
      <w:r w:rsidRPr="00E72FBD">
        <w:rPr>
          <w:rStyle w:val="StyleUnderline"/>
        </w:rPr>
        <w:t xml:space="preserve">Modern national sovereignty is thus, simultaneously, both the organizing agency which grants rights and secures access to symbolic power, as well as its antithesis: a power which </w:t>
      </w:r>
      <w:r w:rsidRPr="00E64250">
        <w:rPr>
          <w:rStyle w:val="StyleUnderline"/>
        </w:rPr>
        <w:t>systematically nullifies rights and restricts representation</w:t>
      </w:r>
      <w:r w:rsidRPr="0058441F">
        <w:rPr>
          <w:sz w:val="14"/>
        </w:rPr>
        <w:t xml:space="preserve">. We have traced how, </w:t>
      </w:r>
      <w:r w:rsidRPr="00E72FBD">
        <w:rPr>
          <w:rStyle w:val="StyleUnderline"/>
        </w:rPr>
        <w:t>under the pressure of migration, borders reveal the changing faces and developments of sovereignty</w:t>
      </w:r>
      <w:r w:rsidRPr="0058441F">
        <w:rPr>
          <w:sz w:val="14"/>
        </w:rPr>
        <w:t xml:space="preserve">. Now we want to illuminate this same issue from another perspective: that of the moving masses. How do </w:t>
      </w:r>
      <w:r w:rsidRPr="00E72FBD">
        <w:rPr>
          <w:rStyle w:val="StyleUnderline"/>
        </w:rPr>
        <w:t>borders</w:t>
      </w:r>
      <w:r w:rsidRPr="0058441F">
        <w:rPr>
          <w:sz w:val="14"/>
        </w:rPr>
        <w:t xml:space="preserve">, as integral parts of national sovereignty, </w:t>
      </w:r>
      <w:r w:rsidRPr="00E72FBD">
        <w:rPr>
          <w:rStyle w:val="StyleUnderline"/>
        </w:rPr>
        <w:t>sustain specific forms of control of migrational movements</w:t>
      </w:r>
      <w:r w:rsidRPr="0058441F">
        <w:rPr>
          <w:sz w:val="14"/>
        </w:rPr>
        <w:t xml:space="preserve">? Historically, the systematic control of the mobility of workforces was a reaction to the escape of the masses from enslavement and indenture to the guild. </w:t>
      </w:r>
      <w:r w:rsidRPr="00E72FBD">
        <w:rPr>
          <w:rStyle w:val="StyleUnderline"/>
        </w:rPr>
        <w:t>The establishment of wage labor was an attempt to translate the freedom of the vagabond masses into a productive, utilizable, and exploitable workforce.</w:t>
      </w:r>
      <w:r w:rsidRPr="0058441F">
        <w:rPr>
          <w:sz w:val="14"/>
        </w:rPr>
        <w:t xml:space="preserve"> </w:t>
      </w:r>
      <w:r w:rsidRPr="00E72FBD">
        <w:rPr>
          <w:rStyle w:val="StyleUnderline"/>
        </w:rPr>
        <w:t>The freedom to choose</w:t>
      </w:r>
      <w:r w:rsidRPr="0058441F">
        <w:rPr>
          <w:sz w:val="14"/>
        </w:rPr>
        <w:t xml:space="preserve"> and to change </w:t>
      </w:r>
      <w:r w:rsidRPr="00E72FBD">
        <w:rPr>
          <w:rStyle w:val="StyleUnderline"/>
        </w:rPr>
        <w:t>your employer is</w:t>
      </w:r>
      <w:r w:rsidRPr="0058441F">
        <w:rPr>
          <w:sz w:val="14"/>
        </w:rPr>
        <w:t xml:space="preserve"> not a fake or ideological liberty, as classical working class Marxism suggests, but </w:t>
      </w:r>
      <w:r w:rsidRPr="00E72FBD">
        <w:rPr>
          <w:rStyle w:val="StyleUnderline"/>
        </w:rPr>
        <w:t xml:space="preserve">an historical compromise designed to integrate the newly released, disorganized and wandering workforce into </w:t>
      </w:r>
      <w:r w:rsidRPr="00E64250">
        <w:rPr>
          <w:rStyle w:val="StyleUnderline"/>
        </w:rPr>
        <w:t>a new regime of productivity</w:t>
      </w:r>
      <w:r w:rsidRPr="0058441F">
        <w:rPr>
          <w:sz w:val="14"/>
        </w:rPr>
        <w:t xml:space="preserve">. In fact, from the outset, wage labor is more an ordering principle (ordering the surplus of the worker's freedom) than a mere mechanism of oppression. Only later, and gradually with the emergence and global expansion of capitalist production, does waged labor again become an oppressive constraint on workers' potential freedoms. Fordist waged labor transforms the worker's liberty and mobility into a fixed and stable workforce market. </w:t>
      </w:r>
      <w:r w:rsidRPr="00323782">
        <w:rPr>
          <w:rStyle w:val="StyleUnderline"/>
        </w:rPr>
        <w:t>Fordism transformed the promising force of the freedom of mobility into competitively organized upward social mobility. Disciplinary institutions prepare men to enter the Fordist organized labor market, and bind women into the socially effaced and symbolically devalued realm of reproduction</w:t>
      </w:r>
      <w:r w:rsidRPr="0058441F">
        <w:rPr>
          <w:sz w:val="14"/>
        </w:rPr>
        <w:t xml:space="preserve">. The incorporation of the split between productive and reproductive fields in the Fordist regime stabilized the hierarchical patriarchal order of gender relations pertinent to national sovereignty. Neoliberalism and the biopolitical turn brought the collapse of national sovereignty and the Fordist regime. On the one hand, </w:t>
      </w:r>
      <w:r w:rsidRPr="00323782">
        <w:rPr>
          <w:rStyle w:val="StyleUnderline"/>
        </w:rPr>
        <w:t>global capital practices its own exodus from national regulation.</w:t>
      </w:r>
      <w:r w:rsidRPr="0058441F">
        <w:rPr>
          <w:sz w:val="14"/>
        </w:rPr>
        <w:t xml:space="preserve"> On the other hand, </w:t>
      </w:r>
      <w:r w:rsidRPr="00323782">
        <w:rPr>
          <w:rStyle w:val="StyleUnderline"/>
        </w:rPr>
        <w:t>the current border-crossing mobility of work intensifies the existing pressure on national borders</w:t>
      </w:r>
      <w:r w:rsidRPr="0058441F">
        <w:rPr>
          <w:sz w:val="14"/>
        </w:rPr>
        <w:t xml:space="preserve">. Neoliberalism introduced the virtual order of global markets and irrevocably undermined the national sovereign state's monopoly of power. In parallel, </w:t>
      </w:r>
      <w:r w:rsidRPr="00323782">
        <w:rPr>
          <w:rStyle w:val="StyleUnderline"/>
        </w:rPr>
        <w:t>biopolitics infused a deregulated and fluid governance of the population in the heart of the established Fordist regime of immobility</w:t>
      </w:r>
      <w:r w:rsidRPr="0058441F">
        <w:rPr>
          <w:sz w:val="14"/>
        </w:rPr>
        <w:t xml:space="preserve">. Together, neoliberalism and biopolitics pushed national sovereignty to its end. The dual dynamics of transnationalism and migration accelerated the previously mentioned internal ambivalence of national sovereignty. </w:t>
      </w:r>
      <w:r w:rsidRPr="00E64250">
        <w:rPr>
          <w:rStyle w:val="StyleUnderline"/>
        </w:rPr>
        <w:t>By increasingly erecting borders in the heart of its own society, national sovereignty is more and more tempted to execute its right for exception in its own body: the proliferation of camps, Guantanamo; gated communities; banlieues; the prison-industrial complex; favelas.</w:t>
      </w:r>
      <w:r w:rsidRPr="0058441F">
        <w:rPr>
          <w:sz w:val="14"/>
        </w:rPr>
        <w:t xml:space="preserve"> But all this only represents the naked body of the new emerging sovereign. We enter a phase were neoliberalism and biopolitics have accomplished their task to decentralize national sovereignty, and enter a period where they are starting to annul themselves. There is a new grand transformation of the present taking place, one which leaves behind the post-war national sovereignty, and the neoliberalism and biopolitics of the eighties and nineties, and brings us to a postnational and postliberal formation of sovereignty.</w:t>
      </w:r>
      <w:r>
        <w:rPr>
          <w:rStyle w:val="Style13ptBold"/>
        </w:rPr>
        <w:t xml:space="preserve"> </w:t>
      </w:r>
      <w:r w:rsidRPr="0058441F">
        <w:rPr>
          <w:sz w:val="14"/>
        </w:rPr>
        <w:t xml:space="preserve">In the emerging postliberal conditions, </w:t>
      </w:r>
      <w:r w:rsidRPr="00323782">
        <w:rPr>
          <w:rStyle w:val="StyleUnderline"/>
        </w:rPr>
        <w:t>labor becomes mobile and migrants become animals enunciating their subjective lines of flight out of the current rigid and exploitative regimes of accumulation</w:t>
      </w:r>
      <w:r w:rsidRPr="0058441F">
        <w:rPr>
          <w:sz w:val="14"/>
        </w:rPr>
        <w:t xml:space="preserve">. While </w:t>
      </w:r>
      <w:r w:rsidRPr="00323782">
        <w:rPr>
          <w:rStyle w:val="StyleUnderline"/>
        </w:rPr>
        <w:t xml:space="preserve">biopolitics has contributed to reactivating freedom of movement against the Fordist national regime of control, it has also slowly but </w:t>
      </w:r>
      <w:r w:rsidRPr="00E64250">
        <w:rPr>
          <w:rStyle w:val="StyleUnderline"/>
        </w:rPr>
        <w:t>steadily started to consolidate an oppressive global system which controls the released migrational flows and suppresses the autonomy of migration</w:t>
      </w:r>
      <w:r w:rsidRPr="0058441F">
        <w:rPr>
          <w:sz w:val="14"/>
        </w:rPr>
        <w:t xml:space="preserve">. In this chapter </w:t>
      </w:r>
      <w:r w:rsidRPr="00323782">
        <w:rPr>
          <w:rStyle w:val="StyleUnderline"/>
        </w:rPr>
        <w:t xml:space="preserve">we have read Deleuze and Guattari's </w:t>
      </w:r>
      <w:r w:rsidRPr="00E64250">
        <w:rPr>
          <w:rStyle w:val="StyleUnderline"/>
        </w:rPr>
        <w:t>nomadic philosophy as a starting point for overcoming the limitations of the biopolitical understanding of migration</w:t>
      </w:r>
      <w:r w:rsidRPr="00323782">
        <w:rPr>
          <w:rStyle w:val="StyleUnderline"/>
        </w:rPr>
        <w:t>.</w:t>
      </w:r>
      <w:r w:rsidRPr="0058441F">
        <w:rPr>
          <w:sz w:val="14"/>
        </w:rPr>
        <w:t xml:space="preserve"> Deleuze and Guattari provide unsettling concepts for challenging the holy duality of contemporary migration theory (e.g., the economistic thinking of new mobility studies vs. the humanitarianism of communitarian thinking and refugee studies alike</w:t>
      </w:r>
      <w:r w:rsidRPr="00323782">
        <w:rPr>
          <w:rStyle w:val="StyleUnderline"/>
        </w:rPr>
        <w:t>). The concept of becoming can help to overcome the liberal discourse of the new migrant - as a useful and adaptable workforce - as well as the logic of 'victimization' prevalent in NGO paternalistic interventionism</w:t>
      </w:r>
      <w:r w:rsidRPr="0058441F">
        <w:rPr>
          <w:sz w:val="14"/>
        </w:rPr>
        <w:t xml:space="preserve">. </w:t>
      </w:r>
      <w:r w:rsidRPr="00323782">
        <w:rPr>
          <w:rStyle w:val="StyleUnderline"/>
        </w:rPr>
        <w:t xml:space="preserve">Within a theory of the </w:t>
      </w:r>
      <w:r w:rsidRPr="00323782">
        <w:rPr>
          <w:rStyle w:val="StyleUnderline"/>
        </w:rPr>
        <w:lastRenderedPageBreak/>
        <w:t>autonomy of migration inspired by</w:t>
      </w:r>
      <w:r w:rsidRPr="0058441F">
        <w:rPr>
          <w:sz w:val="14"/>
        </w:rPr>
        <w:t xml:space="preserve"> the philosophy of </w:t>
      </w:r>
      <w:r w:rsidRPr="00323782">
        <w:rPr>
          <w:rStyle w:val="StyleUnderline"/>
        </w:rPr>
        <w:t>Deleuze and Guattari</w:t>
      </w:r>
      <w:r w:rsidRPr="0058441F">
        <w:rPr>
          <w:sz w:val="14"/>
        </w:rPr>
        <w:t xml:space="preserve">, </w:t>
      </w:r>
      <w:r w:rsidRPr="00323782">
        <w:rPr>
          <w:rStyle w:val="StyleUnderline"/>
        </w:rPr>
        <w:t>migration is</w:t>
      </w:r>
      <w:r w:rsidRPr="0058441F">
        <w:rPr>
          <w:sz w:val="14"/>
        </w:rPr>
        <w:t xml:space="preserve"> the paradigmatic driving force of the new postliberal sovereignty. But it is simultaneously </w:t>
      </w:r>
      <w:r w:rsidRPr="00323782">
        <w:rPr>
          <w:rStyle w:val="StyleUnderline"/>
        </w:rPr>
        <w:t>the worst nightmare of the emerging sovereign, whose new clothes are manufactured in the sweatshops of this earth</w:t>
      </w:r>
      <w:r w:rsidRPr="0058441F">
        <w:rPr>
          <w:sz w:val="14"/>
        </w:rPr>
        <w:t xml:space="preserve">. </w:t>
      </w:r>
      <w:r w:rsidRPr="00E64250">
        <w:rPr>
          <w:rStyle w:val="StyleUnderline"/>
        </w:rPr>
        <w:t>The moving packs of mobile workers traversing continents on floating coffins create uncountable new subjectivities which are unlabelled, untamed, unidentified</w:t>
      </w:r>
      <w:r w:rsidRPr="0058441F">
        <w:rPr>
          <w:sz w:val="14"/>
        </w:rPr>
        <w:t xml:space="preserve">. </w:t>
      </w:r>
      <w:r w:rsidRPr="00E64250">
        <w:rPr>
          <w:rStyle w:val="StyleUnderline"/>
        </w:rPr>
        <w:t>People act together and make worlds without giving any permanent name to their alliances and conditions of existence</w:t>
      </w:r>
      <w:r w:rsidRPr="0058441F">
        <w:rPr>
          <w:sz w:val="14"/>
        </w:rPr>
        <w:t xml:space="preserve">. Without ever intending it, </w:t>
      </w:r>
      <w:r w:rsidRPr="006E6331">
        <w:rPr>
          <w:rStyle w:val="StyleUnderline"/>
        </w:rPr>
        <w:t>this multiplicity of subjectivities is tantamount to a univocality</w:t>
      </w:r>
      <w:r w:rsidRPr="0058441F">
        <w:rPr>
          <w:sz w:val="14"/>
        </w:rPr>
        <w:t xml:space="preserve">. It </w:t>
      </w:r>
      <w:r w:rsidRPr="006E6331">
        <w:rPr>
          <w:rStyle w:val="StyleUnderline"/>
        </w:rPr>
        <w:t xml:space="preserve">is a moment where social control is exercised from below, </w:t>
      </w:r>
      <w:r w:rsidRPr="00E64250">
        <w:rPr>
          <w:rStyle w:val="StyleUnderline"/>
        </w:rPr>
        <w:t>where social change is subjectless, where the new elusive historical actors dwell in the world of imperceptibility and generate a persistent and insatiable surplus of sociality in motion</w:t>
      </w:r>
      <w:r w:rsidRPr="0058441F">
        <w:rPr>
          <w:sz w:val="14"/>
        </w:rPr>
        <w:t xml:space="preserve">. </w:t>
      </w:r>
      <w:r w:rsidRPr="006E6331">
        <w:rPr>
          <w:rStyle w:val="StyleUnderline"/>
        </w:rPr>
        <w:t>A new world in the heart of the old world: world 2.</w:t>
      </w:r>
      <w:r w:rsidRPr="0058441F">
        <w:rPr>
          <w:sz w:val="14"/>
        </w:rPr>
        <w:t xml:space="preserve"> World 2 does not redeem this surplus of sociality by establishing a new totalizing and messianic version of a better democratic polis, but it constitutes the exodus out of the polis - the First Transnational?</w:t>
      </w:r>
    </w:p>
    <w:p xmlns:wp14="http://schemas.microsoft.com/office/word/2010/wordml" w:rsidR="00E45F43" w:rsidP="00E45F43" w:rsidRDefault="00E45F43" w14:paraId="6C6E55AA" wp14:textId="77777777">
      <w:pPr>
        <w:pStyle w:val="Heading3"/>
      </w:pPr>
      <w:r>
        <w:lastRenderedPageBreak/>
        <w:t>A2: No Spillover</w:t>
      </w:r>
    </w:p>
    <w:p xmlns:wp14="http://schemas.microsoft.com/office/word/2010/wordml" w:rsidR="00E45F43" w:rsidP="00E45F43" w:rsidRDefault="00E45F43" w14:paraId="3CC3195F" wp14:textId="77777777">
      <w:pPr>
        <w:pStyle w:val="Heading4"/>
      </w:pPr>
      <w:r>
        <w:t xml:space="preserve">There is no “inside” and “outside” of striation – only a differentiated immanent movement that opens space for other uses - politico-artistic assemblages of poetry, technology, and people, for example, the Transborder Immigrant Tool, designed by the art collectives b.a.n.g. lab and Electronic Disturbance Theater, extend the capacities of the body, hijacking cartography, challenging the organizational apparatus of border control and opening striated space as migrants navigate the desert. </w:t>
      </w:r>
    </w:p>
    <w:p xmlns:wp14="http://schemas.microsoft.com/office/word/2010/wordml" w:rsidR="00E45F43" w:rsidP="00E45F43" w:rsidRDefault="00E45F43" w14:paraId="1E86E5F4" wp14:textId="77777777">
      <w:pPr>
        <w:pStyle w:val="ListParagraph"/>
        <w:numPr>
          <w:ilvl w:val="0"/>
          <w:numId w:val="20"/>
        </w:numPr>
      </w:pPr>
      <w:r>
        <w:t>About TBT: Researchers, new media artists, and co-founders of the Electronic Disturbance Theater/b.a.n.g. lab, Ricardo Dominguez and Brett Stalbaum, together with a wider team of poets and professors, devised the Transborder Immigrant Tool (TBT) to improve the odds of a safe crossing of the Mexico–U.S. border. Thousands of people have died in their journey, mostly due to its vertiginous and deserted geography. The TBT consists of a GPS system (in this case, standing for Geo Poetic System) with 24 hours of experimental poetry aimed at providing not only inspiration for survival, but also information on food/water caches, security activities, and directions to potentially safer routes. Its simple, user-friendly interface is designed as an easy hack to low-cost cell phones. (</w:t>
      </w:r>
      <w:hyperlink w:history="1" r:id="rId128">
        <w:r w:rsidRPr="00850595">
          <w:rPr>
            <w:rStyle w:val="Hyperlink"/>
          </w:rPr>
          <w:t>http://www.arte-util.org/projects/transborder-immigrant-tool/</w:t>
        </w:r>
      </w:hyperlink>
      <w:r>
        <w:t>)</w:t>
      </w:r>
    </w:p>
    <w:p xmlns:wp14="http://schemas.microsoft.com/office/word/2010/wordml" w:rsidRPr="00890960" w:rsidR="00E45F43" w:rsidP="00E45F43" w:rsidRDefault="00E45F43" w14:paraId="0000BE1D" wp14:textId="77777777">
      <w:pPr>
        <w:pStyle w:val="ListParagraph"/>
        <w:numPr>
          <w:ilvl w:val="0"/>
          <w:numId w:val="20"/>
        </w:numPr>
      </w:pPr>
      <w:r>
        <w:t>Note: The Sonoran Desert is where the Devil’s Highway is!</w:t>
      </w:r>
    </w:p>
    <w:p xmlns:wp14="http://schemas.microsoft.com/office/word/2010/wordml" w:rsidRPr="008701DC" w:rsidR="00E45F43" w:rsidP="00E45F43" w:rsidRDefault="00E45F43" w14:paraId="31AF839C" wp14:textId="77777777">
      <w:pPr>
        <w:rPr>
          <w:sz w:val="14"/>
        </w:rPr>
      </w:pPr>
      <w:r w:rsidRPr="008701DC">
        <w:rPr>
          <w:rStyle w:val="Style13ptBold"/>
        </w:rPr>
        <w:t>Johannes 15</w:t>
      </w:r>
      <w:r w:rsidRPr="008701DC">
        <w:rPr>
          <w:sz w:val="14"/>
        </w:rPr>
        <w:t xml:space="preserve"> (Daniela, originally from Chile, obtained her Ph.D from The University of Arizona on Spanish and Border Studies. She teaches classes on Latinos and Latin American Studies, Women's and Gender Studies, and Spanish; her research focuses on the dynamic relationship between individually motivated actions, modes of security and material culture as it takes place in U.S-Mexico Border, Desert and Death: Biopolitical Landscapes and Affect in US-Mexico Border Representations, 112-139, The University of Arizona, 2015, </w:t>
      </w:r>
      <w:hyperlink w:history="1" r:id="rId129">
        <w:r w:rsidRPr="008701DC">
          <w:rPr>
            <w:rStyle w:val="Hyperlink"/>
            <w:sz w:val="14"/>
          </w:rPr>
          <w:t>https://repository.arizona.edu/bitstream/handle/10150/581327/azu_etd_14061_sip1_m.pdf?sequence=1</w:t>
        </w:r>
      </w:hyperlink>
      <w:r w:rsidRPr="008701DC">
        <w:rPr>
          <w:sz w:val="14"/>
        </w:rPr>
        <w:t>) //jd</w:t>
      </w:r>
    </w:p>
    <w:p xmlns:wp14="http://schemas.microsoft.com/office/word/2010/wordml" w:rsidRPr="00E64250" w:rsidR="00E45F43" w:rsidP="0673B170" w:rsidRDefault="00E45F43" w14:paraId="0379CD52" wp14:textId="77777777" wp14:noSpellErr="1">
      <w:pPr>
        <w:rPr>
          <w:rStyle w:val="StyleUnderline"/>
        </w:rPr>
      </w:pPr>
      <w:r w:rsidRPr="0673B170" w:rsidR="0673B170">
        <w:rPr>
          <w:sz w:val="16"/>
          <w:szCs w:val="16"/>
        </w:rPr>
        <w:t xml:space="preserve">This Chapter examines the relationship between human agency, the politics of nature and the intervention of technology related to the electronic disturbance object, the “Transborder Immigrant tool” (TBT), designed by the art collectives b.a.n.g. lab. and Electronic Disturbance Theater 2.0 (EDT). </w:t>
      </w:r>
      <w:r w:rsidRPr="0673B170" w:rsidR="0673B170">
        <w:rPr>
          <w:rStyle w:val="StyleUnderline"/>
        </w:rPr>
        <w:t>TBT consists of a device designed from designed from the modification of outdated cellphones and distributed to migrants who intend to cross the U.S.-Mexico border. The tool is supposed to serve as a navigation aid towards survival landmarks across the obstacles of the Sonoran Desert: The U.S. Southern Border ́s natural and intended hardships landscape (see FIGURE 5). It establishes a virtual and material connection that is shown as a chain of benevolent assamblages between the collective, that monitors from the U.S.- based in San Diego, CA and the migrants that make use of the tool. Other material elements can be thought of as actors of this network, this include the desert geography, elements and scenery, the hydration tanks that have been set up by local humanitarian groups (such as Humane Borders and the Samaritans) and the official and civil patrols that want to contain the movement of migration</w:t>
      </w:r>
      <w:r w:rsidRPr="0673B170" w:rsidR="0673B170">
        <w:rPr>
          <w:sz w:val="16"/>
          <w:szCs w:val="16"/>
        </w:rPr>
        <w:t xml:space="preserve">. Such relationships can also be conceived as part of a technological milieu, reticulatory and relational in nature, belonging to an era that Gilbert Simondon (1989; 2011) called an “associated techno-geographical milieu” and Bernard Stiegler (2011) added the suffix of the “digital”, a time when the preponderance of (digital) machines instantiate for reconfigurations of technologies of control, without stopping the material consequences at the level of environmental and human casualties. </w:t>
      </w:r>
      <w:r w:rsidRPr="0673B170" w:rsidR="0673B170">
        <w:rPr>
          <w:rStyle w:val="StyleUnderline"/>
        </w:rPr>
        <w:t xml:space="preserve">This study explores the multiple performances of humans and non-human bodies at play in the configurations of TBT assemblages through material-oriented approaches that argue that objectual matter is not as passive or inert, but active and lively in the construction of political practices and human processes (Bennet, 2010). This idea takes its relevance from the fact that TBT is an object that circulates as an off-line version of the on-line </w:t>
      </w:r>
      <w:r w:rsidRPr="0673B170" w:rsidR="0673B170">
        <w:rPr>
          <w:rStyle w:val="StyleUnderline"/>
        </w:rPr>
        <w:t>“electronic disturbances” principle, to which the collective has adhered during the last two decades. As part of a dispute for border space, TBT emerges in parallel with the biometric performatic militarization of the border (Amoore and Hall, 2010), I argue, with shared prosthetic impulse, seeming to contest the digitalization and remote-controlness of military interventions of the U.S. at the Border and elsewhere</w:t>
      </w:r>
      <w:r w:rsidRPr="0673B170" w:rsidR="0673B170">
        <w:rPr>
          <w:sz w:val="16"/>
          <w:szCs w:val="16"/>
        </w:rPr>
        <w:t xml:space="preserve">. </w:t>
      </w:r>
      <w:r w:rsidRPr="0673B170" w:rsidR="0673B170">
        <w:rPr>
          <w:rStyle w:val="StyleUnderline"/>
        </w:rPr>
        <w:t xml:space="preserve">TBT also is a material contestation of the “prosthetics of law” (Pugliese, 2011), as explained below, since it functions as a tool for the extension of the body’s capacities, which adds to the abilities of migrant subjects to affect and to be affected by resembling at the time of reassembling and recoding state techno-operations. It inaugurates a “prosthetic transborderism”, by performing within and beyond the body of the subject who holds it in contestation to the militarization and virtualization of the border. Conventional hegemonic assemblages of subjects, objects, human and non-human acts and actions, digital and material nets that have been employed by state practices to locate, reach, identify, watch, and ultimately exterminate remote targets conceived as “invaders,” “contagious” or “trashing”. In contrast, TBT as a politics for human mobility involves a process of re-humanization that puts into question the mechanisms of inclusion and exclusion regarding the condition of the human. </w:t>
      </w:r>
      <w:r w:rsidRPr="0673B170" w:rsidR="0673B170">
        <w:rPr>
          <w:sz w:val="16"/>
          <w:szCs w:val="16"/>
        </w:rPr>
        <w:t>The Chapter starts disentangling the concept of “assemblage”, as conceived by New Materialist approaches, and describing the milieu in which TBT is situated and the global borderization performances with which it dialogues. Then it will turn to the object itself to explore its affective relations immersed in subsequent assemblages of human and non-human affairs. A question that this Chapter addresses is what does the object do and add to the border’s geographical and political landscape with which it interacts. Finally it will analyze the uniqueness of TBT’s humanitarism. Three processes of re-semantization take place through the object. First, the recycling of technological matter into the functions of geographic knowledge; second the recycling of information for new functionalities; third, the meaning of the performance of crossing the border becomes transiting and transitioning. Assemblage Assemblage has gained currency as a key word from the appropriation of the concept designated by the French word “agencement” in the work of Gilles Deleuze and Félix Guattari’s A Thousand Plateaus. It has come to designate an arrangement or a state of affairs and an ongoing process of arranging, organizing, or concealing how heterogeneous bodies, things or concepts get in contact with each other. A</w:t>
      </w:r>
      <w:r w:rsidRPr="0673B170" w:rsidR="0673B170">
        <w:rPr>
          <w:rStyle w:val="StyleUnderline"/>
        </w:rPr>
        <w:t>ssemblage as agencement designates connectivity, a productive and transformative excess beyond representation (Phillips, 108.) In Deleuzo- Guattarian terms, assemblages involve a continual process of emergence and becoming (4) and are composed of multiple unstable organic and non-organic elements, each invested with a capacity to transform the whole (Mc. Farlane 562.) As Wise reads them, assemblages put together a variety of objects, practices and affairs “between technology (content, material) and language (expression, non-corporeal effects).” (83.) In a Thousand Plateaus Deleuze and Guattari propose two intertwined coordinates in which assemblages work: horizontal and vertical. The first one is composed of “machinic assemblages of bodies, actions and passions”, a designation of the emergent properties, content and expression of an assemblage, the language system to which all speakers of a language belong and the collection of qualities, things and relations, which exceed enunciation and desire. On the other hand, the vertical axis refers to the creation of territory and involves a distinction between being made (territorialization) and becoming unmade (deterritorialization) as bodies come together or disperse (88.) Wise notes that this process requires a constant making and unmaking, where assemblages are “always coming together and moving apart” (79.) I</w:t>
      </w:r>
      <w:r w:rsidRPr="0673B170" w:rsidR="0673B170">
        <w:rPr>
          <w:sz w:val="16"/>
          <w:szCs w:val="16"/>
        </w:rPr>
        <w:t>n Vibrant Matter: A political Ecology of Things Jane Bennett theorizes material vitalism to move agency “beyond human bodies and inter-subjective fields to vital materialities and the human-non-human assemblages they form” (30.) F</w:t>
      </w:r>
      <w:r w:rsidRPr="0673B170" w:rsidR="0673B170">
        <w:rPr>
          <w:rStyle w:val="StyleUnderline"/>
        </w:rPr>
        <w:t>ollowing Deleuze and Guattari’s concept of assemblages and Spinoza’s phenomenology and his concept of the “affective,” she develops a theory of distributive agency. Bennett deploys her realization of assemblages as “ad hoc groupings of diverse, of vibrant materials of all sorts...living throbbing confederations that are able to function despite the persistent presence of energies that confound them from within.” (24.) B</w:t>
      </w:r>
      <w:r w:rsidRPr="0673B170" w:rsidR="0673B170">
        <w:rPr>
          <w:sz w:val="16"/>
          <w:szCs w:val="16"/>
        </w:rPr>
        <w:t>runo Latour's Actor-Network Theory (ANT), following Tarde ́s vitalism had already proposed that the s</w:t>
      </w:r>
      <w:r w:rsidRPr="0673B170" w:rsidR="0673B170">
        <w:rPr>
          <w:sz w:val="16"/>
          <w:szCs w:val="16"/>
        </w:rPr>
        <w:t>ocial must be defined “as a very peculiar movement of re-association and reassembling”(7.) In other words, the constitution of the social is linked to a range of associations (or networks of actors) that sustains and puts together particular kinds of social relations. As Allison Cavanagh suggests, Latour's ANT differs from Deleuze and Guattari's conceptualization of assemblage (focused on the agentic capacities of non-discrete parts) given its focus on parts in relation to the composition of the whole: “once it is incorporated within the network, it comes to function as part of that network, and disappears from view as a discrete object or agent” (45.) B</w:t>
      </w:r>
      <w:r w:rsidRPr="0673B170" w:rsidR="0673B170">
        <w:rPr>
          <w:rStyle w:val="StyleUnderline"/>
        </w:rPr>
        <w:t>ennett open puts together the Latourian and Deluzo-Guattarian perspectives on assemblages. In her view, once assemblages are formed they have their own capacity to act and to be “agentic.” Through the concept of “vibrant matter” she recognizes the diverse ways in which agency acts and is distributed via processes of emergence and becoming. In these configurations of distributed agency, matter is constituted in terms of various assemblages with different affective capacities, involving both human and non-human actors’. In this sense, the materialities that form the conglomerate as well as the assemblage itself act in unison. T</w:t>
      </w:r>
      <w:r w:rsidRPr="0673B170" w:rsidR="0673B170">
        <w:rPr>
          <w:sz w:val="16"/>
          <w:szCs w:val="16"/>
        </w:rPr>
        <w:t>his material vitalism, according to which matter has an agency to modify other bodies (Deleuze and Guattari) has been developed by New Materialists in recent years as a particular concern with the place of the nonhuman in the social, cultural and political life under the new materialist turn. 30 R</w:t>
      </w:r>
      <w:r w:rsidRPr="0673B170" w:rsidR="0673B170">
        <w:rPr>
          <w:rStyle w:val="StyleUnderline"/>
        </w:rPr>
        <w:t xml:space="preserve">elevant for the analysis of the emergence of TBT as a political aesthetic- affective artifact of vibrant material vitality, is how affective forces through means of materialities form this object. As an assemblage, TBT meant to dissipate the binaries of life/matter, human/nonhuman, will/determination, organic/non-organic. Nonhuman agents such as technology, elements of nature, landscapes play a primary role in its vital politics. Organic and inorganic matter, natural and cultural are affective in the sense that they produce an effect in other bodies. As Jane Bennett interprets Spinoza, affect is a capacity of any body for impulse an act of agency and to respond to it: “...both simple bodies...and the complex mozaicised modes they form are conative...every mode, if it is to persist, must seek new encounters to creatively compensate for the alterations of affections it suffers.” </w:t>
      </w:r>
      <w:r w:rsidRPr="0673B170" w:rsidR="0673B170">
        <w:rPr>
          <w:sz w:val="16"/>
          <w:szCs w:val="16"/>
        </w:rPr>
        <w:t>(22.) Here, affect intersects with assemblage, since to be a mode is expressed by its potential to form part of an encounter and to mode(e)ify and be modified by others. Through Bennett’s reading of Spinoza we understand that, even though the capacities of any mode or object aren’t hierarchized, the power of affect is only realized through assemblages and it goes in different ways and with different intensities, which she conceives as being distributed (not centered exclusively in human bodies or efforts). Deleuze and Guattari in Thousand Plateaus referred to this point made by Bennett on activity and responsiveness and distribution this way: ...we know nothing about a body until we know what it can do, in other words, what its affects are, how they can or cannot enter a composition with other affects, with the affects of another body,... to destroy that body or be destroyed by it... to exchange actions and passions with it or to join with in composing a more powerful body (257). Starting from this base, next section develops the functional assemblages of the border as a material and immaterial landmark that works through affects. The capacities of the human to govern nature, territory and population are reflected as modes of bordering. Nature T</w:t>
      </w:r>
      <w:r w:rsidRPr="0673B170" w:rsidR="0673B170">
        <w:rPr>
          <w:rStyle w:val="StyleUnderline"/>
        </w:rPr>
        <w:t>he Sonoran Desert has gradually gained relevance for the contested politics of mobility (Squire, 2011). Composed of a variety of military sites, wildlife reserves, private ranches, indigenous lands and detention facilities, it has been materially and ideologically stigmatized as the landscape of illegal crossings and the death of migrants. At the lower confines of the U.S. national territory, it has emerged in post-NAFTA media imaginaries, in association with historical antagonisms or, according to Pratt (1992), within “contact zones”31, contact with the unknown, penetrating horde-like mass of (in)humans, a terrain of otherness that inspires danger (Hill, 2009). I</w:t>
      </w:r>
      <w:r w:rsidRPr="0673B170" w:rsidR="0673B170">
        <w:rPr>
          <w:rStyle w:val="StyleUnderline"/>
        </w:rPr>
        <w:t>n recent years, three agents that control the space have marked the border as an assemblage: the danger of natural elements, the intensification of border control and the proliferation of humanitarian activism. The desert area and its effects on human bodies are part of a sovereign mapping practice for securitization, one that has involved financial moves, technological investments, advertising campaigns, physical and symbolic enforcement, institutions and agencies that still move bodies into violent encounters. On the other hand, the Border Patrol efforts of border “operations” to extirpate focuses of exterior penetration have succeeded to move points of entrance to the West side of the territory, this is, desert-ward, intending to make the Other more “</w:t>
      </w:r>
      <w:r w:rsidRPr="0673B170" w:rsidR="0673B170">
        <w:rPr>
          <w:rStyle w:val="StyleUnderline"/>
        </w:rPr>
        <w:t>territorializable”, as well as “terrorizable”</w:t>
      </w:r>
      <w:r w:rsidRPr="0673B170" w:rsidR="0673B170">
        <w:rPr>
          <w:sz w:val="16"/>
          <w:szCs w:val="16"/>
        </w:rPr>
        <w:t>. In 1994 during the Clinton presidency, the U.S. Immigration and Naturalization Service (INS) began the Southwest Border enforcement Strategy, which was continued and improved during Bush’s presidency. Aiming for “prevention through deterrence,” the strategy attempted to make it “so difficult and so costly to enter the USA illegally that fewer individuals even try” (INS 1996:3, Cornelius 2001). T</w:t>
      </w:r>
      <w:r w:rsidRPr="0673B170" w:rsidR="0673B170">
        <w:rPr>
          <w:rStyle w:val="StyleUnderline"/>
        </w:rPr>
        <w:t>o this end, Border Patrol operations such as “Operation Gatekeeper” and “Operation Hold the line” traced the trajectory of the desert landscape as border and as dangerous. They also were crucial performances that manipulated the desert affects to be seen as a “natural” tool to designate the illegal. If such developments intended to make migrants crossings less appealing, they have also rendered them more lethal as migrant deaths increase year after year (Andrew Burridge 2009; Juanita Sundberg 2012.) Affectively, the border observes/absorbs the flows of intentions in different directions, but a specific flow of power runs North to South, in which state enforcements have managed to enmesh human fatality and natural elements as two indistinguishable and irreversible forms for affect. Roxanne Lynn Doty draws attention to the deadly migratory journey under the enforcement of prevention through deterrence: “crossing the border without authorization now became an extremely dangerous proposition in which death lurked in every new migrant crossing route, through formidable mountain ranges and along desolate, heat-scorched desert lands” (</w:t>
      </w:r>
      <w:r w:rsidRPr="0673B170" w:rsidR="0673B170">
        <w:rPr>
          <w:sz w:val="16"/>
          <w:szCs w:val="16"/>
        </w:rPr>
        <w:t>605.) Doty describes these affects of the desert as part of a “raw physicality”, where environments have an inherent power, utilized for the ends of a masked social and political power. This, she indicates, is evident where migrants are classified as dying from “natural” causes, such as extreme heat, dehydration, thirst, or exposure to the elements. What Doty highlights here is an insight that many other scholars have noted: that the physical forces of the desert have increasingly been mobilized as a means to control migrants over recent years, particularly through the strategy of ‘funneling’ migrants through remote and dangerous terrain (Rubio-Goldsmith, McCormick, Martinez and Duarte 2006; Johnson 2007; Sundberg 2011.) While exposure to hazardous elements is-as a matter of fact- fatal, Doty’s analysis nevertheless allows one to perceive the ways in which the assemblage of the physical forces of the desert and human death are part of a moral alibi by which the US state seeks to evade responsibility for such deaths, and how it deploys death by natural elements as a kind of natural selection of qualifying bodies. M</w:t>
      </w:r>
      <w:r w:rsidRPr="0673B170" w:rsidR="0673B170">
        <w:rPr>
          <w:rStyle w:val="StyleUnderline"/>
        </w:rPr>
        <w:t>igrant ́s deaths coincide with the suicidal feature of terrorism. If terrorists risk their own life for the sake of inflicting damage to others, the crossing of the border as a life risk-taking act can be constructed as having similar connotations. As the attacker ́s body of the 9/11/01 is literally read as weapon, its body ́s disintegration is inseparable from that of the victim ́s bodies. If read figuratively—as in figures and in metaphor—the death of the suicide bomber, as well as the migrant ́s death, comes to signify the disintegration of another body, that of the nation.</w:t>
      </w:r>
      <w:r w:rsidRPr="0673B170" w:rsidR="0673B170">
        <w:rPr>
          <w:sz w:val="16"/>
          <w:szCs w:val="16"/>
        </w:rPr>
        <w:t xml:space="preserve"> The image of the migrant has been reconstructed in the 2000 ́s as an odd correlate of the image of terror, an image that stems from State racism. The migrant subject transgressing the human instinct of life performs to the eyes of population an “attack” to the body of “us”. It is an image that has a media background (Hill, 2005) and that produces a feared life threat to those who witness it. It is not fortuitous that 2001 ́s events “enforced” the relevance of the border as territory, even though the attacks didn ́t actually “cross” any territorial boundary. W</w:t>
      </w:r>
      <w:r w:rsidRPr="0673B170" w:rsidR="0673B170">
        <w:rPr>
          <w:rStyle w:val="StyleUnderline"/>
        </w:rPr>
        <w:t xml:space="preserve">hat is highlighted instead is a kind of danger that signifies the idea of illegal migrants crossing-and dying by their own will- in the desert. Risking their lives is seen as an unnatural drive derived from the crossing of the border, nature would be put to fight on the side of the biopolitical intent of the state to keep the “natural order” on national territory. The generation of risk at the border is a double-edged weapon that, through risking life of others, produces internal risks as means of security. If crossing the geopolitical border without the required documentation is a life- threatening attempt, it is also threat to the ability of the State to manage life. For Foucault (2003) this is how a biopolitical State operates, with racism as its main mechanism of power. “Biopolitics” is a politics that is organized by and for the control and regulation of life. </w:t>
      </w:r>
      <w:r w:rsidRPr="0673B170" w:rsidR="0673B170">
        <w:rPr>
          <w:sz w:val="16"/>
          <w:szCs w:val="16"/>
        </w:rPr>
        <w:t>It is informed by a discourse on life that is about life as much as it appears, strategically, to belong to life itself, as if it were a natural sacred, invulnerable value, the power can be exercised “in such a way that it is capable of suppressing life itself. And therefore, to suppress life itself insofar as it is the power that guarantees life” (253). This is to say that a biopolitical crossing or damaging invasion on the part of the migrant serves the state in its anti-immigration policies to actually promote life as a means of defense. The Other in this sense will be killed in a way that is “allowed” to die to promote the health and well being of the nationhood. In order to decide which lives to save (“make live”) and which ones to dispose (“let die”) racism is i</w:t>
      </w:r>
      <w:r w:rsidRPr="0673B170" w:rsidR="0673B170">
        <w:rPr>
          <w:sz w:val="16"/>
          <w:szCs w:val="16"/>
        </w:rPr>
        <w:t>ntroduced as a sort of tool for arbitrary selection (which is thought to be a kind of “natural selection”). Racism would allow the power of killing as the justification for preserving life, “racism makes it possible to establish a relationship between my life and the death of other that is not military . . . but a biological-type relationship” (255) In 2005 The Border Protection, Anti-terrorism, and Illegal Immigration Control Act established the construction of a 700 miles of material fence across the southern border with Mexico (see Brown, 2010; Dear, 2015) as a priority. While this legislation did not pass through the Senate, the Secure Fence Act of 2006 nevertheless put this plan into action, drawing on the 2005 REAL ID Act to waive existing legislation in order to prioritize the construction of the physical barrier at the border. By March 2012, Homeland Security had erected all but 14 miles of the proposed fence. In addition to physical sections of the fence, virtual fencing through cameras and lighting has been developed as a means of surveillance, which complements the more recent, though limited, use of overhead drones. The border fence is often conceived of as an expensive symbolical gesture, yet also brings to bear an obvious materiality and in fact one that does not always operate as its designers planned (Sundberg, 2011.) Amoore (2010) in her interviews with border security software designers shows how the virtual border builds as a collection of data for the re-writing of the border. T</w:t>
      </w:r>
      <w:r w:rsidRPr="0673B170" w:rsidR="0673B170">
        <w:rPr>
          <w:rStyle w:val="StyleUnderline"/>
        </w:rPr>
        <w:t xml:space="preserve">he geography witnesses a spatial stretching in the assemblage of mobile people, objects and data, in a system designed to operate beyond the territorial line of borders. Her study shows that this leads to categorical judgments regarding identities on the base of matching features that the algorithmic model throws. These practitioners govern through the indiscriminate scattering of data, she says: “the graphing of the geo thus incorporates sovereign decisions that exceed the state itself and spatial processes of searching and scanning, detention and deportation that are located far away from the visible policing of the border line.” (63.) In effect, within these global, data-driven systems, border lines, as well as lines between qualified humans are also drawn by the connecting rules between items derived from data (think for example in the racial profiling principle of SB 1070.) The connecting rules of algorithmic models are exceptional at the core, since it is never quite clear which elements produce what type of risk to the nation. </w:t>
      </w:r>
      <w:r w:rsidRPr="0673B170" w:rsidR="0673B170">
        <w:rPr>
          <w:sz w:val="16"/>
          <w:szCs w:val="16"/>
        </w:rPr>
        <w:t>“Just as the collection of spatial data was intrinsic to the history of cartographic writings of the border line, so the data collected in the course of commercial transactions with airlines, travel agencies, banks and credit card companies are assembled to write a new cartography of the border line” (63). The data that Amoore refers to forms the assemblages of global circulations, and for precisely this fact, they become the means of mapping and securing a world in movement and not only the regional border in question. The contemporary border milieu actively incorporates this digital means of security into its capacity to govern the line that exceeds the digital realm and affect off-line emergences. Thus, for instance, when people are wrongly targeted as a high risk, detained on the basis of a score derived from data that is not their own but associated with them, the system never recognizes the mistake, but incorporates them as new data with which to refine the rules and keep re-writing the border. It brings about new ways, as Sparke (2005) has suggested, of “graphing the geo” (xiv)32 through novel spatial processes. The “geo-graphing” itself, the very capacity to write the world and draw the lines of safe/dangerous, of risk/at risk, here/there, is located in an assemblage of state and commercial authorities, bodies, money, data and things who dwell together in the border landscape. The TBT object released into this landscape enters in relationship with these assemblages and the already set up dispute of nature between two positions: the humanitarian intents to defend life itself through the provision of water and the Homeland operations, with nature as a background that serves as an alibi,33 in that it kills by “allowing” death. Relevant for the emergence of TBT is how -as a political artifact- the object relates to the affective forces of the elements of nature in that the tool engages the afflicted body that carries it with the geo- graphing of the device in a way that suggests a (bodily) response either to avoid or encounter such affects, as well as avoiding or encountering apprehension. Technology T</w:t>
      </w:r>
      <w:r w:rsidRPr="0673B170" w:rsidR="0673B170">
        <w:rPr>
          <w:rStyle w:val="StyleUnderline"/>
        </w:rPr>
        <w:t>he analytical starting point for this section is the Transborder Immigrant Tool as an object of affect and part of an assemblage, appealing to the question of “what an object does”. The human-nature-technology relation that TBT creates comes from EDT’s politics of humanitarian artivism and hactivism34 in response to the proliferation of digitalized border control. My concern here is with exposing the significance of humanitarian politics as these are played out through the materiality of the object and as it relates to the Sonoran desert itself.35 Specifically, my focus is on the ways in which material engagements in the hands of humanitarism can be understood biopolitically in their attempts to “re-humanize” through remote-control devices. While new materialist approaches have brought to the table the struggles over the very category of human, they help put into perspective how attempts to re-humanize the discussion of immigration and the logic of enforcement are biopolitically problematic. T</w:t>
      </w:r>
      <w:r w:rsidRPr="0673B170" w:rsidR="0673B170">
        <w:rPr>
          <w:sz w:val="16"/>
          <w:szCs w:val="16"/>
        </w:rPr>
        <w:t>echnological innovations for the securitization of the border have contributed to build a “virtual fence” for “datavilleance” (Amoore 2006) that runs parallel to the actual fence, as which the US state seeks to evade responsibility for such deaths, at the time of showing off death by natural elements as a kind of natural selection of qualifying bodies. I</w:t>
      </w:r>
      <w:r w:rsidRPr="0673B170" w:rsidR="0673B170">
        <w:rPr>
          <w:rStyle w:val="StyleUnderline"/>
        </w:rPr>
        <w:t>n Amoore’s words, the mobilization of s</w:t>
      </w:r>
      <w:r w:rsidRPr="0673B170" w:rsidR="0673B170">
        <w:rPr>
          <w:rStyle w:val="StyleUnderline"/>
        </w:rPr>
        <w:t>ophisticated technologies for locating and tracking bodies that cross illegally is a “highly ritualized emblem” of border performances. For those who cross the border these performances contribute to the configuration of their bodies as “illegal migrants” by the trespassing of consecutive barriers to the nation: first, by overcoming the hostile natural and human elements of the militarized desert landscape; then, once in the US, by possibly joining a vulnerable and tractable workforce in constant threat of apprehension, detention or/and removal. Finally, the constant occurrence and threat of death configures their bodies, case in which they become an anonymous form of testimony to the “obscene underside” of the securitized spaces of exception of the war on terror (Akers Chacón and Davis, 2006.) Th</w:t>
      </w:r>
      <w:r w:rsidRPr="0673B170" w:rsidR="0673B170">
        <w:rPr>
          <w:sz w:val="16"/>
          <w:szCs w:val="16"/>
        </w:rPr>
        <w:t>e Transborder Immigrant Tool is a project developed by the artist Micha Cárdenas and professor Ricardo Domínguez and carried out by Electronic Disturbance Theatre (EDT) and b.a.n.g. lab, a research collaborative he directs at the California Institute for Telecommunications and Information Technology, or Calit2. It</w:t>
      </w:r>
      <w:r w:rsidRPr="0673B170" w:rsidR="0673B170">
        <w:rPr>
          <w:rStyle w:val="StyleUnderline"/>
        </w:rPr>
        <w:t xml:space="preserve"> emerges in direct relation to the technological display of border governance, as it claims to be an act of “electronic civil disobedience” intending to “temporarily reverse” and block the flows of power (see http://bang.transreal.org/transborder-immigrant-tool/). “Electronic Civil Disobedience” originally wrote it as a performance, then an artistic installation and later it was printed and published online. This transition through different modalities indicates a restructuring of ways to bring oppositional power across new forms of sociality- mediated by technology and the virtual- that are enacted through material as well as immaterial realms. The concept of TBT in the context of these intentions was originally thought as a form of non-violent resistance by means of virtual action at a historical moment in which power has become nomadic and untargetable. As </w:t>
      </w:r>
      <w:r w:rsidRPr="0673B170" w:rsidR="0673B170">
        <w:rPr>
          <w:sz w:val="16"/>
          <w:szCs w:val="16"/>
        </w:rPr>
        <w:t xml:space="preserve">it is stated in the prologue to their book, “CAE tries to get beyond the traditional activist position enveloped in anti-logos (rationalized resistance to domination) by searching for the (non)location of the inherently contestational energy of nomos.”(34) Through this nomadic impulse, following Deluzo-Guattarian speculation, it offers a way to confront the classic impulse to conquer space according to its needs, regardless of unavoidable social impairments and immobility. CAE follows capitalist nomadisms with the intent to undermine it by creating its ways of mobility through a virtual open space. CAE seems to be aware of the maneuvers of capitalist power in space and how the digital age has given room for it to expand at virtual parallel landscapes: “One </w:t>
      </w:r>
      <w:r w:rsidRPr="0673B170" w:rsidR="0673B170">
        <w:rPr>
          <w:rStyle w:val="StyleUnderline"/>
        </w:rPr>
        <w:t>essential characteristic that sets late capitalism apart from other political and economic forms is its mode of representing power. What was once a sedentary concrete mass has now become a nomadic electronic flow... If mechanisms of control are challenged in one spatial location, they simply move to another location” (7-9). The increasingly decentralized power of capital as well as it ́s epidemic-like expansion in material and virtual space provides the scenario within which nomadic resistance is employed. In fact, CAE ́s purpose was to make the concept of “Electronic civil disobedience” expand in a way that it would go “viral” throughout population and to make it a recurrent concept. Making it as visible as possible, it would generate a contagious effect, naturalizing the concept, as Dominguez reveals in his presentation at CCP, UofA (2014). This</w:t>
      </w:r>
      <w:r w:rsidRPr="0673B170" w:rsidR="0673B170">
        <w:rPr>
          <w:sz w:val="16"/>
          <w:szCs w:val="16"/>
        </w:rPr>
        <w:t xml:space="preserve"> initiative was one of the firsts in developing the denial-of-service protests, such as the project “Swarm the Minutemen”, in which they hacked the website of that vigilante group through a sophisticatedly designed software. TBT was specifically developed as a safety-net device, to provide migrants with geographical coordinates (and random encouraging poetry verses) during the practice of walking through the desert. They recycled old Motorola cellphone devices to serve as practical tools without SIM card installed or available network service and enabled GPS with a Virtual Hiker algorithm developed by Brett Stalbaum. This algorithm traces a virtual trail through the particular terrains of the desert and orients users towards concurrent trails and water stations installed by humanitarian groups. The device shows a customized geography that, according to their website, can serve migrants to “parse out the best routes and trails on that day and hour for immigrants to cross this vertiginous landscape as safely as possible.” Here, the materiality of the object is not only a technological support for the bearer; it also penetrates the life of everyday/hour rhythms. The tool, as their blog says, was designed for emergency scenarios, to “direct a lost person to a nearby safety site” (http://blog.zkm.de/en/dialogue/border-art-research-visible- borders-invisible-people-transborder-immigrant-tool/) If t</w:t>
      </w:r>
      <w:r w:rsidRPr="0673B170" w:rsidR="0673B170">
        <w:rPr>
          <w:rStyle w:val="StyleUnderline"/>
        </w:rPr>
        <w:t>he migrant crosses paths with a member of an official or an unofficial patrol connected to the network the device vibrates at them. The tool in this sense engages the body that carries it with the movements of the device in a way that suggests a response with</w:t>
      </w:r>
      <w:r w:rsidRPr="0673B170" w:rsidR="0673B170">
        <w:rPr>
          <w:rStyle w:val="StyleUnderline"/>
        </w:rPr>
        <w:t>in the intentions of avoiding apprehension, one that is of a bodily affect. We might think at this point of Deleuze and Guattari ́s well-known paradigm of the wasp-orchid, according to which two genetically unaffiliated species come into contact with each other and reciprocally adapt their morphology so that the wasp (the pollinator of the orchid) anatomically “traces” the form of the orchid flower, and vice-versa. Th</w:t>
      </w:r>
      <w:r w:rsidRPr="0673B170" w:rsidR="0673B170">
        <w:rPr>
          <w:sz w:val="16"/>
          <w:szCs w:val="16"/>
        </w:rPr>
        <w:t xml:space="preserve">e </w:t>
      </w:r>
      <w:r w:rsidRPr="0673B170" w:rsidR="0673B170">
        <w:rPr>
          <w:rStyle w:val="StyleUnderline"/>
        </w:rPr>
        <w:t>two organisms thus become a hybrid wasp-orchid or orchid-wasp. The vocabulary of “code-capture” that Deleuze and Guattari use to describe the resulting assemblage is particularly relevant: “not imitation at all but a capture of code, ... a becoming-wasp of the orchid and becoming-orchid of the wasp” (10.) The electronic resistance offered by TBT resembles a wasp-orchid material affect, in which the tool and body at their contact are able to code-capture each other ́s materialities. On one side, as a prosthetic member of the body, it enables the migrant to walk through (trespass, penetrate, overcome) the hazards of a certain landscape. On the other side of the coin, its prosthetic functionality entails a mechanism of enabling/disabling bodies. Th</w:t>
      </w:r>
      <w:r w:rsidRPr="0673B170" w:rsidR="0673B170">
        <w:rPr>
          <w:sz w:val="16"/>
          <w:szCs w:val="16"/>
        </w:rPr>
        <w:t xml:space="preserve">eories of Disabilities are usually emphatic in distinguishing between physical impairment and the social construction of disability (obviating the fact that lack of mobility physically impairs the body.) In Bending Over Backwards, Lennan Davis explains that “impairment is the physical fact of lacking an arm or leg. Disability is the social process that turns an impairment into a negative by creating barriers to access.” (12). In the same way as impaired bodies are construed as other at expenses of itself (this is, even if an impaired body is totally autonomous is conceived as lacking and anomalous or not complete or normal), a disabled body, for lack of access and mobility, falls naturally in the category of deviant. The </w:t>
      </w:r>
      <w:r w:rsidRPr="0673B170" w:rsidR="0673B170">
        <w:rPr>
          <w:rStyle w:val="StyleUnderline"/>
        </w:rPr>
        <w:t>exercise of biopower puts the functional body as the center topic. The border is conceived as a practice, through the deployment of technologies for the governing of human mobility. In this sense, the border is an organism with multiple tentacles that selects between able and disabled bodies. Mobilities, as Tim Creswell proposes, frame bodies into social constructions and are produced within certain conditions of (unequal) power relations: “The idea of a right to mobility, and mobility as an attribute of citizenship, is transformed if we start from the assumption of socially produced mobility rather than mobility as an attribute of an autonomous body”(166). For him citizens are always “prosthetic citizens” in that they are always dependent on material ways of constrains and social interconnections that allow them to perform as such, as well as a “wider network of institutions and technologies that enable and/or disable mobility”(167). For</w:t>
      </w:r>
      <w:r w:rsidRPr="0673B170" w:rsidR="0673B170">
        <w:rPr>
          <w:sz w:val="16"/>
          <w:szCs w:val="16"/>
        </w:rPr>
        <w:t xml:space="preserve"> Cresswell the different abilities to move in space and in society are part of a liberal conception of rights that announce an uneven geography of oppression. In this sense, the mobile body is the able body in terms of the liberal societal norms of conduct. The fact that mob(a)bility is dependent on the material conditions of certain constructed environment at the time that is inscribed in geographies of difference, affirms citizenship as inseparable from the prosthetic: “Mobility, in a world in which people and things are intimately interconnected, is clearly not a capacity of individual inalienable properties of bodies, but a product of a multitude of human/environment interfaces –a product of geography. It is this interconnection between the human body and the wider world that signals the arrival of the prosthetic subject-citizen” (167). If w</w:t>
      </w:r>
      <w:r w:rsidRPr="0673B170" w:rsidR="0673B170">
        <w:rPr>
          <w:rStyle w:val="StyleUnderline"/>
        </w:rPr>
        <w:t>e think of the TBT prosthetic impulse in relation to the prosthetic citizen, belonging to the norm requires more than an autonomous body, it is always “made able” by supplying that which a bare life lacks, the prosthesis of law and the legal. In this sense, TBT plays into the same discourse of other humanitarian impulses, where human life is defended as “bare life” (Agamben) and thus blindspots the socio-political and ethical network to which the human chooses to adhere (Chapter One.) Als</w:t>
      </w:r>
      <w:r w:rsidRPr="0673B170" w:rsidR="0673B170">
        <w:rPr>
          <w:sz w:val="16"/>
          <w:szCs w:val="16"/>
        </w:rPr>
        <w:t>o, it conforms to a landscape politics that considers natural elements as naturally hazardous, when they are not hazardous until incorporated in a certain politics (recycling “hiking” into crossing or “transgressing” the border) and until it is experienced as its “capacity. More</w:t>
      </w:r>
      <w:r w:rsidRPr="0673B170" w:rsidR="0673B170">
        <w:rPr>
          <w:rStyle w:val="StyleUnderline"/>
        </w:rPr>
        <w:t>over, the prosthesis allows access of the bearer (of the device, of the human rights) to be part of a broader network, which controls and distributes information from certain stand- point through a set of human and non-human actors. It Geo-tags locations and GPS-trackable entities such as the vigilante groups it identifies on the move and the actual holder of the phone. If on one side, it allows the identification of threats, TBT as a geoinformatics and locative media drives digital-physical conv</w:t>
      </w:r>
      <w:r w:rsidRPr="0673B170" w:rsidR="0673B170">
        <w:rPr>
          <w:rStyle w:val="StyleUnderline"/>
        </w:rPr>
        <w:t>ergence, such that it pervades the body that crosses that landscape, converting it into open digital data. As</w:t>
      </w:r>
      <w:r w:rsidRPr="0673B170" w:rsidR="0673B170">
        <w:rPr>
          <w:sz w:val="16"/>
          <w:szCs w:val="16"/>
        </w:rPr>
        <w:t xml:space="preserve"> the data-bodies interlock with physical locations, a digital territory and its operative border logics they join another assemblage, a global-locative network. As Stiegler puts it in Techniques and Times referring to the digitalization of territories, “the user also becomes data, traveling through 'data landscapes' -- that is, through electronic data that is physically located and situated on the interfaces simulating territorial space.” (3) TBT,</w:t>
      </w:r>
      <w:r w:rsidRPr="0673B170" w:rsidR="0673B170">
        <w:rPr>
          <w:rStyle w:val="StyleUnderline"/>
        </w:rPr>
        <w:t xml:space="preserve"> however, can be consulted any time for reasons that extend beyond the sought for safety and/or survival. Besides being built as a material addition to the nature-culture relations of the practice of migration, devices with GPS –according to its inceptors—transform the Global Positioning System into a “Global Poetic System”. The intention to help others survive means in this case to enable the other to transition and “transnation”. This is a way to disrupt the demeaning imaginaries around South-North migration that reduce the human condition of the other to bare life, as if the only element that compounds the human as such was the biological feature. Othe</w:t>
      </w:r>
      <w:r w:rsidRPr="0673B170" w:rsidR="0673B170">
        <w:rPr>
          <w:sz w:val="16"/>
          <w:szCs w:val="16"/>
        </w:rPr>
        <w:t xml:space="preserve">r cartographic instances of humanitarian aid, including Humane Border’s recreate conditioned reflects of a structural racism in their cartographic imaginary; the TBT on the other hand allows contesting reflects and reflections on the part of the migrant subject. TBT </w:t>
      </w:r>
      <w:r w:rsidRPr="0673B170" w:rsidR="0673B170">
        <w:rPr>
          <w:rStyle w:val="StyleUnderline"/>
        </w:rPr>
        <w:t>may not always be seen as a practical tool for survival, as is the case of the poems included in its functions, which appear in intervals of time as “poetic sustenance” and hospitality. As their website says, it is configured as part of their artivism as a “poetic gesture from its inception, the Transborder Immigrant Tool functions, via the aspirations of such a dislocative medium, as dislocative media, seeking to realize the possibilities of GPS beyond its ‘global positioning system’ with what Laura Borràs Castanyer and Juan B. Gutiérrez have termed a “global poetic system.” (http</w:t>
      </w:r>
      <w:r w:rsidRPr="0673B170" w:rsidR="0673B170">
        <w:rPr>
          <w:sz w:val="16"/>
          <w:szCs w:val="16"/>
        </w:rPr>
        <w:t>://blog.zkm.de/en/dialogue/border-art-research-visible-borders-invisible-people- transborder-immigrant-tool/). The deconstruction of the original acronym GPS by the art collective contests its cartographic development as it has been used by militarized police forces. This is, with a locative connotation, aiming to identify and purge “foreign bodies” external to the domestic body politics. Instead their dislocative and deterritorializing intention runs throughout the implementation of poetical and political art. In fac</w:t>
      </w:r>
      <w:r w:rsidRPr="0673B170" w:rsidR="0673B170">
        <w:rPr>
          <w:rStyle w:val="StyleUnderline"/>
        </w:rPr>
        <w:t>t, TBT can be read as a combined artistic art, which aims to help migrants to safely cross the border, but uses them as part of their own performance. The artists used the device to cross the desert themselves in an inaugural video- recorded performance that was uploaded to the web through Vimeo, making the border crossing a public art scene, which eventually turns it into yet another “ways of seeing” and representing the other. As use</w:t>
      </w:r>
      <w:r w:rsidRPr="0673B170" w:rsidR="0673B170">
        <w:rPr>
          <w:sz w:val="16"/>
          <w:szCs w:val="16"/>
        </w:rPr>
        <w:t>less as it may sound, the fact that the poems are inserted in the algorithm with a chronologic sequence, reflects on the time of crossing, where the vast space and the elements provoke the lost of sense of time. If it doesn’t alleviate the emotional difficulties, it may serve as a tool for time orientation. Fernanda Duarte in “Rerouting borders” concludes that this feature of TBT as an “impulse of radical poetry...reinforces the imagery of the tool beyond its geolocation functionality and recharges the immigrants to perceive themselves not as empty shells for labor but also as subjects sensitive to aesthetic” (72). Attach</w:t>
      </w:r>
      <w:r w:rsidRPr="0673B170" w:rsidR="0673B170">
        <w:rPr>
          <w:rStyle w:val="StyleUnderline"/>
        </w:rPr>
        <w:t>ed to the body of the crosser, poetry is meant to promote the “transition” of the crosser into a new space and create what Domínguez calls “the most aesthetic crossing”36. In Micha Cárdenas’s words, it is a gesture that provides “poetic sustenance, to enact a space of hospitality and to welcome the traveler into a new space” (Domínguez et. al. 2). If we thi</w:t>
      </w:r>
      <w:r w:rsidRPr="0673B170" w:rsidR="0673B170">
        <w:rPr>
          <w:sz w:val="16"/>
          <w:szCs w:val="16"/>
        </w:rPr>
        <w:t>nk of the TBT as an artistic project the purpose of making it useful fits into the context of new media art projects as post-political politics (artivism and hacktivism). The artwork is not a stable object, but a process in form of artistic software. Its usefulness is designed as an interface, therefore it is not complete until it reaches a user. The object as a useful artifact demands a certain knowledge from the user. For it to reach its prosthetic function (in contestation to the prosthetics of law), the user must have the ability for associative selection, algorithmic (logical) thinking and navigational procedures. In its uselessness, the poetic intervention as a purpose of artistic catharsis demands an aesthetic reception. In fact, the TBT includes the migrant in the art project, as a means of performing the humanitarian. The migrant virtually becomes the element that makes the project successful as an art of locative media. Even thou</w:t>
      </w:r>
      <w:r w:rsidRPr="0673B170" w:rsidR="0673B170">
        <w:rPr>
          <w:rStyle w:val="StyleUnderline"/>
        </w:rPr>
        <w:t>gh the tool entails a corporeal experience of movement and a sensorial experience, the crossing of the desert is stripped of its bodily affects to become a body with poetic needs, an aesthetic “body without organs”. Thinking about the tool in its performance ability, the electronic space becomes a medium for action rather than information. The uselessness of TBT as a performance in contrast with its inception as a tool of service is a feature</w:t>
      </w:r>
      <w:r w:rsidRPr="0673B170" w:rsidR="0673B170">
        <w:rPr>
          <w:rStyle w:val="StyleUnderline"/>
        </w:rPr>
        <w:t xml:space="preserve"> that makes TBT an object of disruption of the human/non-human divide. If matter is conceived from a human-centered perspective, it will always be measured in terms of its utility. The interaction of human bodies with objects, as Massumi observes, usually is conceived as one serving the purposes of the other. In this sense, things exist to act as prostheses for the body, but, “if bodies and objects exist only as implicated in each other, in necessary and useful reciprocity, then isn’t it just as accurate to say that the body is literally, materially, an organ of its things? In mutual implication, it is not clear who is used by whom” (96). This, as enacted in TBT’s usefulness would imply that the artivism utilizes the migrant as an organ to perceive an experience and as an actor of its performance. The instrumental body of the migrant becomes useful to the thing. If focused on the uselessness of the thing however, this connection is lost to give room to art as invention. Massumi writes of the uselessness of art as the counter-force to instrumental reason, “A flower in which humans see poetry rather than pharmaceuticals will also grow widely... The poetics of roses has led to a multiplication of strains, each bearing the name of its first human prosthesis. Need and utility lead to self-same reproduction. Uselessness, on the other hand, lends itself to invention.” (96) The TBT a</w:t>
      </w:r>
      <w:r w:rsidRPr="0673B170" w:rsidR="0673B170">
        <w:rPr>
          <w:sz w:val="16"/>
          <w:szCs w:val="16"/>
        </w:rPr>
        <w:t>s a political and artistic project is not so much its manufacture as it is the process of reshaping of the thing, its capacities to move and be moved, the repurposing of matter and its incorporation into a new context. It is a creation that emerges from the modification of the material, the ideological and the function of locative media. Materially, it is a phone that is not a phone. Ideologically, besides contesting the geographical information system of the agents of apprehension, it adds the artistic layer. As an aid TBT conceptualizes art as service, since apparently its aim is to perform a certain task and supposedly its function ends at solving the practical challenges for what it was designed. However useful it may be at a given moment in time and space, in the hands of an potential user, serving as aid is only one of many purposes of this tool and big part of it escapes this economical logic of service. Thought of as “kinetic poetry”, TBT is an artifact that still conserves part of the “aura” of traditional art, in the Benjaminian sense,37 a realm of culture that according to Lash (1990) separates the aesthetic experience from the social (11). However, instead of coming back to the divide of art v/s the social, the TBT in its “disturbing” principle may serve to disrupts this dichotomy. It breaks with the notion of anthropological and psychological aspects of such divide, which implies that the recipient must have a sophisticated ability for art reception that splits the appreciation of representations from the experience of the real. For Micha Cárdenas (Domínguez et. al. 2009), the project is concerned with “taking technology and repurposing it ...putting it in a different context and using it in a different way...taking that GPS technology and making it available to people that really, really need it”.38 Unfortunately, the accessibility of the tool to migrants has not been corroborated or measured. It is uncertain if the tool actually circulates through the border-crossing landscapes or if a migrant in despair has ever used it successfully. When Warren</w:t>
      </w:r>
      <w:r w:rsidRPr="0673B170" w:rsidR="0673B170">
        <w:rPr>
          <w:rStyle w:val="StyleUnderline"/>
        </w:rPr>
        <w:t xml:space="preserve"> asks Domínguez if the TBT is being used in concrete contexts, Domínguez answers: “Well we hope. The code can be used by other communities of artists to deal with their own poetics and aesthetics around their borders, to create transborders” (in Warren, 30). What is clear that the tool inaugurates an aesthetic and artistic form of activism at the border that didn’t exist before. If it fails as a practical application, it is certainly a political statement and an aesthetic one. Regardless of its switching informational codes, it does modify the image of the migrant from the passive carrier of contagion to an active antibody to the viral politics of the state. If it fails in initiating a self-sustained object agency for the recuperation of political capacities, it in turn allows one to assume a critical attitude regarding the roles of political subjects. As Domínguez concludes in his co-authored text: The Transborde</w:t>
      </w:r>
      <w:r w:rsidRPr="0673B170" w:rsidR="0673B170">
        <w:rPr>
          <w:sz w:val="16"/>
          <w:szCs w:val="16"/>
        </w:rPr>
        <w:t>r Immigrant Tool can be seen as part of a larger shift form Tactical Media to Tactical Biopolitics. While media artists of the late nineties and early two thousands were often concerned with the political potentials opened up by cheaper access to media technologies, we are interested in the political potential opened up by technologies which can serve to improve people’s lives directly”39 As TBT seeks t</w:t>
      </w:r>
      <w:r w:rsidRPr="0673B170" w:rsidR="0673B170">
        <w:rPr>
          <w:rStyle w:val="StyleUnderline"/>
        </w:rPr>
        <w:t xml:space="preserve">o reorient the configurations of border powers, its assemblages clearly orient its own politico-artistic visualities. While it has created an alternative spatiality and expanded the border assemblages through the element of electronic disturbance, it offers an idyllic inclusive border image where everyone can cross the border and where the politicized landscape of the desert is turned into a pleasurable ,safe, hikeable scene. By reversing the territorialization of governmental machinery for surveillance as removal, TBT has its ways of claiming such a territory as an accessible </w:t>
      </w:r>
      <w:r w:rsidRPr="0673B170" w:rsidR="0673B170">
        <w:rPr>
          <w:rStyle w:val="StyleUnderline"/>
        </w:rPr>
        <w:t xml:space="preserve">landscape through their agency and technology. Surveillance works through the device as an apparatus for “enabling” the crossing migrant subject. One of the implications of this kind of surveillance is the naming of the subject as such, falling into the representing arena of the other as victimized and disenabled or disabled target for the performance of humanitarian act. The target subject engaged with/in the device network becomes part of the assemblage while the human and humanitarian montage becomes the art piece. The migrant-moving actor- is mobilized for political ends. As an assemblage involving the academic institution, technologic scholarship, NGO ́s aid and governmental apprehension, the humanitarian advocacy tends to territorialize identity, producing a “rights-bearing suffering subject” (Allen 162) and a “wounded attachment” (Brown). In recent years, representational politics, which mobilizes around such “identities”, have been subject to extensive critique (Puar, “I would rather be cyborg”). On the other </w:t>
      </w:r>
      <w:r w:rsidRPr="0673B170" w:rsidR="0673B170">
        <w:rPr>
          <w:sz w:val="16"/>
          <w:szCs w:val="16"/>
        </w:rPr>
        <w:t>side, the identification of the targets and the public disclosure of data open up a road to a double state surveillance. The prosthetic impulse of TBT as an object mediatizes the relationship between rights giver and receiver. In this sense it switches on a long-distance controlled apparatus for the “touch” of the other. It also has its pharmaceutical sterilized connotations, since there is no bodily contact and instead technology plays the role of body organ. The body of the other is problematically conceived as non-organic (body without organs), that can apprehend and disregard the prosthetic member, as well as any member of its body. The political consequence of these affects starts when bodies of certain subjects are regarded as disposable. As a final rem</w:t>
      </w:r>
      <w:r w:rsidRPr="0673B170" w:rsidR="0673B170">
        <w:rPr>
          <w:rStyle w:val="StyleUnderline"/>
        </w:rPr>
        <w:t>ark and following these affective implications, it may be worthwhile to re- think the idea that virtual borders extend the government of mobility beyond the scope of border physicality, under the excuse of fighting the war on terror, but, as Amoore puts it, “into domains that regulate multiple aspects of daily life...the crossing of a physical territorial border is only one border crossing in a limitless series of journeys that traverse and inscribe the boundaries of safe/dangerous, civil/uncivil, legitimate traveller/illegal migrant” (338) Beyond the virtual border then, there is what Didier Bigo (in Albert and Jackobson , 2001) labels “möbious ribbon” or the internal and external workings of security, such that “internal and external security become embedded in the figure of the ‘enemy within’, of the outsider inside, increasingly labeled with the catchphrase ‘‘immigrant’.” (112) Bigo sees security as a kind of governmentality that combines Foucauldian “technological sophistication with the old disciplines of the body” (112.) The defense of society then becomes less relevant for the workings of biopolitics, and instead, immigration and the terrorist threat come together as “scenes from everyday life [that] are politicized, because day-to-day living is securitized”(100). Thus, the gove</w:t>
      </w:r>
      <w:r w:rsidRPr="0673B170" w:rsidR="0673B170">
        <w:rPr>
          <w:sz w:val="16"/>
          <w:szCs w:val="16"/>
        </w:rPr>
        <w:t>rning of mobility through virtual and territorial borders is not about a potential terrorist threat that may cross the actual border in a post-9/11 world, but more about the ways of distinguishing the safe from the contagious and dangerous, that translate into multiple ways of borderizing daily life. TBT is an attempt to re-humanize migration in a “more-than-human” way,40 since technology is enabled as an actor, in order to revert a de-humanizing ethos. Virality In a recent art</w:t>
      </w:r>
      <w:r w:rsidRPr="0673B170" w:rsidR="0673B170">
        <w:rPr>
          <w:rStyle w:val="StyleUnderline"/>
        </w:rPr>
        <w:t xml:space="preserve">icle titled “After Life: De Anima and Unhuman Politics,” Eugene Thacker writes, “If our global context of climate change, disasters, pandemics, or complex networks tells us anything, it is that political thought today demands a concept of life adequate to its anonymous, unhuman dimensions, an unhuman politics, for unhuman life” (40). Thacker’s use </w:t>
      </w:r>
      <w:r w:rsidRPr="0673B170" w:rsidR="0673B170">
        <w:rPr>
          <w:sz w:val="16"/>
          <w:szCs w:val="16"/>
        </w:rPr>
        <w:t>of the “unhuman”, rather than nonhuman or inhuman, responds to the call of new materialities to consider the effects and consequences of always becoming engagements of the human and the nonhuman in times when everything has “gone viral”. Zack Blas in the article “Virus, Viral” (2012) specifies the difference between virus and viral, where “The viral emphasizes a break, or rupture, between fiction and reality that is hazy, fluid, unstable. Imitations of the virus, commonly labeled “viral” are more like creative openings into fictions or poetics of the virus. These framings of the virus are unhuman, and unhuman politics is a framing for the examination of the overlappings, differences, and irreducibilities—mediations—of the virus and the viral” (30). The virus, as T</w:t>
      </w:r>
      <w:r w:rsidRPr="0673B170" w:rsidR="0673B170">
        <w:rPr>
          <w:rStyle w:val="StyleUnderline"/>
        </w:rPr>
        <w:t>hacker suggests, product of a globalized structure (political security and digital control) forces one to reimagine and reorder political action. Political art collectives like Electronic Disturbance Theatre, creator of the Transborder Immigrant Tool have used this viral principle as a tool for anti-hegemonic activism. If a virus is cha</w:t>
      </w:r>
      <w:r w:rsidRPr="0673B170" w:rsidR="0673B170">
        <w:rPr>
          <w:sz w:val="16"/>
          <w:szCs w:val="16"/>
        </w:rPr>
        <w:t xml:space="preserve">racterized by its ability to replicate and mutate its code with each reproduction, what TBT does, as a </w:t>
      </w:r>
      <w:r w:rsidRPr="0673B170" w:rsidR="0673B170">
        <w:rPr>
          <w:sz w:val="16"/>
          <w:szCs w:val="16"/>
        </w:rPr>
        <w:t>Global Positioning System is to copy the location and hack the codes of Border Patrol viral occupancy of the territory and add a mutation to serve as an antibody. In this sense, as it is argued in Chapter 3, TBT resembles and reassembles the tactics of migrant apprehension, in order to undo its geographic power. As Tamara Vukov and Mimi Sheller (2013) say, the production of practices of (im)mobility and the effects of bordering—as representations of threat and security—require the labor of software developers, infrastructure as much as it is dependent upon the data produced by legal travelers and the hidden labor of illegal crossers (225-6). The digitalization of contemporary bordering practices into surveillance protocols creates a surveillance assemblage that operates by “abstracting human bodies from their territorial settings and separating them into a series of discrete flows” (Kevin D. Haggerty and Richard V. Ericson 2000: 206). The creation of</w:t>
      </w:r>
      <w:r w:rsidRPr="0673B170" w:rsidR="0673B170">
        <w:rPr>
          <w:rStyle w:val="StyleUnderline"/>
        </w:rPr>
        <w:t xml:space="preserve"> “data doubles” of individuals and checkpoints that feed databases is not used to increase monitoring on the part of Border Patrol but to split the human subject to disable its political capacities. TBT mimics these viral-technological strategies of border governance to subvert its objectives. In fact, the tool emerged from a research at CALIT2 labs based on the principle of “nanotoxicology”, within other principles thought as electronic disturbance and civil disobedience. Coming back to</w:t>
      </w:r>
      <w:r w:rsidRPr="0673B170" w:rsidR="0673B170">
        <w:rPr>
          <w:sz w:val="16"/>
          <w:szCs w:val="16"/>
        </w:rPr>
        <w:t xml:space="preserve"> Blas, the Global Positioning System of TBT working as viral becomes a “Global Poetic System”, as one of its intellectual authors, Ricardo Domínguez, says in a 2011 interview with Louis Warren: ...we insist we </w:t>
      </w:r>
      <w:r w:rsidRPr="0673B170" w:rsidR="0673B170">
        <w:rPr>
          <w:rStyle w:val="StyleUnderline"/>
        </w:rPr>
        <w:t>are artists We do want to have a conversation with art. So, we have no anxiety about (speaking) in a loud way. Everybody in this research team are all out-of- the-closet artists...We are not activists, we are artists. Out interest is not GPS global positioning systems but global poetic systems” (in Warren, 30) Conclusion The m</w:t>
      </w:r>
      <w:r w:rsidRPr="0673B170" w:rsidR="0673B170">
        <w:rPr>
          <w:sz w:val="16"/>
          <w:szCs w:val="16"/>
        </w:rPr>
        <w:t>echanics of TBT adds another layer of agency to the virtual geography already controlled by state forces as well as by humanitarian appropriations. It does so by directly affecting the human body, inaugurating a prosthetics for resistance. The instruments for migrant apprehension, such as the GPS devices used by Border Patrol - which copy the location of hydration points where migrants recur - work in a prosthetic manner. This same technology is resembled by TBT, in that it copies the location of such navigation tools for apprehension, as an act of re-assembling the relations of power. In this scenario</w:t>
      </w:r>
      <w:r w:rsidRPr="0673B170" w:rsidR="0673B170">
        <w:rPr>
          <w:rStyle w:val="StyleUnderline"/>
        </w:rPr>
        <w:t xml:space="preserve"> the TBT object reverses governmental machinery for surveillance conceived as removal. On the other hand, it claims such a territory as an accessible landscape through the agency of technology. By allowing identification of threats, it also works as a geo- informatics and locative media, driving digital-physical convergence, such that it affects and pervades the bodies that cross with it and the landscape in several ways, one of them being converting the bearer (of the tool and of the human rights) into open digital data. The TBT project </w:t>
      </w:r>
      <w:r w:rsidRPr="0673B170" w:rsidR="0673B170">
        <w:rPr>
          <w:sz w:val="16"/>
          <w:szCs w:val="16"/>
        </w:rPr>
        <w:t>brings about the capacity of more-than-human bodies for the recovering of a political ability by those who have been deprived from it in the act of crossing the border. Technology can b</w:t>
      </w:r>
      <w:r w:rsidRPr="0673B170" w:rsidR="0673B170">
        <w:rPr>
          <w:rStyle w:val="StyleUnderline"/>
        </w:rPr>
        <w:t>e seen as an attempt for redrawing power over a geography that is affected by the action of nature and its political implications. Adding a new agent to the assemblage of a securitized landscape, the TBT project brings back humanness to this composition, precisely by highlighting a more-than-human instance. The prosthetic character, which spans from the technology of the object, mirrors and resists the prosthesis of border control operations. It allows us to observe how power is not autonomous, as we see it stocking up from non-human agents, including technology and nature. While such non-human powers may have been seen as innocent forces of destiny, machines or nature, the agency of objects such as TBT evidences how more- than-human is contingent to human empowerment. While the border is controlled and securitized through technologic practices that graph the geo and the human, electronic disturbance instances call for a critical disturbance in order to humanize the conversation on migration and border assemblages.</w:t>
      </w:r>
    </w:p>
    <w:p xmlns:wp14="http://schemas.microsoft.com/office/word/2010/wordml" w:rsidRPr="00371968" w:rsidR="00E45F43" w:rsidP="00E45F43" w:rsidRDefault="00E45F43" w14:paraId="5B95CD12" wp14:textId="77777777"/>
    <w:p xmlns:wp14="http://schemas.microsoft.com/office/word/2010/wordml" w:rsidRPr="00773D72" w:rsidR="00E45F43" w:rsidP="00E45F43" w:rsidRDefault="00E45F43" w14:paraId="0C9CE877" wp14:textId="77777777">
      <w:pPr>
        <w:pStyle w:val="Heading3"/>
      </w:pPr>
      <w:r>
        <w:lastRenderedPageBreak/>
        <w:t>Settlerism K</w:t>
      </w:r>
      <w:r w:rsidR="00577678">
        <w:t>--</w:t>
      </w:r>
      <w:r>
        <w:t>Permutation</w:t>
      </w:r>
      <w:r w:rsidR="00577678">
        <w:t xml:space="preserve"> (</w:t>
      </w:r>
      <w:r>
        <w:t>King</w:t>
      </w:r>
      <w:r w:rsidR="00577678">
        <w:t>)</w:t>
      </w:r>
    </w:p>
    <w:p xmlns:wp14="http://schemas.microsoft.com/office/word/2010/wordml" w:rsidR="00E45F43" w:rsidP="00E45F43" w:rsidRDefault="00E45F43" w14:paraId="7065CF81" wp14:textId="77777777">
      <w:pPr>
        <w:pStyle w:val="Heading4"/>
      </w:pPr>
      <w:r>
        <w:t>Perm do both-</w:t>
      </w:r>
    </w:p>
    <w:p xmlns:wp14="http://schemas.microsoft.com/office/word/2010/wordml" w:rsidRPr="00C86237" w:rsidR="00E45F43" w:rsidP="00E45F43" w:rsidRDefault="00E45F43" w14:paraId="01026A59" wp14:textId="77777777">
      <w:pPr>
        <w:pStyle w:val="Heading4"/>
      </w:pPr>
      <w:r w:rsidRPr="00C86237">
        <w:t xml:space="preserve">Their King evidence concludes in line with the affirmative-- the 1ac performs a disinterested refusal of Deleuze and Guattari in service of the broader political imperative of a remembrance that does not dwell in the spectacle of violence but rather engages it such that it can be brought to bear on the present </w:t>
      </w:r>
    </w:p>
    <w:p xmlns:wp14="http://schemas.microsoft.com/office/word/2010/wordml" w:rsidRPr="00785394" w:rsidR="00E45F43" w:rsidP="00E45F43" w:rsidRDefault="00E45F43" w14:paraId="69FD0269" wp14:textId="77777777">
      <w:pPr>
        <w:spacing w:after="0" w:line="240" w:lineRule="auto"/>
        <w:rPr>
          <w:rFonts w:ascii="Times New Roman" w:hAnsi="Times New Roman" w:eastAsia="Times New Roman" w:cs="Times New Roman"/>
          <w:sz w:val="24"/>
          <w:szCs w:val="24"/>
        </w:rPr>
      </w:pPr>
      <w:r w:rsidRPr="00C86237">
        <w:rPr>
          <w:rStyle w:val="Style13ptBold"/>
        </w:rPr>
        <w:t>King 17</w:t>
      </w:r>
      <w:r w:rsidRPr="00785394">
        <w:rPr>
          <w:rFonts w:eastAsia="Times New Roman"/>
          <w:color w:val="000000"/>
        </w:rPr>
        <w:t xml:space="preserve"> [Tiffany Lethabo King, “Humans Involved: Lurking in the Lines of Posthumanist Flight”, Critical Ethnic Studies, Vol 3 No 1, Spring 2017, p 162-185, 174</w:t>
      </w:r>
      <w:r>
        <w:rPr>
          <w:rFonts w:eastAsia="Times New Roman"/>
          <w:color w:val="000000"/>
        </w:rPr>
        <w:t>]</w:t>
      </w:r>
    </w:p>
    <w:p xmlns:wp14="http://schemas.microsoft.com/office/word/2010/wordml" w:rsidRPr="00785394" w:rsidR="00E45F43" w:rsidP="00E45F43" w:rsidRDefault="00E45F43" w14:paraId="5220BBB2" wp14:textId="77777777">
      <w:pPr>
        <w:spacing w:after="0" w:line="240" w:lineRule="auto"/>
        <w:rPr>
          <w:rFonts w:ascii="Times New Roman" w:hAnsi="Times New Roman" w:eastAsia="Times New Roman" w:cs="Times New Roman"/>
          <w:sz w:val="24"/>
          <w:szCs w:val="24"/>
        </w:rPr>
      </w:pPr>
      <w:r w:rsidRPr="00785394">
        <w:rPr>
          <w:rFonts w:eastAsia="Times New Roman"/>
          <w:color w:val="000000"/>
        </w:rPr>
        <w:tab/>
      </w:r>
      <w:r w:rsidRPr="00785394">
        <w:rPr>
          <w:rFonts w:eastAsia="Times New Roman"/>
          <w:color w:val="000000"/>
        </w:rPr>
        <w:tab/>
      </w:r>
      <w:r w:rsidRPr="00785394">
        <w:rPr>
          <w:rFonts w:eastAsia="Times New Roman"/>
          <w:color w:val="000000"/>
        </w:rPr>
        <w:tab/>
      </w:r>
      <w:r w:rsidRPr="00785394">
        <w:rPr>
          <w:rFonts w:eastAsia="Times New Roman"/>
          <w:color w:val="000000"/>
        </w:rPr>
        <w:tab/>
      </w:r>
      <w:r w:rsidRPr="00785394">
        <w:rPr>
          <w:rFonts w:eastAsia="Times New Roman"/>
          <w:color w:val="000000"/>
        </w:rPr>
        <w:tab/>
      </w:r>
    </w:p>
    <w:p xmlns:wp14="http://schemas.microsoft.com/office/word/2010/wordml" w:rsidRPr="00785394" w:rsidR="00E45F43" w:rsidP="00E45F43" w:rsidRDefault="00E45F43" w14:paraId="6CD62761" wp14:textId="77777777">
      <w:pPr>
        <w:spacing w:after="0" w:line="240" w:lineRule="auto"/>
        <w:rPr>
          <w:rFonts w:ascii="Times New Roman" w:hAnsi="Times New Roman" w:eastAsia="Times New Roman" w:cs="Times New Roman"/>
          <w:sz w:val="24"/>
          <w:szCs w:val="24"/>
        </w:rPr>
      </w:pPr>
      <w:r w:rsidRPr="00785394">
        <w:rPr>
          <w:rFonts w:eastAsia="Times New Roman"/>
          <w:b/>
          <w:bCs/>
          <w:color w:val="000000"/>
          <w:u w:val="single"/>
        </w:rPr>
        <w:t>I am not arguing that academics should not read Deleuze and Guattari. As scholars committed to decolonial thought, we should read their work and understand how genocide and colonialism flow through it</w:t>
      </w:r>
      <w:r w:rsidRPr="00785394">
        <w:rPr>
          <w:rFonts w:eastAsia="Times New Roman"/>
          <w:color w:val="000000"/>
        </w:rPr>
        <w:t xml:space="preserve">. However, </w:t>
      </w:r>
      <w:r w:rsidRPr="00785394">
        <w:rPr>
          <w:rFonts w:eastAsia="Times New Roman"/>
          <w:b/>
          <w:bCs/>
          <w:color w:val="000000"/>
          <w:u w:val="single"/>
        </w:rPr>
        <w:t>we can read without becoming seduced and attached to the work.</w:t>
      </w:r>
      <w:r w:rsidRPr="00785394">
        <w:rPr>
          <w:rFonts w:eastAsia="Times New Roman"/>
          <w:color w:val="000000"/>
        </w:rPr>
        <w:t xml:space="preserve"> I turn again to the writings of Black and Native feminists as an example of what this critical disinterest and refusal might look like.</w:t>
      </w:r>
      <w:r w:rsidRPr="00785394">
        <w:rPr>
          <w:rFonts w:eastAsia="Times New Roman"/>
          <w:color w:val="000000"/>
          <w:sz w:val="12"/>
          <w:szCs w:val="12"/>
        </w:rPr>
        <w:t xml:space="preserve">32 </w:t>
      </w:r>
      <w:r w:rsidRPr="00785394">
        <w:rPr>
          <w:rFonts w:eastAsia="Times New Roman"/>
          <w:color w:val="000000"/>
        </w:rPr>
        <w:t xml:space="preserve">As Simpson and Tuck and Yang argue, refusal can reroute one set of concerns and questions and redirect them toward other pursuits. Better yet, disenchantment and pessi- mism can compel one to perceive or think about new questions. </w:t>
      </w:r>
      <w:r w:rsidRPr="00785394">
        <w:rPr>
          <w:rFonts w:eastAsia="Times New Roman"/>
          <w:b/>
          <w:bCs/>
          <w:color w:val="000000"/>
          <w:u w:val="single"/>
        </w:rPr>
        <w:t xml:space="preserve">Refusal and misandry can move you out of the circuit that the corporate university imposes on critical thinking: know, internalize, perform, disagree, and then center yourself. </w:t>
      </w:r>
    </w:p>
    <w:p xmlns:wp14="http://schemas.microsoft.com/office/word/2010/wordml" w:rsidRPr="00785394" w:rsidR="00E45F43" w:rsidP="00E45F43" w:rsidRDefault="00E45F43" w14:paraId="13CB595B" wp14:textId="77777777"/>
    <w:p xmlns:wp14="http://schemas.microsoft.com/office/word/2010/wordml" w:rsidRPr="00785394" w:rsidR="00E45F43" w:rsidP="00E45F43" w:rsidRDefault="00E45F43" w14:paraId="6D9C8D39" wp14:textId="77777777"/>
    <w:p xmlns:wp14="http://schemas.microsoft.com/office/word/2010/wordml" w:rsidR="00E45F43" w:rsidP="00577678" w:rsidRDefault="00E45F43" w14:paraId="4569FBA1" wp14:textId="77777777">
      <w:pPr>
        <w:pStyle w:val="Heading3"/>
      </w:pPr>
      <w:r>
        <w:lastRenderedPageBreak/>
        <w:t>Psychoanalysis</w:t>
      </w:r>
    </w:p>
    <w:p xmlns:wp14="http://schemas.microsoft.com/office/word/2010/wordml" w:rsidRPr="00207E18" w:rsidR="00E45F43" w:rsidP="00E45F43" w:rsidRDefault="00E45F43" w14:paraId="3E627793" wp14:textId="77777777">
      <w:pPr>
        <w:pStyle w:val="Heading4"/>
      </w:pPr>
      <w:r>
        <w:t xml:space="preserve">How do we come to desire our own repression?  Rather than endorse the oedipal rerouting of desire towards resentment found in the alternative’s demand for a more oppositional politic, you should affirm the AFFs flight from the reterritorialization of desire </w:t>
      </w:r>
    </w:p>
    <w:p xmlns:wp14="http://schemas.microsoft.com/office/word/2010/wordml" w:rsidRPr="00B76446" w:rsidR="00E45F43" w:rsidP="00E45F43" w:rsidRDefault="00E45F43" w14:paraId="50EC6D92" wp14:textId="77777777">
      <w:r w:rsidRPr="00B76446">
        <w:rPr>
          <w:rStyle w:val="Style13ptBold"/>
        </w:rPr>
        <w:t>Seem 83</w:t>
      </w:r>
      <w:r w:rsidRPr="00B76446">
        <w:t xml:space="preserve"> [Mark Seem, translator of Anti-Oedipus, famous American intellectual, “Introduction” in Anti-Oedipus by Deleuze and Guattari, Trans. 1983, xvi-xvii]</w:t>
      </w:r>
    </w:p>
    <w:p xmlns:wp14="http://schemas.microsoft.com/office/word/2010/wordml" w:rsidRPr="000634A3" w:rsidR="00E45F43" w:rsidP="00E45F43" w:rsidRDefault="00E45F43" w14:paraId="252EB8A5" wp14:textId="77777777">
      <w:pPr>
        <w:rPr>
          <w:sz w:val="16"/>
        </w:rPr>
      </w:pPr>
      <w:r w:rsidRPr="000634A3">
        <w:rPr>
          <w:sz w:val="16"/>
        </w:rPr>
        <w:t xml:space="preserve">Such a set of beliefs, Deleuze and Guattari demonstrate, such </w:t>
      </w:r>
      <w:r w:rsidRPr="00CE5181">
        <w:rPr>
          <w:rStyle w:val="StyleUnderline"/>
        </w:rPr>
        <w:t>a herd instinct, is based on the desire to be led, the desire to have someone else legislate life. The very desire that was brought so glaringly into focus</w:t>
      </w:r>
      <w:r w:rsidRPr="000634A3">
        <w:rPr>
          <w:sz w:val="16"/>
        </w:rPr>
        <w:t xml:space="preserve"> in Europe </w:t>
      </w:r>
      <w:r w:rsidRPr="00CE5181">
        <w:rPr>
          <w:rStyle w:val="StyleUnderline"/>
        </w:rPr>
        <w:t>with</w:t>
      </w:r>
      <w:r w:rsidRPr="000634A3">
        <w:rPr>
          <w:sz w:val="16"/>
        </w:rPr>
        <w:t xml:space="preserve"> Hitler, Mussolini, and </w:t>
      </w:r>
      <w:r w:rsidRPr="00CE5181">
        <w:rPr>
          <w:rStyle w:val="StyleUnderline"/>
        </w:rPr>
        <w:t>fascism; the desire that is still at work, making us all sick, today.</w:t>
      </w:r>
      <w:r w:rsidRPr="000634A3">
        <w:rPr>
          <w:sz w:val="16"/>
        </w:rPr>
        <w:t xml:space="preserve"> Anti-Oedipus starts by reviving Reich's completely serious question with respect to the rise of fascism: </w:t>
      </w:r>
      <w:r w:rsidRPr="00CE5181">
        <w:rPr>
          <w:rStyle w:val="StyleUnderline"/>
        </w:rPr>
        <w:t>'How could the masses be made to desire their own repression?' This is a question which the</w:t>
      </w:r>
      <w:r w:rsidRPr="000634A3">
        <w:rPr>
          <w:sz w:val="16"/>
        </w:rPr>
        <w:t xml:space="preserve"> English and </w:t>
      </w:r>
      <w:r w:rsidRPr="00CE5181">
        <w:rPr>
          <w:rStyle w:val="StyleUnderline"/>
        </w:rPr>
        <w:t>Americans are reluctant to deal with directly, tending too often to respond: "Fascism is a phenomenon that took place elsewhere, something that could only happen to others, but not to us; it's their problem."</w:t>
      </w:r>
      <w:r w:rsidRPr="000634A3">
        <w:rPr>
          <w:sz w:val="16"/>
        </w:rPr>
        <w:t xml:space="preserve"> Is it though? Is fascism really a problem for others to deal with? </w:t>
      </w:r>
      <w:r w:rsidRPr="00CE5181">
        <w:rPr>
          <w:rStyle w:val="StyleUnderline"/>
        </w:rPr>
        <w:t>Even revolutionary groups deal gingerly with the fascisizing elements we all carry deep within us, and yet they often possess a rarely analyzed but overriding group 'superego' that leads them to state, much like Nietzsche's man of ressentiment, that the other is evil</w:t>
      </w:r>
      <w:r w:rsidRPr="000634A3">
        <w:rPr>
          <w:sz w:val="16"/>
        </w:rPr>
        <w:t xml:space="preserve"> (the Fascist! the Capitalist! the Communist!), </w:t>
      </w:r>
      <w:r w:rsidRPr="00CE5181">
        <w:rPr>
          <w:rStyle w:val="StyleUnderline"/>
        </w:rPr>
        <w:t>and hence that they themselves are good.</w:t>
      </w:r>
      <w:r w:rsidRPr="000634A3">
        <w:rPr>
          <w:sz w:val="16"/>
        </w:rPr>
        <w:t xml:space="preserve"> This conclusion is reached as an afterthought and a justification, </w:t>
      </w:r>
      <w:r w:rsidRPr="00CE5181">
        <w:rPr>
          <w:rStyle w:val="StyleUnderline"/>
        </w:rPr>
        <w:t>a supremely self-righteous rationalization for a politics that can only "squint" at life, through the thick clouds of foul-smelling air that permeates secret meeting places and "security" councils. The man of ressentiment,</w:t>
      </w:r>
      <w:r w:rsidRPr="000634A3">
        <w:rPr>
          <w:sz w:val="16"/>
        </w:rPr>
        <w:t xml:space="preserve"> as Nietzsche explains, "</w:t>
      </w:r>
      <w:r w:rsidRPr="00CE5181">
        <w:rPr>
          <w:rStyle w:val="StyleUnderline"/>
        </w:rPr>
        <w:t>loves</w:t>
      </w:r>
      <w:r w:rsidRPr="000634A3">
        <w:rPr>
          <w:sz w:val="16"/>
        </w:rPr>
        <w:t xml:space="preserve"> hiding places, secret paths and back doors, everything covert entices him as his world, his </w:t>
      </w:r>
      <w:r w:rsidRPr="00CE5181">
        <w:rPr>
          <w:rStyle w:val="StyleUnderline"/>
        </w:rPr>
        <w:t>security</w:t>
      </w:r>
      <w:r w:rsidRPr="000634A3">
        <w:rPr>
          <w:sz w:val="16"/>
        </w:rPr>
        <w:t xml:space="preserve">, his refreshment; he understands how to keep silent, how not to forget, how to wait, how to be provisionally self-deprecating and humble."2 Such a man, Nietzsche concludes, </w:t>
      </w:r>
      <w:r w:rsidRPr="00CE5181">
        <w:rPr>
          <w:rStyle w:val="StyleUnderline"/>
        </w:rPr>
        <w:t xml:space="preserve">needs very much to believe in some neutral, independent "subject"—the ego—for he is prompted by an instinct of self-affirmation and </w:t>
      </w:r>
      <w:r>
        <w:rPr>
          <w:rStyle w:val="StyleUnderline"/>
        </w:rPr>
        <w:t>s</w:t>
      </w:r>
      <w:r w:rsidRPr="00CE5181">
        <w:rPr>
          <w:rStyle w:val="StyleUnderline"/>
        </w:rPr>
        <w:t>e</w:t>
      </w:r>
      <w:r>
        <w:rPr>
          <w:rStyle w:val="StyleUnderline"/>
        </w:rPr>
        <w:t>l</w:t>
      </w:r>
      <w:r w:rsidRPr="00CE5181">
        <w:rPr>
          <w:rStyle w:val="StyleUnderline"/>
        </w:rPr>
        <w:t>f-preservation that cares little about preserving or affirming life</w:t>
      </w:r>
      <w:r w:rsidRPr="000634A3">
        <w:rPr>
          <w:sz w:val="16"/>
        </w:rPr>
        <w:t xml:space="preserve">, an instinct "in which every lie is sanctified."3 This is the realm of the silent majority. And it is into these back rooms, behind the closed doors of the analyst's office, in the wings of the Oedipal theater, that Deleuze and Guattari weave their way, exclaiming as does Nietzsche that it smells bad there, and that </w:t>
      </w:r>
      <w:r w:rsidRPr="003E4EE4">
        <w:rPr>
          <w:rStyle w:val="StyleUnderline"/>
        </w:rPr>
        <w:t>what is needed is "a breath of fresh air, a relationship with the outside world."</w:t>
      </w:r>
      <w:r w:rsidRPr="000634A3">
        <w:rPr>
          <w:sz w:val="16"/>
        </w:rPr>
        <w:t xml:space="preserve"> In </w:t>
      </w:r>
      <w:r w:rsidRPr="003E4EE4">
        <w:rPr>
          <w:rStyle w:val="StyleUnderline"/>
        </w:rPr>
        <w:t>examining the problem of the subject</w:t>
      </w:r>
      <w:r w:rsidRPr="000634A3">
        <w:rPr>
          <w:sz w:val="16"/>
        </w:rPr>
        <w:t xml:space="preserve">, the behind-the-scenes reactive and reactionary man, Anti-Oedipus develops an approach that is decidedly diagnostic ("What constitutes our sickness today?") and profoundly healing as well. What it </w:t>
      </w:r>
      <w:r w:rsidRPr="003E4EE4">
        <w:rPr>
          <w:rStyle w:val="StyleUnderline"/>
        </w:rPr>
        <w:t>attempts to cure us of</w:t>
      </w:r>
      <w:r w:rsidRPr="000634A3">
        <w:rPr>
          <w:sz w:val="16"/>
        </w:rPr>
        <w:t xml:space="preserve"> is </w:t>
      </w:r>
      <w:r w:rsidRPr="003E4EE4">
        <w:rPr>
          <w:rStyle w:val="StyleUnderline"/>
        </w:rPr>
        <w:t>the cure itself.</w:t>
      </w:r>
      <w:r w:rsidRPr="000634A3">
        <w:rPr>
          <w:sz w:val="16"/>
        </w:rPr>
        <w:t xml:space="preserve"> Deleuze and Guattari term their approach </w:t>
      </w:r>
      <w:r w:rsidRPr="003E4EE4">
        <w:rPr>
          <w:rStyle w:val="StyleUnderline"/>
        </w:rPr>
        <w:t>"schizoanalysis,</w:t>
      </w:r>
      <w:r w:rsidRPr="000634A3">
        <w:rPr>
          <w:sz w:val="16"/>
        </w:rPr>
        <w:t xml:space="preserve">" which they </w:t>
      </w:r>
      <w:r w:rsidRPr="003E4EE4">
        <w:rPr>
          <w:rStyle w:val="StyleUnderline"/>
        </w:rPr>
        <w:t>oppose on every count</w:t>
      </w:r>
      <w:r w:rsidRPr="000634A3">
        <w:rPr>
          <w:sz w:val="16"/>
        </w:rPr>
        <w:t xml:space="preserve"> to </w:t>
      </w:r>
      <w:r w:rsidRPr="003E4EE4">
        <w:rPr>
          <w:rStyle w:val="StyleUnderline"/>
        </w:rPr>
        <w:t>psychoanalysis.</w:t>
      </w:r>
      <w:r w:rsidRPr="000634A3">
        <w:rPr>
          <w:sz w:val="16"/>
        </w:rPr>
        <w:t xml:space="preserve"> Where the latter measures everything against neurosis and castration, schizoanalysis begins with the schizo, his breakdowns and his breakthroughs. For, they affirm, "</w:t>
      </w:r>
      <w:r w:rsidRPr="003E4EE4">
        <w:rPr>
          <w:rStyle w:val="StyleUnderline"/>
        </w:rPr>
        <w:t>a schizophrenic out for a walk is a better model than a neurotic lying on the analyst's couch</w:t>
      </w:r>
      <w:r w:rsidRPr="000634A3">
        <w:rPr>
          <w:sz w:val="16"/>
        </w:rPr>
        <w:t xml:space="preserve">. . . ." </w:t>
      </w:r>
      <w:r w:rsidRPr="003E4EE4">
        <w:rPr>
          <w:rStyle w:val="StyleUnderline"/>
        </w:rPr>
        <w:t>Against the Oedipal and oedipalized territorialities (Family,</w:t>
      </w:r>
      <w:r w:rsidRPr="000634A3">
        <w:rPr>
          <w:sz w:val="16"/>
        </w:rPr>
        <w:t xml:space="preserve"> Church, </w:t>
      </w:r>
      <w:r w:rsidRPr="003E4EE4">
        <w:rPr>
          <w:rStyle w:val="StyleUnderline"/>
        </w:rPr>
        <w:t>School, Nation, Party</w:t>
      </w:r>
      <w:r w:rsidRPr="000634A3">
        <w:rPr>
          <w:sz w:val="16"/>
        </w:rPr>
        <w:t xml:space="preserve">), </w:t>
      </w:r>
      <w:r w:rsidRPr="003E4EE4">
        <w:rPr>
          <w:rStyle w:val="StyleUnderline"/>
        </w:rPr>
        <w:t>and</w:t>
      </w:r>
      <w:r w:rsidRPr="000634A3">
        <w:rPr>
          <w:sz w:val="16"/>
        </w:rPr>
        <w:t xml:space="preserve"> especially the territoriality of the </w:t>
      </w:r>
      <w:r w:rsidRPr="003E4EE4">
        <w:rPr>
          <w:rStyle w:val="StyleUnderline"/>
        </w:rPr>
        <w:t>individual, Anti-Oedipus seeks to discover the "deterritorialized" flows of desire</w:t>
      </w:r>
      <w:r w:rsidRPr="000634A3">
        <w:rPr>
          <w:sz w:val="16"/>
        </w:rPr>
        <w:t xml:space="preserve">, the flows </w:t>
      </w:r>
      <w:r w:rsidRPr="003E4EE4">
        <w:rPr>
          <w:rStyle w:val="StyleUnderline"/>
        </w:rPr>
        <w:t>that have not been reduced to the Oedipal codes and the neuroticized territorialities,</w:t>
      </w:r>
      <w:r w:rsidRPr="000634A3">
        <w:rPr>
          <w:sz w:val="16"/>
        </w:rPr>
        <w:t xml:space="preserve"> the desiring-machines </w:t>
      </w:r>
      <w:r w:rsidRPr="003E4EE4">
        <w:rPr>
          <w:rStyle w:val="StyleUnderline"/>
        </w:rPr>
        <w:t>that escape such codes as lines of escape leading elsewhere.</w:t>
      </w:r>
      <w:r w:rsidRPr="000634A3">
        <w:rPr>
          <w:sz w:val="16"/>
        </w:rPr>
        <w:t xml:space="preserve"> Much like R.D.Laing, Deleuze and Guattari aim to develop a materialistically and experientially based analysis of the "breakdowns" and the "breakthroughs" that characterize some of those labeled schizophrenic by psychiatry. </w:t>
      </w:r>
      <w:r w:rsidRPr="003E4EE4">
        <w:rPr>
          <w:rStyle w:val="StyleUnderline"/>
        </w:rPr>
        <w:t>Rather than view</w:t>
      </w:r>
      <w:r w:rsidRPr="000634A3">
        <w:rPr>
          <w:sz w:val="16"/>
        </w:rPr>
        <w:t xml:space="preserve"> the creations and productions of </w:t>
      </w:r>
      <w:r w:rsidRPr="003E4EE4">
        <w:rPr>
          <w:rStyle w:val="StyleUnderline"/>
        </w:rPr>
        <w:t>desire</w:t>
      </w:r>
      <w:r w:rsidRPr="000634A3">
        <w:rPr>
          <w:sz w:val="16"/>
        </w:rPr>
        <w:t>—all of desiring-production—</w:t>
      </w:r>
      <w:r w:rsidRPr="003E4EE4">
        <w:rPr>
          <w:rStyle w:val="StyleUnderline"/>
        </w:rPr>
        <w:t>from the point of view of the norm</w:t>
      </w:r>
      <w:r w:rsidRPr="000634A3">
        <w:rPr>
          <w:sz w:val="16"/>
        </w:rPr>
        <w:t xml:space="preserve"> and the normal, they force their analysis into the sphere of extremes. From paranoia to schizophrenia, from fascism to revolution, from breakdowns to breakthroughs, </w:t>
      </w:r>
      <w:r w:rsidRPr="003E4EE4">
        <w:rPr>
          <w:rStyle w:val="StyleUnderline"/>
        </w:rPr>
        <w:t>what is investigated is the process of life flows as they oscillate from one extreme to the other</w:t>
      </w:r>
      <w:r w:rsidRPr="000634A3">
        <w:rPr>
          <w:sz w:val="16"/>
        </w:rPr>
        <w:t xml:space="preserve">, on </w:t>
      </w:r>
      <w:r w:rsidRPr="000634A3">
        <w:rPr>
          <w:sz w:val="16"/>
        </w:rPr>
        <w:lastRenderedPageBreak/>
        <w:t xml:space="preserve">a scale of intensity that goes from 0 ("I never asked to be born . . . leave me in peace"), the body without organs, to the nth power ("I am all that exists, all the names in history"), the schizophrenic process of desire. </w:t>
      </w:r>
    </w:p>
    <w:p xmlns:wp14="http://schemas.microsoft.com/office/word/2010/wordml" w:rsidR="00E45F43" w:rsidP="00577678" w:rsidRDefault="00E45F43" w14:paraId="53152DA8" wp14:textId="77777777">
      <w:pPr>
        <w:pStyle w:val="Heading3"/>
      </w:pPr>
      <w:r>
        <w:lastRenderedPageBreak/>
        <w:t>Cap K</w:t>
      </w:r>
      <w:r w:rsidR="00577678">
        <w:t>--Perm</w:t>
      </w:r>
    </w:p>
    <w:p xmlns:wp14="http://schemas.microsoft.com/office/word/2010/wordml" w:rsidRPr="00433342" w:rsidR="00E45F43" w:rsidP="00E45F43" w:rsidRDefault="00E45F43" w14:paraId="77AD473F" wp14:textId="77777777">
      <w:pPr>
        <w:pStyle w:val="Heading4"/>
      </w:pPr>
      <w:r w:rsidRPr="00433342">
        <w:t>Perm – do both</w:t>
      </w:r>
      <w:r>
        <w:t>. T</w:t>
      </w:r>
      <w:r w:rsidRPr="00433342">
        <w:t xml:space="preserve">he </w:t>
      </w:r>
      <w:r>
        <w:t xml:space="preserve">recombinatory politics of the aff is a mode of nomadic </w:t>
      </w:r>
      <w:r w:rsidRPr="00433342">
        <w:t xml:space="preserve">becoming-imperceptible </w:t>
      </w:r>
      <w:r>
        <w:t xml:space="preserve">that breaks </w:t>
      </w:r>
      <w:r w:rsidRPr="00433342">
        <w:t xml:space="preserve">the representational regime </w:t>
      </w:r>
      <w:r>
        <w:t xml:space="preserve">undergirding </w:t>
      </w:r>
      <w:r w:rsidRPr="00433342">
        <w:t>capitalism and liberalism</w:t>
      </w:r>
    </w:p>
    <w:p xmlns:wp14="http://schemas.microsoft.com/office/word/2010/wordml" w:rsidRPr="00447FB4" w:rsidR="00E45F43" w:rsidP="00E45F43" w:rsidRDefault="00E45F43" w14:paraId="57C193DF" wp14:textId="77777777">
      <w:r w:rsidRPr="004251A9">
        <w:rPr>
          <w:rStyle w:val="Style13ptBold"/>
        </w:rPr>
        <w:t>Tsianios 07</w:t>
      </w:r>
      <w:r w:rsidRPr="00447FB4">
        <w:t xml:space="preserve"> (Vassilios, Ph.D from the Department of Social Sciences of the University of Hamburg, Imperceptible Politics: Rethinking Radical Politics of Migration and Precarity Today, 94-104, University of Hamburg, 2007, </w:t>
      </w:r>
      <w:hyperlink w:history="1" r:id="rId130">
        <w:r w:rsidRPr="00447FB4">
          <w:rPr>
            <w:rStyle w:val="Hyperlink"/>
          </w:rPr>
          <w:t>https://d-nb.info/1006356509/34</w:t>
        </w:r>
      </w:hyperlink>
      <w:r w:rsidRPr="00447FB4">
        <w:t>) //jd</w:t>
      </w:r>
    </w:p>
    <w:p xmlns:wp14="http://schemas.microsoft.com/office/word/2010/wordml" w:rsidRPr="00985648" w:rsidR="00E45F43" w:rsidP="00E45F43" w:rsidRDefault="00E45F43" w14:paraId="5CC5AB83" wp14:textId="77777777">
      <w:pPr>
        <w:rPr>
          <w:b/>
          <w:iCs/>
          <w:u w:val="single"/>
        </w:rPr>
      </w:pPr>
      <w:r w:rsidRPr="00012D10">
        <w:rPr>
          <w:sz w:val="16"/>
        </w:rPr>
        <w:t xml:space="preserve">Imperceptible politics as a constituent force against postliberal sovereignty </w:t>
      </w:r>
      <w:r w:rsidRPr="00933ED8">
        <w:rPr>
          <w:rStyle w:val="StyleUnderline"/>
        </w:rPr>
        <w:t xml:space="preserve">Postliberal sovereignty seizes power by creating vertical aggregates on a transnational level. In Chapter Three, I described these aggregates as hegemonising the hegemonic transnational space of global flows. Aggregates cut across and absorb distinct segments of traditional horizontal social structures such as economy, class, gender, race, social position, institution, the market, technology. Invisible borders are inserted between people, actants, who might previously have worked on a horizontal plane. </w:t>
      </w:r>
      <w:r w:rsidRPr="00012D10">
        <w:rPr>
          <w:sz w:val="16"/>
        </w:rPr>
        <w:t xml:space="preserve">These boundaries are not simply geographic, nor do they delimit companies, industries, governments, NGOs or community alliances (Sassen, 2000). But these boundaries do not simply scatter and isolate, rather distinct elements of these different entities are recombined in vertical alignment with each other. </w:t>
      </w:r>
      <w:r w:rsidRPr="00933ED8">
        <w:rPr>
          <w:rStyle w:val="StyleUnderline"/>
        </w:rPr>
        <w:t>Like capital, postliberal sovereignty is inherently unethical and opportunistic. In this unscrupulous enterprise, so characteristic of the Bush- Blair era, resistance becomes just another structural element contributing to erection of postliberal aggregates.</w:t>
      </w:r>
      <w:r w:rsidRPr="00012D10">
        <w:rPr>
          <w:sz w:val="16"/>
        </w:rPr>
        <w:t xml:space="preserve"> This is not because the very conditions for resistance are always directly entangled in power—as Hoy so brilliantly describes in his analysis of post-structuralist understandings of resistance (Hoy, 2004). Such entanglement does not necessarily prevent the development of effective strategies. Of </w:t>
      </w:r>
      <w:r w:rsidRPr="00933ED8">
        <w:rPr>
          <w:rStyle w:val="StyleUnderline"/>
        </w:rPr>
        <w:t>course, sovereignty digests resistance: active forms of resistance are continually co-opted. But this twin movement of flight and capture only appears catastrophic, if I insist that there must be an ultimate solution to social conflicts. Certainly, resistance is frequently absorbed by power after its initial eruption. As Wallerstein says, 'the revolutions never worked the way their proponents hoped or the way their opponents feared' (Wallerstein, 1998, p. 13). Movement-cooption-resistance-capture happens all the time. The particular problem with the fate of state-targeted and everyday forms of political resistance in the era of postliberal sovereignty is that they loose their constituent powers.</w:t>
      </w:r>
      <w:r w:rsidRPr="00012D10">
        <w:rPr>
          <w:sz w:val="16"/>
        </w:rPr>
        <w:t xml:space="preserve"> Their eruption no longer pushes power to reconsider and reorganise itself, to move to new directions (cf. also Stephenson &amp; Papadopoulos, 2006). While these familiar forms of political engagement can certainly trouble the seamless unfurling of postliberal sovereignty, they do not take us beyond it—even in our imaginations—and they loose their power to become constituent forces of change. As I discussed in the previous chapters, the primacy of exit is that it can be a 'constituent force of resistance' (Negri, 1999). </w:t>
      </w:r>
      <w:r w:rsidRPr="00E64250">
        <w:rPr>
          <w:rStyle w:val="StyleUnderline"/>
        </w:rPr>
        <w:t xml:space="preserve">Imperceptible politics attempt to approach this closure by developing a loyal stance towards strategies of exit from current amalgamations of postliberal representationalism and power. Although imperceptible politics address postliberal sovereignty, this is not their intention. Their targets pertain to the specific social struggles in which they are located. And they work by de facto changing the immediate social reality of our existence. They are a constitutive force. </w:t>
      </w:r>
      <w:r w:rsidRPr="00012D10">
        <w:rPr>
          <w:sz w:val="16"/>
        </w:rPr>
        <w:t xml:space="preserve">The second Part of this Dissertation (Sections III, IV) is devoted to examining these constituent powers of imperceptible politics (see table). I trace the tension between postliberal sovereignty and imperceptible politics in two fields: the fields of mobility, and labour. </w:t>
      </w:r>
      <w:r w:rsidRPr="00933ED8">
        <w:rPr>
          <w:rStyle w:val="StyleUnderline"/>
        </w:rPr>
        <w:t xml:space="preserve">A field crosses various disciplinary domains and social spaces, and these crossings are effected by 'boundary objects' (Leigh Star, 1991) which exhibit a relative autonomy in their function (cf. also Bourdieu, 1990). Fields are like regions of the social world which are held together by a pervasive regime of control in alliance with distinct forms of social cooperation and expressions of social conflict. It is in these forms of cooperation and conflict that a surplus of social relations is produced, an excess which lies outside existing forms of </w:t>
      </w:r>
      <w:r w:rsidRPr="00933ED8">
        <w:rPr>
          <w:rStyle w:val="StyleUnderline"/>
        </w:rPr>
        <w:lastRenderedPageBreak/>
        <w:t xml:space="preserve">representation. As imperceptible politics are enacted in a specific field, they arise from the tension between the dominant regime of control and social relations of excess. </w:t>
      </w:r>
      <w:r w:rsidRPr="00E64250">
        <w:rPr>
          <w:rStyle w:val="StyleUnderline"/>
        </w:rPr>
        <w:t>For example, the micropolitical regulation of diasporic communities maintains and energises these communities. But at the same time, it becomes necessary for sustaining fragmented, transnationally organised, neoliberal space without in any way challenging and changing the conditions on which racism and geopolitical exclusion thrives</w:t>
      </w:r>
      <w:r w:rsidRPr="00012D10">
        <w:rPr>
          <w:sz w:val="16"/>
        </w:rPr>
        <w:t xml:space="preserve">. Here I trace the emergence of a new form of politics which harnesses a distinct form of experience (continuous experience) and radically breaks with the notion and the function of subjectification. Continuous experience intervenes in vertical aggregates, flowing between them, rendering them permeable, enabling connections between people and communities beyond the normalising forms of subjectification. </w:t>
      </w:r>
      <w:r w:rsidRPr="00933ED8">
        <w:rPr>
          <w:rStyle w:val="StyleUnderline"/>
        </w:rPr>
        <w:t>The first field for the organisation of postliberal sovereignty is that of mobility. In Section III, I trace the emergence of the regime of mobility control. I examine how elements of the evolving transnationalism in Europe, in particular the process of Europeanisation of migration policy, contribute to a tendency towards establishing a postliberal sovereign system of power. I examine how this transnational European regime for mobility control manages the passages of migrational flows and the pores of borders. And finally I trace the historical emergence of the institutions involved in migration policies and their contemporary constellations and functions. I call this new regime of mobility control: Liminal Institutions of Porocracy (LIP). Identity politics, cultural politics, politics of difference, diaspora and hybridity—the forms of resistance which were employed in and after the 1960s and 1970s—have been indispensable in contesting inequalities arising out of regional and global mobility.</w:t>
      </w:r>
      <w:r w:rsidRPr="00012D10">
        <w:rPr>
          <w:sz w:val="16"/>
        </w:rPr>
        <w:t xml:space="preserve"> And, in many spaces they continue to be fruitful. But, in the face of postliberal sovereign conditions of migrational mobility, they no longer coalesce into a viable strategy of resistance. Something else is happening: as people subvert the regime of the Liminal Institutions of Porocracy through their moves across borders, they are engaging in an imperceptible politics. The constituent quality of this movement, the autonomy of migration, is that it creates conditions which not only surpass national regulation but which simply cannot be accommodated by transnational sovereignty (as discussed further below). Finally, in the field of labour, I explore how the emerging regime of labour control extends beyond seizing the body's capacities to be productive in traditional work, into the realms of subjectivity, non-work, domestic life, care and social relations (Section IV). </w:t>
      </w:r>
      <w:r w:rsidRPr="00E64250">
        <w:rPr>
          <w:rStyle w:val="StyleUnderline"/>
        </w:rPr>
        <w:t xml:space="preserve">This is the regime of embodied capitalism. Its constitutive moment is not primarily its cognitive quality (as theories of cognitive capitalism or information capitalism assert when they focus on the production of information as an important characteristic of contemporary labour). Its constitutive moment is its embodied realisation. Shifts in the organisation of labour mean that bodies are literally manifest in new ways and with different capacities to affect and relate to other bodies. The regime of embodied capitalism is not primarily concerned with governing individuals (disciplinary power) or even with regulating populations (bio-power). Rather, it works by recombining matter: humans, animals, artefacts and things. North- Atlantic embodied capitalism, that is the organizational matrix of labour in postliberal conditions, is not a regime of control which attempts to dominate and to train the body; it wants to fracture it, to recombine its material, affective, social potentials in unexpected ways, to harness the body's own capacities for creative recombination. </w:t>
      </w:r>
      <w:r w:rsidRPr="00012D10">
        <w:rPr>
          <w:sz w:val="16"/>
        </w:rPr>
        <w:t xml:space="preserve">Resistance in the realm of labour was been traditionally undertaken by revolutionary parties, labour (social-democratic) parties and trade unions. </w:t>
      </w:r>
      <w:r w:rsidRPr="00933ED8">
        <w:rPr>
          <w:rStyle w:val="StyleUnderline"/>
        </w:rPr>
        <w:t xml:space="preserve">Of course, in the long history of the labour movement there have been many struggles entailing the politics of exit. Remember for example the Spanish anarcho-syndicalism or the Industrial Workers of the World, all of which have been suppressed and disciplined by the traditional labour movement. The traditional movement seems to be incapable of addressing the inequalities emerging from the new regime of labour control: that is, the proliferation of precarious conditions in the immaterial and service sectors, in care as well as in traditional industrial sectors. Neither state-targeted class representational politics nor trade unions' fixation on full stable employment tackle the problematic result from new </w:t>
      </w:r>
      <w:r w:rsidRPr="00933ED8">
        <w:rPr>
          <w:rStyle w:val="StyleUnderline"/>
        </w:rPr>
        <w:lastRenderedPageBreak/>
        <w:t>working conditions: precarity.</w:t>
      </w:r>
      <w:r w:rsidRPr="00012D10">
        <w:rPr>
          <w:sz w:val="16"/>
        </w:rPr>
        <w:t xml:space="preserve"> Although produced through the regime of embodied capitalism, the lived experience of precarity is not simply an experience of constraint. It has its own excess, an inappropriate/d sociability, which cannot be seized by this regime of control. Imperceptible politics in the field of labour harness the constituent powers of this excess: inappropriate/d sociability subverts the organisation of postliberal vertical aggregates. How to address a void: The imaginary character of imperceptible politics </w:t>
      </w:r>
      <w:r w:rsidRPr="00933ED8">
        <w:rPr>
          <w:rStyle w:val="StyleUnderline"/>
        </w:rPr>
        <w:t>But what is the common energy mobilising imperceptible politics in its various forms—such as continuous experience, autonomy of migration or inappropriate/d sociability? The common dimension is that imperceptible politics is driven by imagination—the imagination required to address an absence, as Santos (2003) names it. As discussed above, representation diminishes the senses. Not only does representation dictate the terms of inclusion in political disputes</w:t>
      </w:r>
      <w:r w:rsidRPr="00012D10">
        <w:rPr>
          <w:sz w:val="16"/>
        </w:rPr>
        <w:t xml:space="preserve">. It hones our capacities to even perceive the multiple realities of bodies, people, desires—inappropriate/d forms of life, as Trinh Minh-ha (1987) and Haraway (1992) call them. These inappropriate/d modes of existence cannot be included into the existing system of regulation without being transformed into controllable objects of discourse: bodies become identities, people become demos, desires become demands. </w:t>
      </w:r>
      <w:r w:rsidRPr="00E64250">
        <w:rPr>
          <w:rStyle w:val="StyleUnderline"/>
        </w:rPr>
        <w:t xml:space="preserve">Imperceptible politics around experience, migration and precarity all operate, or even more, they address a void (Badiou, 2005a) which resides in the political system of representation. To the extent that the void will be reinserted and absorbed into existing systems of representation, it will fail to challenge our existing understandings of subjectification and embodiment, humanist migration policy, or traditional Fordist employment. </w:t>
      </w:r>
      <w:r w:rsidRPr="00012D10">
        <w:rPr>
          <w:sz w:val="16"/>
        </w:rPr>
        <w:t xml:space="preserve">Only by working with inappropriate/d forms of life, or absences or a situation's void is it possible to deploy a politics of imagination. As Badiou (2001, p. 68) says about the void, it is the very heart of a particular situation around which 'the plenitude' of social and material relations making up this specific situation is organised. This plenitude is mirrored, managed and regulated through procedures of representation (it is policed as I said with Rancière in the previous chapter). </w:t>
      </w:r>
      <w:r w:rsidRPr="00E64250">
        <w:rPr>
          <w:rStyle w:val="StyleUnderline"/>
        </w:rPr>
        <w:t>Consider for example, the highly patrolled, surveilled, and controlled passages of migrational flows through the porous borders of North-Atlantic countries. There is plenitude of laws, practices, institutions, customs, migration police and border patrols, rituals, detention centres, informal migrant networks, knowledges, life projects and many more which makes up this situation. This abundance is structured around an absence: the embodied desire which people follow as they cross borders despite the regime of control which tries to close them off. In this plenitude we can find something of the knowledges and practices that border-crossers also find as they plan their passage. What is absent is their actual movement, what people become as they navigate the fissures of nation states. When they enter into the language of the plenitude these people are called illegal migrants, they are treated as a problem, an economic, social or humanitarian problem, which has to be solved through deportation, revisiting legislation or negotiations with other states.</w:t>
      </w:r>
      <w:r w:rsidRPr="00012D10">
        <w:rPr>
          <w:sz w:val="16"/>
        </w:rPr>
        <w:t xml:space="preserve"> </w:t>
      </w:r>
      <w:r w:rsidRPr="00933ED8">
        <w:rPr>
          <w:rStyle w:val="StyleUnderline"/>
        </w:rPr>
        <w:t xml:space="preserve">The absences of the inappropriate/d migrants constitute a void, a void around which this situation is organised. When all these inappropriate/d modes of existing beyond identity and passports become represented, it is to be measured, policed, and finally, suppressed. But they do not always become represented: when the void becomes an action it does so as a force which challenges the existing organisation of plenitude. Because it cannot be accommodated in the current situation within existing conditions of regulation, it is a constituent power pushing for a radical change. The imperceptible politics of the void cannot be ignored; the millions of inappropriate/d bodies rendering borders permeable de facto throw the current regime into chaos, forcing sovereignty to reassemble itself. </w:t>
      </w:r>
      <w:r w:rsidRPr="00012D10">
        <w:rPr>
          <w:sz w:val="16"/>
        </w:rPr>
        <w:t xml:space="preserve">Imperceptible politics is the moment where the void of mobility (or labour) becomes resistance. But here I understand resistance in a positive way: as desire to depart from the plenitude. </w:t>
      </w:r>
      <w:r w:rsidRPr="00933ED8">
        <w:rPr>
          <w:rStyle w:val="StyleUnderline"/>
        </w:rPr>
        <w:t xml:space="preserve">This desire comes from the very heart of the situation but leads directly and unconditionally beyond it. This is the only understanding of resistance which could be relevant for imperceptible politics, and it is indeed the only understanding of resistance which could escape the melancholic uptake of Foucault's work in neoliberal times. Foucault's dictum </w:t>
      </w:r>
      <w:r w:rsidRPr="00933ED8">
        <w:rPr>
          <w:rStyle w:val="StyleUnderline"/>
        </w:rPr>
        <w:lastRenderedPageBreak/>
        <w:t>that where there is power there is resistance and where there is resistance there is freedom is true when where there is resistance there is imperceptible politics. Resistance remains imperceptible to the representational policing of a situation and works with an excess of social relations which spring from the 'absent centre' of this particular situation.</w:t>
      </w:r>
      <w:r w:rsidRPr="00012D10">
        <w:rPr>
          <w:sz w:val="16"/>
        </w:rPr>
        <w:t xml:space="preserve"> This is the imaginary character of imperceptible politics. It is only by conjuring up the fictional qualities (Haraway, 1992, 2004) of a situation that it is possible to address something which is absent and yet there, something arising from the core of the situation but which is yet to emerge. Imperceptible politics are here, always present within a regime of control, and at the same time it is only present because it cultivates an imagination of a radically different future. </w:t>
      </w:r>
      <w:r w:rsidRPr="00E64250">
        <w:rPr>
          <w:rStyle w:val="StyleUnderline"/>
        </w:rPr>
        <w:t xml:space="preserve">If imperceptible politics harnesses fictionality to attend to the core of a certain situation, that is if imperceptible politics unfolds as a continuous break from existing forms of representation, then how do people actually do this in their everyday lives? How do people deal with the constant pressure of policing and representation, undo their fixed positions and enter into processes of dis- identification? Dis-identification is the moment where actors become other to themselves as they connect to each other in the situated process of escape. It is a situated process of becoming where 'something or someone is ceaselessly become-other (while continuing to be what they are)' (Deleuze &amp; Guattari, 1994, p. 177). </w:t>
      </w:r>
      <w:r w:rsidRPr="00933ED8">
        <w:rPr>
          <w:rStyle w:val="StyleUnderline"/>
        </w:rPr>
        <w:t xml:space="preserve">The concept of becoming points towards a political practice in which social actors escape normalizing representations and reconstitute themselves in the course of participating and changing the conditions of their material corporeal existence. Becoming is not only a force against something (primarily against the ubiquitous fetishism of individualism and against sovereign regimes of population control) but also a force which enables desire. Every becoming is a transformation of multiplicity into another, suggest Deleuze &amp; Guattari (1987, pp. 254-262). </w:t>
      </w:r>
      <w:r w:rsidRPr="00012D10">
        <w:rPr>
          <w:sz w:val="16"/>
        </w:rPr>
        <w:t xml:space="preserve">Every becoming intensifies and radicalizes desire, creating new modes of individuation and new affections. Becoming is a drift away from representation. But this drift is not a wild, arbitrary move; neither is it a teleological progression along a chain of hierarchically organised transformations (as Patton points out in commenting on Massumi's interpretation of becoming, s. Patton, 2000, p. 82). Becoming, for Deleuze and Guattari, starts 'from the forms one has, the subject one is, the organs one has, or the functions one fulfils'; the transformations it entails, the 'relations of movement and rest, speed and slowness ... are closest to what one is becoming and through which one becomes' (Deleuze &amp; Guattari, 1987, p. 272). </w:t>
      </w:r>
      <w:r w:rsidRPr="00933ED8">
        <w:rPr>
          <w:rStyle w:val="StyleUnderline"/>
        </w:rPr>
        <w:t>This ceaseless process of diversification and transformation neither fabricates an infinite series of differences nor has it a predefined end. Becoming has no fixed telos—but Deleuze and Guattari are no 'difference engineers' (Ansell-Pearson, 1997). Deleuze is a meticulous manufacturer of unity, a unity without subjects</w:t>
      </w:r>
      <w:r w:rsidRPr="00012D10">
        <w:rPr>
          <w:sz w:val="16"/>
        </w:rPr>
        <w:t xml:space="preserve">. There is no 'final analysis' in this unity! Differences, individuations, modalities are only the starting point; they are the building materials of the world. So, interestingly enough, the end of all becomings is not the proliferation of difference, it is its elevation into a process of becoming everyone. It is a process which creates a unity of multiple singularities. Becoming indiscernible, impersonal, imperceptible occurs when 'one has suppressed in oneself everything that prevents [one] from slipping between things and growing in the midst of things' (Deleuze &amp; Guattari, 1987, p. 280). </w:t>
      </w:r>
      <w:r w:rsidRPr="00E64250">
        <w:rPr>
          <w:rStyle w:val="StyleUnderline"/>
        </w:rPr>
        <w:t>Becoming everyone must be decided anew in each moment, in every place. Becoming everyone is a universal strategy because it prevents a certain form of becoming from being privileged as a universally acclaimed endpoint. Imperceptible politics is based on a continuous process of leaving behind all these forms of representation which break the connections between people and attempt to condense them into the next policing node of postliberal networks of control. This takes us beyond our current predicament, to work with modes of resistance which are already unfolding without announcing themselves: 'Becoming everybody/everything is to world, to make a world. [...] It is by conjugating, by continuing with other lines, other pieces, that one makes a world that can overlay the first one, like a transparency. Animal elegance, the camouflage fish, the clandestine: this fish is crisscrossed by abstract lines that resemble nothing, that do not even follow its organic divisions; but thus disorganised, disarticulated, it worlds with the lines of a rock, sand, and plants, becoming imperceptible.' (Deleuze &amp; Guattari, 1987, p. 280).</w:t>
      </w:r>
    </w:p>
    <w:p xmlns:wp14="http://schemas.microsoft.com/office/word/2010/wordml" w:rsidR="00E45F43" w:rsidP="001E65FA" w:rsidRDefault="00E45F43" w14:paraId="01DC6415" wp14:textId="77777777">
      <w:pPr>
        <w:pStyle w:val="Heading2"/>
      </w:pPr>
      <w:r>
        <w:lastRenderedPageBreak/>
        <w:t>NEG Answers</w:t>
      </w:r>
    </w:p>
    <w:p xmlns:wp14="http://schemas.microsoft.com/office/word/2010/wordml" w:rsidR="00E45F43" w:rsidP="00E45F43" w:rsidRDefault="00E45F43" w14:paraId="675E05EE" wp14:textId="77777777"/>
    <w:p xmlns:wp14="http://schemas.microsoft.com/office/word/2010/wordml" w:rsidRPr="00ED0C3A" w:rsidR="00E45F43" w:rsidP="00E45F43" w:rsidRDefault="00E45F43" w14:paraId="52E95EAD" wp14:textId="77777777">
      <w:pPr>
        <w:pStyle w:val="Heading3"/>
      </w:pPr>
      <w:r>
        <w:lastRenderedPageBreak/>
        <w:t>Pessimism</w:t>
      </w:r>
      <w:r w:rsidR="001E65FA">
        <w:t>--</w:t>
      </w:r>
      <w:r>
        <w:t>L: Utopian Politics</w:t>
      </w:r>
    </w:p>
    <w:p xmlns:wp14="http://schemas.microsoft.com/office/word/2010/wordml" w:rsidRPr="0015669C" w:rsidR="00E45F43" w:rsidP="00E45F43" w:rsidRDefault="00E45F43" w14:paraId="6BB37E65" wp14:textId="77777777">
      <w:pPr>
        <w:pStyle w:val="Heading4"/>
      </w:pPr>
      <w:r>
        <w:t>The utopian affirmation of the AFF is not the destruction of this world but an insidious form of its recuperation – we should instead orient ourselves towards the destruction of the world</w:t>
      </w:r>
    </w:p>
    <w:p xmlns:wp14="http://schemas.microsoft.com/office/word/2010/wordml" w:rsidRPr="002C3949" w:rsidR="00E45F43" w:rsidP="00E45F43" w:rsidRDefault="00E45F43" w14:paraId="59FC027A" wp14:textId="77777777">
      <w:pPr>
        <w:rPr>
          <w:rFonts w:eastAsiaTheme="minorEastAsia"/>
          <w:szCs w:val="24"/>
        </w:rPr>
      </w:pPr>
      <w:r w:rsidRPr="0015669C">
        <w:rPr>
          <w:rStyle w:val="Style13ptBold"/>
        </w:rPr>
        <w:t>Culp 16</w:t>
      </w:r>
      <w:r w:rsidRPr="002C3949">
        <w:rPr>
          <w:rFonts w:eastAsiaTheme="minorEastAsia"/>
          <w:szCs w:val="24"/>
        </w:rPr>
        <w:t xml:space="preserve"> [Andrew Culp, professor of emerging media and communication at the University of Texas, Dallas, Dark Deleuze, University of Minnesota Press, 2016, 23-26]</w:t>
      </w:r>
    </w:p>
    <w:p xmlns:wp14="http://schemas.microsoft.com/office/word/2010/wordml" w:rsidRPr="003E6FA9" w:rsidR="00E45F43" w:rsidP="00E45F43" w:rsidRDefault="00E45F43" w14:paraId="5EDDDF5C" wp14:textId="77777777">
      <w:pPr>
        <w:rPr>
          <w:rFonts w:eastAsiaTheme="minorEastAsia"/>
          <w:b/>
          <w:iCs/>
          <w:u w:val="single"/>
        </w:rPr>
      </w:pPr>
      <w:r w:rsidRPr="00DD09F5">
        <w:rPr>
          <w:rFonts w:eastAsiaTheme="minorEastAsia"/>
          <w:sz w:val="16"/>
        </w:rPr>
        <w:t>"</w:t>
      </w:r>
      <w:r w:rsidRPr="003E6FA9">
        <w:rPr>
          <w:rFonts w:eastAsiaTheme="minorEastAsia"/>
          <w:b/>
          <w:iCs/>
          <w:u w:val="single"/>
        </w:rPr>
        <w:t>Make thought a war machine</w:t>
      </w:r>
      <w:r w:rsidRPr="00DD09F5">
        <w:rPr>
          <w:rFonts w:eastAsiaTheme="minorEastAsia"/>
          <w:sz w:val="16"/>
        </w:rPr>
        <w:t>," Deleuze and Guattari insist. "</w:t>
      </w:r>
      <w:r w:rsidRPr="003E6FA9">
        <w:rPr>
          <w:rStyle w:val="StyleUnderline"/>
        </w:rPr>
        <w:t>Place thought in an immediate relation with the outside, with the forces of the outside</w:t>
      </w:r>
      <w:r w:rsidRPr="00DD09F5">
        <w:rPr>
          <w:rFonts w:eastAsiaTheme="minorEastAsia"/>
          <w:sz w:val="16"/>
        </w:rPr>
        <w:t xml:space="preserve">" (TP, 376-77). </w:t>
      </w:r>
      <w:r w:rsidRPr="003E6FA9">
        <w:rPr>
          <w:rFonts w:eastAsiaTheme="minorEastAsia"/>
          <w:b/>
          <w:iCs/>
          <w:u w:val="single"/>
        </w:rPr>
        <w:t>Two important inventions follow: speed and secrecy</w:t>
      </w:r>
      <w:r w:rsidRPr="00DD09F5">
        <w:rPr>
          <w:rFonts w:eastAsiaTheme="minorEastAsia"/>
          <w:sz w:val="16"/>
        </w:rPr>
        <w:t xml:space="preserve">. </w:t>
      </w:r>
      <w:r w:rsidRPr="003E6FA9">
        <w:rPr>
          <w:rStyle w:val="StyleUnderline"/>
        </w:rPr>
        <w:t>These are the affects of the war machine, its weapons of war, which "transpierce the body like arrows</w:t>
      </w:r>
      <w:r w:rsidRPr="00DD09F5">
        <w:rPr>
          <w:rFonts w:eastAsiaTheme="minorEastAsia"/>
          <w:sz w:val="16"/>
        </w:rPr>
        <w:t xml:space="preserve">" (356, 394). </w:t>
      </w:r>
      <w:r w:rsidRPr="003E6FA9">
        <w:rPr>
          <w:rFonts w:eastAsiaTheme="minorEastAsia"/>
          <w:b/>
          <w:iCs/>
          <w:u w:val="single"/>
        </w:rPr>
        <w:t>The resulting violence is not so vulgar as to encourage blow-by-blow bloodletting or a once-and-for-all immediate killing but institutes an economy of violence whose hatred is unlimited and therefore durable</w:t>
      </w:r>
      <w:r w:rsidRPr="00DD09F5">
        <w:rPr>
          <w:rFonts w:eastAsiaTheme="minorEastAsia"/>
          <w:sz w:val="16"/>
        </w:rPr>
        <w:t xml:space="preserve">. The war machine engages in war along two poles: one forms a line of destruction "prolongable to the limits of the universe," while the other draws a line of flight for the "composition of a smooth space and of the movement of people in that space" (422). </w:t>
      </w:r>
      <w:r w:rsidRPr="003E6FA9">
        <w:rPr>
          <w:rStyle w:val="StyleUnderline"/>
        </w:rPr>
        <w:t>Deleuze and Guattari would prefer to promote the connectivist line by saying they "make war only on the condition that they simultaneously create something else</w:t>
      </w:r>
      <w:r w:rsidRPr="00DD09F5">
        <w:rPr>
          <w:rFonts w:eastAsiaTheme="minorEastAsia"/>
          <w:sz w:val="16"/>
        </w:rPr>
        <w:t xml:space="preserve">" (423). </w:t>
      </w:r>
      <w:r w:rsidRPr="003E6FA9">
        <w:rPr>
          <w:rFonts w:eastAsiaTheme="minorEastAsia"/>
          <w:b/>
          <w:iCs/>
          <w:u w:val="single"/>
        </w:rPr>
        <w:t>But today, that path leads to collusion with capitalism's drive toward creative destruction</w:t>
      </w:r>
      <w:r w:rsidRPr="00DD09F5">
        <w:rPr>
          <w:rFonts w:eastAsiaTheme="minorEastAsia"/>
          <w:sz w:val="16"/>
        </w:rPr>
        <w:t xml:space="preserve"> (Schumpeter, Capitalism, Socialism, Democracy, 87). </w:t>
      </w:r>
      <w:r w:rsidRPr="003E6FA9">
        <w:rPr>
          <w:rFonts w:eastAsiaTheme="minorEastAsia"/>
          <w:b/>
          <w:iCs/>
          <w:u w:val="single"/>
        </w:rPr>
        <w:t>This is certainly not lost on those in Silicon Valley who spread the mantra of "disruptive innovation</w:t>
      </w:r>
      <w:r w:rsidRPr="00DD09F5">
        <w:rPr>
          <w:rFonts w:eastAsiaTheme="minorEastAsia"/>
          <w:sz w:val="16"/>
        </w:rPr>
        <w:t xml:space="preserve">." </w:t>
      </w:r>
      <w:r w:rsidRPr="003E6FA9">
        <w:rPr>
          <w:rStyle w:val="StyleUnderline"/>
        </w:rPr>
        <w:t>We can</w:t>
      </w:r>
      <w:r w:rsidRPr="00DD09F5">
        <w:rPr>
          <w:rFonts w:eastAsiaTheme="minorEastAsia"/>
          <w:sz w:val="16"/>
        </w:rPr>
        <w:t xml:space="preserve"> thus </w:t>
      </w:r>
      <w:r w:rsidRPr="003E6FA9">
        <w:rPr>
          <w:rStyle w:val="StyleUnderline"/>
        </w:rPr>
        <w:t>take heed of Deleuze and Guattari's warning against treating terms as having "an irresistible revolutionary calling</w:t>
      </w:r>
      <w:r w:rsidRPr="00DD09F5">
        <w:rPr>
          <w:rFonts w:eastAsiaTheme="minorEastAsia"/>
          <w:sz w:val="16"/>
        </w:rPr>
        <w:t xml:space="preserve">" (387). </w:t>
      </w:r>
      <w:r w:rsidRPr="003E6FA9">
        <w:rPr>
          <w:rFonts w:eastAsiaTheme="minorEastAsia"/>
          <w:b/>
          <w:iCs/>
          <w:u w:val="single"/>
        </w:rPr>
        <w:t>It is time to accept Nietzsche's invitation to philosophize with a hammer</w:t>
      </w:r>
      <w:r w:rsidRPr="00DD09F5">
        <w:rPr>
          <w:rFonts w:eastAsiaTheme="minorEastAsia"/>
          <w:sz w:val="16"/>
        </w:rPr>
        <w:t>, rendered here in the voice of Krishna: "</w:t>
      </w:r>
      <w:r w:rsidRPr="003E6FA9">
        <w:rPr>
          <w:rFonts w:eastAsiaTheme="minorEastAsia"/>
          <w:b/>
          <w:iCs/>
          <w:u w:val="single"/>
        </w:rPr>
        <w:t>I am become Time, the destroyer of worlds</w:t>
      </w:r>
      <w:r w:rsidRPr="00DD09F5">
        <w:rPr>
          <w:rFonts w:eastAsiaTheme="minorEastAsia"/>
          <w:sz w:val="16"/>
        </w:rPr>
        <w:t xml:space="preserve">." </w:t>
      </w:r>
      <w:r w:rsidRPr="003E6FA9">
        <w:rPr>
          <w:rFonts w:eastAsiaTheme="minorEastAsia"/>
          <w:b/>
          <w:iCs/>
          <w:u w:val="single"/>
        </w:rPr>
        <w:t>We must find an appetite for destruction that does not betray Deleuze and Guattari's "abolitionist dream</w:t>
      </w:r>
      <w:r w:rsidRPr="00DD09F5">
        <w:rPr>
          <w:rFonts w:eastAsiaTheme="minorEastAsia"/>
          <w:sz w:val="16"/>
        </w:rPr>
        <w:t xml:space="preserve">." </w:t>
      </w:r>
      <w:r w:rsidRPr="003E6FA9">
        <w:rPr>
          <w:rFonts w:eastAsiaTheme="minorEastAsia"/>
          <w:b/>
          <w:iCs/>
          <w:u w:val="single"/>
        </w:rPr>
        <w:t>This takes the "progressive, anxiety-ridden revelation" that destroying worlds is just another way of "smashing capitalism, of redefining socialism, of constituting a war machine capable of countering the world war machine by other means</w:t>
      </w:r>
      <w:r w:rsidRPr="00DD09F5">
        <w:rPr>
          <w:rFonts w:eastAsiaTheme="minorEastAsia"/>
          <w:sz w:val="16"/>
        </w:rPr>
        <w:t xml:space="preserve">" (385, 417, 372). </w:t>
      </w:r>
      <w:r w:rsidRPr="003E6FA9">
        <w:rPr>
          <w:rStyle w:val="StyleUnderline"/>
        </w:rPr>
        <w:t>Make the whole world stand still</w:t>
      </w:r>
      <w:r w:rsidRPr="00DD09F5">
        <w:rPr>
          <w:rFonts w:eastAsiaTheme="minorEastAsia"/>
          <w:sz w:val="16"/>
        </w:rPr>
        <w:t xml:space="preserve">. Indeed, it may be the only way to think the present in any significant sense. To be clear: the suspension of the world is not a hunt for its conditions of reproduction or a meditative "rhapsody of sensations" (DR, 56). It is thought that treats the world as if struck by an unspecified disaster, where the best friends you have left are your own ideas. </w:t>
      </w:r>
      <w:r w:rsidRPr="003E6FA9">
        <w:rPr>
          <w:rStyle w:val="StyleUnderline"/>
        </w:rPr>
        <w:t>This is not the banal disaster movie, whose ambitions are usually limited to teaching us what are the bare essentials to survive</w:t>
      </w:r>
      <w:r w:rsidRPr="00DD09F5">
        <w:rPr>
          <w:rFonts w:eastAsiaTheme="minorEastAsia"/>
          <w:sz w:val="16"/>
        </w:rPr>
        <w:t xml:space="preserve">. </w:t>
      </w:r>
      <w:r w:rsidRPr="003E6FA9">
        <w:rPr>
          <w:rFonts w:eastAsiaTheme="minorEastAsia"/>
          <w:b/>
          <w:iCs/>
          <w:u w:val="single"/>
        </w:rPr>
        <w:t>Writing the disaster is how we break free from the stifling perpetual present, for the present carries with itself a suffocating urgency</w:t>
      </w:r>
      <w:r w:rsidRPr="00DD09F5">
        <w:rPr>
          <w:rFonts w:eastAsiaTheme="minorEastAsia"/>
          <w:sz w:val="16"/>
        </w:rPr>
        <w:t xml:space="preserve">. The present imposes material limits. To it, the past and the future are the empty form of time, and they must endure the complications of having a body to become part of the present (LS, 146-47, 165). The past and the future exist in their own right only through representation—the former in history as the present memorialization of things passed and the latter in the yet to come as the projection of an image of the present (147). Such re-presentation is why the future appears with the distinct impression that "we have seen it all before" (Flaxman, Fabulation of Philosophy, 392). </w:t>
      </w:r>
      <w:r w:rsidRPr="003E6FA9">
        <w:rPr>
          <w:rFonts w:eastAsiaTheme="minorEastAsia"/>
          <w:b/>
          <w:iCs/>
          <w:u w:val="single"/>
        </w:rPr>
        <w:t>The productivist sees the event of thought as an eminently practical reorientation toward the present achieved while generating a new image of the future</w:t>
      </w:r>
      <w:r w:rsidRPr="00DD09F5">
        <w:rPr>
          <w:rFonts w:eastAsiaTheme="minorEastAsia"/>
          <w:sz w:val="16"/>
        </w:rPr>
        <w:t xml:space="preserve"> (WP, 58). In contrast, </w:t>
      </w:r>
      <w:r w:rsidRPr="003E6FA9">
        <w:rPr>
          <w:rFonts w:eastAsiaTheme="minorEastAsia"/>
          <w:b/>
          <w:iCs/>
          <w:u w:val="single"/>
        </w:rPr>
        <w:t>those learning to hate the world must short-circuit the "here and now" to play out the scene differently</w:t>
      </w:r>
      <w:r w:rsidRPr="00DD09F5">
        <w:rPr>
          <w:rFonts w:eastAsiaTheme="minorEastAsia"/>
          <w:sz w:val="16"/>
        </w:rPr>
        <w:t xml:space="preserve">. While still being in this world, they turn away from it. This is the life of characters so agitated that they force the world to stand still— Dostoyevsky's Idiot, the head of Kurosawa's seven samurai (TR, 317-18). </w:t>
      </w:r>
      <w:r w:rsidRPr="003E6FA9">
        <w:rPr>
          <w:rFonts w:eastAsiaTheme="minorEastAsia"/>
          <w:b/>
          <w:iCs/>
          <w:u w:val="single"/>
        </w:rPr>
        <w:t>Against bleating urgency that "there a fire, there's fire . . . I've got to go," they insist that everything could burn to the ground but nothing happens, because one must seek out a more urgent problem</w:t>
      </w:r>
      <w:r w:rsidRPr="00DD09F5">
        <w:rPr>
          <w:rFonts w:eastAsiaTheme="minorEastAsia"/>
          <w:sz w:val="16"/>
        </w:rPr>
        <w:t xml:space="preserve">! </w:t>
      </w:r>
      <w:r w:rsidRPr="003E6FA9">
        <w:rPr>
          <w:rStyle w:val="StyleUnderline"/>
        </w:rPr>
        <w:t>There are those who say that we already have one foot in utopia</w:t>
      </w:r>
      <w:r w:rsidRPr="00DD09F5">
        <w:rPr>
          <w:rFonts w:eastAsiaTheme="minorEastAsia"/>
          <w:sz w:val="16"/>
        </w:rPr>
        <w:t xml:space="preserve">; but </w:t>
      </w:r>
      <w:r w:rsidRPr="003E6FA9">
        <w:rPr>
          <w:rFonts w:eastAsiaTheme="minorEastAsia"/>
          <w:b/>
          <w:iCs/>
          <w:u w:val="single"/>
        </w:rPr>
        <w:t>would it not be more suitable to say that we have both feet firmly planted in a present slouching toward dystopia</w:t>
      </w:r>
      <w:r w:rsidRPr="00DD09F5">
        <w:rPr>
          <w:rFonts w:eastAsiaTheme="minorEastAsia"/>
          <w:sz w:val="16"/>
        </w:rPr>
        <w:t xml:space="preserve">? Deleuze and Guattari call on utopia in their search for a new people and a new earth (WP, 99). They look to Samuel Butler, dissecting his Erewhon as a simultaneous "now-here" and "no-where" (100). Yet a closer examination of his novel reveals utopia to be a farce. While not exactly a dystopia, the utopia Erewhon is a comic satire of the British </w:t>
      </w:r>
      <w:r w:rsidRPr="00DD09F5">
        <w:rPr>
          <w:rFonts w:eastAsiaTheme="minorEastAsia"/>
          <w:sz w:val="16"/>
        </w:rPr>
        <w:lastRenderedPageBreak/>
        <w:t xml:space="preserve">Empire. The narrator is a crass traveler with settler colonial dreams who catalogs the strange ways of Erewhon—in chapters 10 and 11, he outlines how they punish the sick ("convicted of aggravated bronchitis") and sentence the misfortunate to hard labor ("ill luck of any kind ... is considered an offense against society") but nurture financial transgressions with medicine ("taken to a hospital and most carefully tended at the public expense"). Beyond being an object lesson in reading footnotes, Deleuze and Guattari's reference to Erewhon demands an attention to the exact configuration of conceptual devices (dispositifs) and how power flows through them. Link thought with its epoch, they suggest, begin with a survey to identify whatever forces are already circulating and then work with them —"connecting up with what is real here and now in the struggle against capitalism, relaunching new struggles whenever the earlier one is betrayed" (100). They warn of "proud affirmation" as the guise of restoration that opens the door to transcendence, such as appeals to truth, right, or authority (100). For Butler, Erewhon summons neither a new people nor a new earth but is instead a field guide to negate everything he finds intolerable in his present. </w:t>
      </w:r>
      <w:r w:rsidRPr="003E6FA9">
        <w:rPr>
          <w:rStyle w:val="StyleUnderline"/>
        </w:rPr>
        <w:t>Utopia becomes the map to transform the now-here into the no-where.</w:t>
      </w:r>
      <w:r w:rsidRPr="00DD09F5">
        <w:rPr>
          <w:rFonts w:eastAsiaTheme="minorEastAsia"/>
          <w:sz w:val="16"/>
        </w:rPr>
        <w:t xml:space="preserve"> "It should have been an apocalyptic book," laments Deleuze, disappointed that the "old style" Difference and Repetition did not make apparent a key implication—he killed God, humankind, and even the world (xxi). The Death of God began long before Deleuze, who sees Feuerbach as completing it long before Nietzsche with the proposition that "since man has never been anything but the unfold of man, man must fold and refold God" (F, 130). </w:t>
      </w:r>
      <w:r w:rsidRPr="003E6FA9">
        <w:rPr>
          <w:rStyle w:val="StyleUnderline"/>
        </w:rPr>
        <w:t>Nietzsche identifies a different problem: that God was reborn in the form of Man</w:t>
      </w:r>
      <w:r w:rsidRPr="00DD09F5">
        <w:rPr>
          <w:rFonts w:eastAsiaTheme="minorEastAsia"/>
          <w:sz w:val="16"/>
        </w:rPr>
        <w:t xml:space="preserve">. For Deleuze, </w:t>
      </w:r>
      <w:r w:rsidRPr="003E6FA9">
        <w:rPr>
          <w:rStyle w:val="StyleUnderline"/>
        </w:rPr>
        <w:t>it takes Foucault to establish the finitude of humanity</w:t>
      </w:r>
      <w:r w:rsidRPr="00DD09F5">
        <w:rPr>
          <w:rFonts w:eastAsiaTheme="minorEastAsia"/>
          <w:sz w:val="16"/>
        </w:rPr>
        <w:t>—"</w:t>
      </w:r>
      <w:r w:rsidRPr="003E6FA9">
        <w:rPr>
          <w:rStyle w:val="StyleUnderline"/>
        </w:rPr>
        <w:t>Man has not always existed, and will not exist forever</w:t>
      </w:r>
      <w:r w:rsidRPr="00DD09F5">
        <w:rPr>
          <w:rFonts w:eastAsiaTheme="minorEastAsia"/>
          <w:sz w:val="16"/>
        </w:rPr>
        <w:t>"—</w:t>
      </w:r>
      <w:r w:rsidRPr="003E6FA9">
        <w:rPr>
          <w:rStyle w:val="StyleUnderline"/>
        </w:rPr>
        <w:t>thus sealing its fate</w:t>
      </w:r>
      <w:r w:rsidRPr="00DD09F5">
        <w:rPr>
          <w:rFonts w:eastAsiaTheme="minorEastAsia"/>
          <w:sz w:val="16"/>
        </w:rPr>
        <w:t xml:space="preserve"> (F, 124). </w:t>
      </w:r>
      <w:r w:rsidRPr="003E6FA9">
        <w:rPr>
          <w:rFonts w:eastAsiaTheme="minorEastAsia"/>
          <w:b/>
          <w:iCs/>
          <w:u w:val="single"/>
        </w:rPr>
        <w:t>But to destroy the world . . . that is the truly heretical proposition</w:t>
      </w:r>
      <w:r w:rsidRPr="00DD09F5">
        <w:rPr>
          <w:rFonts w:eastAsiaTheme="minorEastAsia"/>
          <w:sz w:val="16"/>
        </w:rPr>
        <w:t xml:space="preserve">. A small group of dissident Deleuze scholars have rallied around the slogan that "there is no 'ontology of Deleuze'"—Gregory Flaxman, Anne Sauvagnargues, Gregg Lambert, and Francois Zourabichvili, to name a few (Zourabichvili, A Philosophy of the Event, 36). The statement does not imply that ontology is an illusion, but criticizing those who build a Deleuzian system around a coherent ontology of the world is ill considered, as it fails draw a line to the outside—"to incalculable forces, to chance and improvisation, to the future" (Flaxman, "Politics and Ontology"). </w:t>
      </w:r>
      <w:r w:rsidRPr="003E6FA9">
        <w:rPr>
          <w:rFonts w:eastAsiaTheme="minorEastAsia"/>
          <w:b/>
          <w:iCs/>
          <w:u w:val="single"/>
        </w:rPr>
        <w:t>Blazing such a path may require "the extinction of the term 'being' and therefore of ontology</w:t>
      </w:r>
      <w:r w:rsidRPr="00DD09F5">
        <w:rPr>
          <w:rFonts w:eastAsiaTheme="minorEastAsia"/>
          <w:sz w:val="16"/>
        </w:rPr>
        <w:t xml:space="preserve">," </w:t>
      </w:r>
      <w:r w:rsidRPr="003E6FA9">
        <w:rPr>
          <w:rFonts w:eastAsiaTheme="minorEastAsia"/>
          <w:b/>
          <w:iCs/>
          <w:u w:val="single"/>
        </w:rPr>
        <w:t xml:space="preserve">or in so many words, a destruction of this world </w:t>
      </w:r>
      <w:r w:rsidRPr="00DD09F5">
        <w:rPr>
          <w:rFonts w:eastAsiaTheme="minorEastAsia"/>
          <w:sz w:val="16"/>
        </w:rPr>
        <w:t xml:space="preserve">(37). </w:t>
      </w:r>
      <w:r w:rsidRPr="003E6FA9">
        <w:rPr>
          <w:rFonts w:eastAsiaTheme="minorEastAsia"/>
          <w:b/>
          <w:iCs/>
          <w:u w:val="single"/>
        </w:rPr>
        <w:t>Deleuze and Guattari suggest as much when they propose to "overthrow ontology</w:t>
      </w:r>
      <w:r w:rsidRPr="00DD09F5">
        <w:rPr>
          <w:rFonts w:eastAsiaTheme="minorEastAsia"/>
          <w:sz w:val="16"/>
        </w:rPr>
        <w:t xml:space="preserve">" (TP, 25). Summed up, this stance names the "joyful pessimist" Deleuze. Too restless to stop there, </w:t>
      </w:r>
      <w:r w:rsidRPr="003E6FA9">
        <w:rPr>
          <w:rFonts w:eastAsiaTheme="minorEastAsia"/>
          <w:b/>
          <w:iCs/>
          <w:u w:val="single"/>
        </w:rPr>
        <w:t>the Dark Deleuze broadens the coup de force into a fierce pessimism that shatters the cosmos.</w:t>
      </w:r>
    </w:p>
    <w:p xmlns:wp14="http://schemas.microsoft.com/office/word/2010/wordml" w:rsidR="00054398" w:rsidP="00054398" w:rsidRDefault="00054398" w14:paraId="15863DFC" wp14:textId="77777777">
      <w:pPr>
        <w:pStyle w:val="Heading1"/>
      </w:pPr>
      <w:r>
        <w:lastRenderedPageBreak/>
        <w:t>Academic Incorporation Kritik</w:t>
      </w:r>
    </w:p>
    <w:p xmlns:wp14="http://schemas.microsoft.com/office/word/2010/wordml" w:rsidR="00054398" w:rsidP="00054398" w:rsidRDefault="00054398" w14:paraId="2FC17F8B" wp14:textId="77777777"/>
    <w:p xmlns:wp14="http://schemas.microsoft.com/office/word/2010/wordml" w:rsidR="00054398" w:rsidP="00054398" w:rsidRDefault="00054398" w14:paraId="3CD27FBB" wp14:textId="77777777">
      <w:pPr>
        <w:pStyle w:val="Heading2"/>
      </w:pPr>
      <w:r>
        <w:lastRenderedPageBreak/>
        <w:t>Links/Disads</w:t>
      </w:r>
    </w:p>
    <w:p xmlns:wp14="http://schemas.microsoft.com/office/word/2010/wordml" w:rsidR="00054398" w:rsidP="00054398" w:rsidRDefault="00054398" w14:paraId="0A4F7224" wp14:textId="77777777"/>
    <w:p xmlns:wp14="http://schemas.microsoft.com/office/word/2010/wordml" w:rsidR="00054398" w:rsidP="00054398" w:rsidRDefault="00054398" w14:paraId="0F90AC2F" wp14:textId="77777777">
      <w:pPr>
        <w:pStyle w:val="Heading3"/>
      </w:pPr>
      <w:r>
        <w:lastRenderedPageBreak/>
        <w:t>L: Citizenship--Credit</w:t>
      </w:r>
    </w:p>
    <w:p xmlns:wp14="http://schemas.microsoft.com/office/word/2010/wordml" w:rsidR="00054398" w:rsidP="00054398" w:rsidRDefault="00054398" w14:paraId="27CD09D4" wp14:textId="77777777">
      <w:pPr>
        <w:pStyle w:val="Heading4"/>
      </w:pPr>
      <w:r>
        <w:t>Citizenship is the granting of credit against debt-- it is a disciplinary practice that attempts to consolidate proper and profitable public and private spheres. Credit disciplines bad debt; it attempts to give bad debtors aspirations towards governance. Credit attempts to fix bad debt like it is broken. The aff’s extension of citizenship is merely a frenzied incursion of the fixers to those they think need fixing in order to produce precarity so that governance can exercise its poverty-making power, but debt cannot be fixed. Debt proliferates.</w:t>
      </w:r>
    </w:p>
    <w:p xmlns:wp14="http://schemas.microsoft.com/office/word/2010/wordml" w:rsidR="00054398" w:rsidP="00054398" w:rsidRDefault="00054398" w14:paraId="560B5CEB" wp14:textId="77777777">
      <w:r w:rsidRPr="001710C3">
        <w:rPr>
          <w:rStyle w:val="Style13ptBold"/>
        </w:rPr>
        <w:t>Harney and Moten 13</w:t>
      </w:r>
      <w:r>
        <w:t xml:space="preserve"> [</w:t>
      </w:r>
      <w:r>
        <w:rPr>
          <w:rFonts w:ascii="Calibri" w:hAnsi="Calibri" w:eastAsia="Calibri" w:cs="Calibri"/>
        </w:rPr>
        <w:t xml:space="preserve">Fred Moten is a poet and scholar at NYU’s Performance Studies whose work explores critical theory, black studies, and performance studies. Stefano Harney is Professor of Strategic Management Education at Singapore Management University. He is the author of State Work: Public Administration and Mass Intellectuality (2002) and The Ends of Management (forthcoming). In this series of essays, Fred Moten and Stefano Harney draw on the theory and practice of the black radical tradition as it supports, inspires, and extends contemporary social and political thought and aesthetic critique. </w:t>
      </w:r>
      <w:r>
        <w:t>The Undercommons: Fugitive Planning and Black Study, Minor Compositions, p 65-67 //tjb]</w:t>
      </w:r>
      <w:r>
        <w:tab/>
      </w:r>
      <w:r>
        <w:tab/>
      </w:r>
    </w:p>
    <w:p xmlns:wp14="http://schemas.microsoft.com/office/word/2010/wordml" w:rsidR="00054398" w:rsidP="00054398" w:rsidRDefault="00054398" w14:paraId="5AE48A43" wp14:textId="77777777">
      <w:r>
        <w:tab/>
      </w:r>
      <w:r>
        <w:tab/>
      </w:r>
      <w:r>
        <w:tab/>
      </w:r>
      <w:r>
        <w:tab/>
      </w:r>
      <w:r>
        <w:tab/>
      </w:r>
    </w:p>
    <w:p xmlns:wp14="http://schemas.microsoft.com/office/word/2010/wordml" w:rsidR="00054398" w:rsidP="00054398" w:rsidRDefault="00054398" w14:paraId="6DFC0A90" wp14:textId="77777777">
      <w:pPr>
        <w:rPr>
          <w:b/>
          <w:u w:val="single"/>
        </w:rPr>
      </w:pPr>
      <w:r w:rsidRPr="00E11F0B">
        <w:rPr>
          <w:rStyle w:val="StyleUnderline"/>
        </w:rPr>
        <w:t xml:space="preserve">We went to the public hospital but it was private, but we went through the door marked ‘private’ to the nurses’ coffee room, and it was public. We went to the public university but it was private, but we went to the barber shop on campus and it was public. We went into the hos- pital, into the university, into the library, into the park. </w:t>
      </w:r>
      <w:r>
        <w:rPr>
          <w:b/>
          <w:u w:val="single"/>
        </w:rPr>
        <w:t>We were of- fered credit for our debt. We were granted citizenship. We were given the credit of the state, the right to make private any public gone bad.</w:t>
      </w:r>
      <w:r>
        <w:t xml:space="preserve"> </w:t>
      </w:r>
      <w:r>
        <w:rPr>
          <w:b/>
          <w:u w:val="single"/>
        </w:rPr>
        <w:t>Good citizens can match credit and debt. They get credit for knowing the di erence, for knowing their place.</w:t>
      </w:r>
      <w:r>
        <w:t xml:space="preserve"> </w:t>
      </w:r>
      <w:r>
        <w:rPr>
          <w:b/>
          <w:u w:val="single"/>
        </w:rPr>
        <w:t>Bad debt leads to bad pub- lics, publics unmatched, unconsolidated, unprofitable.</w:t>
      </w:r>
      <w:r>
        <w:t xml:space="preserve"> We were made honorary citizens. We honored our debt to the nation. We rated the service, scored the cleanliness, paid our fees. Then we went to the barbershop and they gave us a Christmas break- fast, and we went to the coffee room and got coffee and red pills. We were going to run but we didn’t have to. They ran. They ran across the state and across the economy, like a secret cut, a public outbreak, a fugitive fold. They ran but they didn’t go anywhere. They stayed so we could stay. They saw our bad debt coming a mile off. </w:t>
      </w:r>
      <w:r>
        <w:rPr>
          <w:b/>
          <w:u w:val="single"/>
        </w:rPr>
        <w:t>They showed us this was the public, the real public, the fugitive public, and where to look for it.</w:t>
      </w:r>
      <w:r>
        <w:t xml:space="preserve"> </w:t>
      </w:r>
      <w:r>
        <w:rPr>
          <w:b/>
          <w:u w:val="single"/>
        </w:rPr>
        <w:t xml:space="preserve">Look for it here where they say the state doesn’t work. Look for it here where they say there is something wrong with that street. Look for it here where new policies are to be introduced. Look for it here where tougher measures are to be taken, bells are to be tightened, papers are to be served, neighborhoods are to be swept. Anywhere bad debt elaborates itself. Anywhere you can stay, conserve yourself, plan. A few minutes, a few days when you cannot hear them say there is something wrong with you. </w:t>
      </w:r>
      <w:r>
        <w:rPr>
          <w:sz w:val="20"/>
          <w:szCs w:val="20"/>
        </w:rPr>
        <w:t xml:space="preserve">DEBT AND GOVERNANCE </w:t>
      </w:r>
      <w:r>
        <w:rPr>
          <w:b/>
          <w:u w:val="single"/>
        </w:rPr>
        <w:t>We hear them say, what’s wrong with you is your bad debt</w:t>
      </w:r>
      <w:r>
        <w:t xml:space="preserve">. You’re not working. </w:t>
      </w:r>
      <w:r>
        <w:rPr>
          <w:b/>
          <w:u w:val="single"/>
        </w:rPr>
        <w:t>You fail to pay your debt to society.</w:t>
      </w:r>
      <w:r>
        <w:t xml:space="preserve"> You have no credit, but that is to be expected. You have bad credit, and that is fine. But bad debt is a problem. </w:t>
      </w:r>
      <w:r>
        <w:rPr>
          <w:b/>
          <w:u w:val="single"/>
        </w:rPr>
        <w:t>Debt seeking only other debt, detached from creditors, fugitive from restructuring</w:t>
      </w:r>
      <w:r>
        <w:t xml:space="preserve">. Destructuring debt, now that’s wrong. </w:t>
      </w:r>
      <w:r>
        <w:rPr>
          <w:b/>
          <w:u w:val="single"/>
        </w:rPr>
        <w:t xml:space="preserve">But even still, what’s wrong with you </w:t>
      </w:r>
      <w:r>
        <w:rPr>
          <w:b/>
          <w:u w:val="single"/>
        </w:rPr>
        <w:lastRenderedPageBreak/>
        <w:t>can be fixed.</w:t>
      </w:r>
      <w:r>
        <w:t xml:space="preserve"> First we give you a chance. That’s called governance, a chance to be interested, and a shot even at being disinterested. That’s policy. Or we give you policy, if you are still wrong, still bad. </w:t>
      </w:r>
      <w:r>
        <w:rPr>
          <w:b/>
          <w:u w:val="single"/>
        </w:rPr>
        <w:t>Bad debt is senseless, which is to say it cannot be perceived by the senses of capital. But there is therapy available. Governance wants to connect your debt again to the outside world. You are on the spectrum, the capitalist spectrum of interests</w:t>
      </w:r>
      <w:r>
        <w:t xml:space="preserve">. You are the wrong end. Your bad debt looks unconnected, autistic, in its own world. </w:t>
      </w:r>
      <w:r>
        <w:rPr>
          <w:b/>
          <w:u w:val="single"/>
        </w:rPr>
        <w:t>But you can be developed. You can get credit after all. The key is interests. Tell us what you want. Tell us what you want and we can help you get it, on credit.</w:t>
      </w:r>
      <w:r>
        <w:t xml:space="preserve"> We can lower the rate so you can have interest. We can raise the rate so you will pay attention. But we can’t do it alone. </w:t>
      </w:r>
      <w:r>
        <w:rPr>
          <w:b/>
          <w:u w:val="single"/>
        </w:rPr>
        <w:t>Governance only works when you work, when you tell us your interests, when you invest your interests again in debt and credit. Governance is the therapy of your interests, and your interests will bring your credit back.</w:t>
      </w:r>
      <w:r>
        <w:t xml:space="preserve"> You will have an investment, even in debt. A</w:t>
      </w:r>
      <w:r>
        <w:rPr>
          <w:b/>
          <w:u w:val="single"/>
        </w:rPr>
        <w:t>nd governance will gain new senses, new perceptions, new advances into the world of bad debt, new victories in the war on those without interests, those who will not speak for themselves, participate, identify their interests, invest, inform, demand credit. Governance does not seek credit. It does not seek citizenship, al- though it is often understood to do so. Governance seeks debt, debt that will seek credit.</w:t>
      </w:r>
      <w:r>
        <w:t xml:space="preserve"> Governance cannot not know what might be shared, what might be mutual, what might be common. </w:t>
      </w:r>
      <w:r>
        <w:rPr>
          <w:b/>
          <w:u w:val="single"/>
        </w:rPr>
        <w:t>Why award credit, why award citizenship? Only debt is productive, only debt makes credit possible, only debt lets credit rule</w:t>
      </w:r>
      <w:r>
        <w:t xml:space="preserve">. </w:t>
      </w:r>
      <w:r>
        <w:rPr>
          <w:b/>
          <w:u w:val="single"/>
        </w:rPr>
        <w:t>Productivity always comes before rule</w:t>
      </w:r>
      <w:r>
        <w:t xml:space="preserve">, even if the students of governance do not under- stand this, and even if governance itself barely understands this. </w:t>
      </w:r>
      <w:r>
        <w:rPr>
          <w:b/>
          <w:u w:val="single"/>
        </w:rPr>
        <w:t xml:space="preserve">But rule does come, and today it is called policy, the reign of precarity. </w:t>
      </w:r>
      <w:r>
        <w:t xml:space="preserve">And who knows where it will hit you, some creditor walking by you. </w:t>
      </w:r>
      <w:r>
        <w:rPr>
          <w:b/>
          <w:u w:val="single"/>
        </w:rPr>
        <w:t xml:space="preserve">You keep your eyes down but he makes policy anyway, smashes any conservation you have built up, any bad debt you are smuggling. Your life goes back to vicious chance, to arbitrary violence, a new credit card, new car loan, torn from those who hid you, ripped from those who shared bad debt with you. They don’t hear from you again. </w:t>
      </w:r>
    </w:p>
    <w:p xmlns:wp14="http://schemas.microsoft.com/office/word/2010/wordml" w:rsidR="00054398" w:rsidP="00054398" w:rsidRDefault="00054398" w14:paraId="50F40DEB" wp14:textId="77777777">
      <w:pPr>
        <w:rPr>
          <w:rFonts w:ascii="Calibri" w:hAnsi="Calibri" w:eastAsia="Calibri" w:cs="Calibri"/>
        </w:rPr>
      </w:pPr>
    </w:p>
    <w:p xmlns:wp14="http://schemas.microsoft.com/office/word/2010/wordml" w:rsidR="00054398" w:rsidP="00054398" w:rsidRDefault="00054398" w14:paraId="652443C7" wp14:textId="77777777">
      <w:pPr>
        <w:pStyle w:val="Heading3"/>
        <w:rPr>
          <w:rFonts w:eastAsia="Calibri"/>
        </w:rPr>
      </w:pPr>
      <w:r>
        <w:rPr>
          <w:rFonts w:eastAsia="Calibri"/>
        </w:rPr>
        <w:lastRenderedPageBreak/>
        <w:t>L: Citizenship-Antiblackness</w:t>
      </w:r>
    </w:p>
    <w:p xmlns:wp14="http://schemas.microsoft.com/office/word/2010/wordml" w:rsidR="00054398" w:rsidP="00054398" w:rsidRDefault="00054398" w14:paraId="5478B038" wp14:textId="77777777">
      <w:pPr>
        <w:pStyle w:val="Heading4"/>
        <w:rPr>
          <w:rFonts w:eastAsia="Calibri"/>
        </w:rPr>
      </w:pPr>
      <w:bookmarkStart w:name="_2g7vsmx9b7lm" w:colFirst="0" w:colLast="0" w:id="3"/>
      <w:bookmarkEnd w:id="3"/>
      <w:r>
        <w:rPr>
          <w:rFonts w:eastAsia="Calibri"/>
        </w:rPr>
        <w:t xml:space="preserve">The AFFs progressive incorporation of immigrants into the category of citizenship is parasitic on blackness.  There is no reform that can incorporate blackness into civil society because to be black is to be dispossessed from the category of citizen.  Instead we should orient ourselves towards black anarchist politics of refusal of the promise of liberalism that invests in our own oppression. </w:t>
      </w:r>
    </w:p>
    <w:p xmlns:wp14="http://schemas.microsoft.com/office/word/2010/wordml" w:rsidR="00054398" w:rsidP="00054398" w:rsidRDefault="00054398" w14:paraId="3067F959" wp14:textId="77777777">
      <w:pPr>
        <w:rPr>
          <w:rFonts w:ascii="Calibri" w:hAnsi="Calibri" w:eastAsia="Calibri" w:cs="Calibri"/>
          <w:b/>
          <w:sz w:val="26"/>
          <w:szCs w:val="26"/>
        </w:rPr>
      </w:pPr>
      <w:r w:rsidRPr="001710C3">
        <w:rPr>
          <w:rStyle w:val="Style13ptBold"/>
        </w:rPr>
        <w:t>Anderson and Samudzi, 17</w:t>
      </w:r>
      <w:r>
        <w:rPr>
          <w:rFonts w:ascii="Calibri" w:hAnsi="Calibri" w:eastAsia="Calibri" w:cs="Calibri"/>
          <w:b/>
          <w:sz w:val="26"/>
          <w:szCs w:val="26"/>
        </w:rPr>
        <w:t xml:space="preserve"> </w:t>
      </w:r>
      <w:r>
        <w:rPr>
          <w:rFonts w:ascii="Calibri" w:hAnsi="Calibri" w:eastAsia="Calibri" w:cs="Calibri"/>
        </w:rPr>
        <w:t xml:space="preserve">[William C. Anderson is a freelance writer whose work has been published by the Guardian, MTV, Truthout, and Pitchfork, among others. Zoé Samudzi  is a writer and doctoral student in Medical Sociology at the University of California, San Francisco. “The Anarchism of Blackness”, Published in: Anarchism Documentary History of Libertarian Ideas – Robert Graham: The New Amarchism, Volume 3. April 8, 2017, </w:t>
      </w:r>
      <w:hyperlink r:id="rId131">
        <w:r>
          <w:rPr>
            <w:rFonts w:ascii="Calibri" w:hAnsi="Calibri" w:eastAsia="Calibri" w:cs="Calibri"/>
          </w:rPr>
          <w:t>https://robertgraham.wordpress.com/2017/04/08/anderson-samudzi-the-anarchism-of-blackness/</w:t>
        </w:r>
      </w:hyperlink>
      <w:r>
        <w:rPr>
          <w:rFonts w:ascii="Calibri" w:hAnsi="Calibri" w:eastAsia="Calibri" w:cs="Calibri"/>
        </w:rPr>
        <w:t xml:space="preserve">] Lhudson </w:t>
      </w:r>
    </w:p>
    <w:p xmlns:wp14="http://schemas.microsoft.com/office/word/2010/wordml" w:rsidR="00054398" w:rsidP="00054398" w:rsidRDefault="00054398" w14:paraId="123A84B7" wp14:textId="77777777">
      <w:pPr>
        <w:rPr>
          <w:rFonts w:ascii="Calibri" w:hAnsi="Calibri" w:eastAsia="Calibri" w:cs="Calibri"/>
        </w:rPr>
      </w:pPr>
      <w:r>
        <w:rPr>
          <w:rFonts w:ascii="Calibri" w:hAnsi="Calibri" w:eastAsia="Calibri" w:cs="Calibri"/>
          <w:sz w:val="16"/>
          <w:szCs w:val="16"/>
        </w:rPr>
        <w:t xml:space="preserve">The Anarchism of Blackness </w:t>
      </w:r>
      <w:r>
        <w:rPr>
          <w:rFonts w:ascii="Calibri" w:hAnsi="Calibri" w:eastAsia="Calibri" w:cs="Calibri"/>
          <w:u w:val="single"/>
        </w:rPr>
        <w:t>Make no mistake: progress has been secured by Black people’s mobilization</w:t>
      </w:r>
      <w:r>
        <w:rPr>
          <w:rFonts w:ascii="Calibri" w:hAnsi="Calibri" w:eastAsia="Calibri" w:cs="Calibri"/>
          <w:sz w:val="16"/>
          <w:szCs w:val="16"/>
        </w:rPr>
        <w:t xml:space="preserve"> as opposed to a single political party. We are the ones who have achieved much of the progress that changed the nation for the better for everyone. </w:t>
      </w:r>
      <w:r>
        <w:rPr>
          <w:rFonts w:ascii="Calibri" w:hAnsi="Calibri" w:eastAsia="Calibri" w:cs="Calibri"/>
          <w:u w:val="single"/>
        </w:rPr>
        <w:t>Those gains were not a product of any illusion of American exceptionalism</w:t>
      </w:r>
      <w:r>
        <w:rPr>
          <w:rFonts w:ascii="Calibri" w:hAnsi="Calibri" w:eastAsia="Calibri" w:cs="Calibri"/>
          <w:sz w:val="16"/>
          <w:szCs w:val="16"/>
        </w:rPr>
        <w:t xml:space="preserve"> or melting pots, </w:t>
      </w:r>
      <w:r>
        <w:rPr>
          <w:rFonts w:ascii="Calibri" w:hAnsi="Calibri" w:eastAsia="Calibri" w:cs="Calibri"/>
          <w:u w:val="single"/>
        </w:rPr>
        <w:t>but rather through blood, sweat and community self-defense</w:t>
      </w:r>
      <w:r>
        <w:rPr>
          <w:rFonts w:ascii="Calibri" w:hAnsi="Calibri" w:eastAsia="Calibri" w:cs="Calibri"/>
          <w:sz w:val="16"/>
          <w:szCs w:val="16"/>
        </w:rPr>
        <w:t xml:space="preserve">. Our organization can be as effective now as it has been in the past, serving every locality and community based on their needs and determinations. This much can be achieved through disassociating ourselves from party politics that fail to serve us as </w:t>
      </w:r>
      <w:r>
        <w:rPr>
          <w:rFonts w:ascii="Calibri" w:hAnsi="Calibri" w:eastAsia="Calibri" w:cs="Calibri"/>
          <w:u w:val="single"/>
        </w:rPr>
        <w:t>Black freedoms cannot truly be secured in any given election</w:t>
      </w:r>
      <w:r>
        <w:rPr>
          <w:rFonts w:ascii="Calibri" w:hAnsi="Calibri" w:eastAsia="Calibri" w:cs="Calibri"/>
          <w:sz w:val="16"/>
          <w:szCs w:val="16"/>
        </w:rPr>
        <w:t xml:space="preserve">. </w:t>
      </w:r>
      <w:r>
        <w:rPr>
          <w:rFonts w:ascii="Calibri" w:hAnsi="Calibri" w:eastAsia="Calibri" w:cs="Calibri"/>
          <w:u w:val="single"/>
        </w:rPr>
        <w:t>Our political energy is valuable and should not all be drained by political cycles that feed into one another as well as our own detriment.</w:t>
      </w:r>
      <w:r>
        <w:rPr>
          <w:rFonts w:ascii="Calibri" w:hAnsi="Calibri" w:eastAsia="Calibri" w:cs="Calibri"/>
          <w:sz w:val="16"/>
          <w:szCs w:val="16"/>
        </w:rPr>
        <w:t xml:space="preserve"> While bound to the laws of the land, </w:t>
      </w:r>
      <w:r>
        <w:rPr>
          <w:rFonts w:ascii="Calibri" w:hAnsi="Calibri" w:eastAsia="Calibri" w:cs="Calibri"/>
          <w:u w:val="single"/>
        </w:rPr>
        <w:t>Black America can be understood as an extra-state entity because of Black exclusion from the liberal social contract</w:t>
      </w:r>
      <w:r>
        <w:rPr>
          <w:rFonts w:ascii="Calibri" w:hAnsi="Calibri" w:eastAsia="Calibri" w:cs="Calibri"/>
          <w:sz w:val="16"/>
          <w:szCs w:val="16"/>
        </w:rPr>
        <w:t xml:space="preserve">. Due to this extra-state location, </w:t>
      </w:r>
      <w:r>
        <w:rPr>
          <w:rFonts w:ascii="Calibri" w:hAnsi="Calibri" w:eastAsia="Calibri" w:cs="Calibri"/>
          <w:u w:val="single"/>
        </w:rPr>
        <w:t>Blackness is, in so many ways, anarchistic</w:t>
      </w:r>
      <w:r>
        <w:rPr>
          <w:rFonts w:ascii="Calibri" w:hAnsi="Calibri" w:eastAsia="Calibri" w:cs="Calibri"/>
          <w:sz w:val="16"/>
          <w:szCs w:val="16"/>
        </w:rPr>
        <w:t xml:space="preserve">. </w:t>
      </w:r>
      <w:r>
        <w:rPr>
          <w:rFonts w:ascii="Calibri" w:hAnsi="Calibri" w:eastAsia="Calibri" w:cs="Calibri"/>
          <w:u w:val="single"/>
        </w:rPr>
        <w:t>African-Americans</w:t>
      </w:r>
      <w:r>
        <w:rPr>
          <w:rFonts w:ascii="Calibri" w:hAnsi="Calibri" w:eastAsia="Calibri" w:cs="Calibri"/>
          <w:sz w:val="16"/>
          <w:szCs w:val="16"/>
        </w:rPr>
        <w:t xml:space="preserve">, as an ethno-social identity comprised of descendants from enslaved Africans, </w:t>
      </w:r>
      <w:r>
        <w:rPr>
          <w:rFonts w:ascii="Calibri" w:hAnsi="Calibri" w:eastAsia="Calibri" w:cs="Calibri"/>
          <w:u w:val="single"/>
        </w:rPr>
        <w:t>have innovated new cultures and social organizations much like anarchism would require us to do outside of state structures</w:t>
      </w:r>
      <w:r>
        <w:rPr>
          <w:rFonts w:ascii="Calibri" w:hAnsi="Calibri" w:eastAsia="Calibri" w:cs="Calibri"/>
          <w:sz w:val="16"/>
          <w:szCs w:val="16"/>
        </w:rPr>
        <w:t xml:space="preserve">. </w:t>
      </w:r>
      <w:r>
        <w:rPr>
          <w:rFonts w:ascii="Calibri" w:hAnsi="Calibri" w:eastAsia="Calibri" w:cs="Calibri"/>
          <w:u w:val="single"/>
        </w:rPr>
        <w:t>Black radical formations are themselves fundamentally anti-fascist</w:t>
      </w:r>
      <w:r>
        <w:rPr>
          <w:rFonts w:ascii="Calibri" w:hAnsi="Calibri" w:eastAsia="Calibri" w:cs="Calibri"/>
          <w:sz w:val="16"/>
          <w:szCs w:val="16"/>
        </w:rPr>
        <w:t xml:space="preserve"> despite functioning outside of “conventional” Antifa spaces, </w:t>
      </w:r>
      <w:r>
        <w:rPr>
          <w:rFonts w:ascii="Calibri" w:hAnsi="Calibri" w:eastAsia="Calibri" w:cs="Calibri"/>
          <w:u w:val="single"/>
        </w:rPr>
        <w:t>and Black people have engaged in anarchistic resistances since our very arrival in the Americas. From slave ship and plantation rebellions during enslavement</w:t>
      </w:r>
      <w:r>
        <w:rPr>
          <w:rFonts w:ascii="Calibri" w:hAnsi="Calibri" w:eastAsia="Calibri" w:cs="Calibri"/>
          <w:sz w:val="16"/>
          <w:szCs w:val="16"/>
        </w:rPr>
        <w:t xml:space="preserve"> to post-Emancipation labor and prison camps, to Harriet Tubman’s removal of enslaved peoples from the custody of their owners, </w:t>
      </w:r>
      <w:r>
        <w:rPr>
          <w:rFonts w:ascii="Calibri" w:hAnsi="Calibri" w:eastAsia="Calibri" w:cs="Calibri"/>
          <w:u w:val="single"/>
        </w:rPr>
        <w:t>to the creation of maroon societies in the American South, to combatting the historic</w:t>
      </w:r>
      <w:r>
        <w:rPr>
          <w:rFonts w:ascii="Calibri" w:hAnsi="Calibri" w:eastAsia="Calibri" w:cs="Calibri"/>
          <w:sz w:val="16"/>
          <w:szCs w:val="16"/>
        </w:rPr>
        <w:t xml:space="preserve"> (and present) </w:t>
      </w:r>
      <w:r>
        <w:rPr>
          <w:rFonts w:ascii="Calibri" w:hAnsi="Calibri" w:eastAsia="Calibri" w:cs="Calibri"/>
          <w:u w:val="single"/>
        </w:rPr>
        <w:t>collusion between state law enforcement and the K</w:t>
      </w:r>
      <w:r>
        <w:rPr>
          <w:rFonts w:ascii="Calibri" w:hAnsi="Calibri" w:eastAsia="Calibri" w:cs="Calibri"/>
          <w:sz w:val="16"/>
          <w:szCs w:val="16"/>
        </w:rPr>
        <w:t xml:space="preserve">u </w:t>
      </w:r>
      <w:r>
        <w:rPr>
          <w:rFonts w:ascii="Calibri" w:hAnsi="Calibri" w:eastAsia="Calibri" w:cs="Calibri"/>
          <w:u w:val="single"/>
        </w:rPr>
        <w:t>K</w:t>
      </w:r>
      <w:r>
        <w:rPr>
          <w:rFonts w:ascii="Calibri" w:hAnsi="Calibri" w:eastAsia="Calibri" w:cs="Calibri"/>
          <w:sz w:val="16"/>
          <w:szCs w:val="16"/>
        </w:rPr>
        <w:t xml:space="preserve">lux </w:t>
      </w:r>
      <w:r>
        <w:rPr>
          <w:rFonts w:ascii="Calibri" w:hAnsi="Calibri" w:eastAsia="Calibri" w:cs="Calibri"/>
          <w:u w:val="single"/>
        </w:rPr>
        <w:t>K</w:t>
      </w:r>
      <w:r>
        <w:rPr>
          <w:rFonts w:ascii="Calibri" w:hAnsi="Calibri" w:eastAsia="Calibri" w:cs="Calibri"/>
          <w:sz w:val="16"/>
          <w:szCs w:val="16"/>
        </w:rPr>
        <w:t xml:space="preserve">lan — </w:t>
      </w:r>
      <w:r>
        <w:rPr>
          <w:rFonts w:ascii="Calibri" w:hAnsi="Calibri" w:eastAsia="Calibri" w:cs="Calibri"/>
          <w:u w:val="single"/>
        </w:rPr>
        <w:t>assertions of Black personhood, humanity and liberation have necessarily called into question both the foundations and legitimacy of the American state.</w:t>
      </w:r>
      <w:r>
        <w:rPr>
          <w:rFonts w:ascii="Calibri" w:hAnsi="Calibri" w:eastAsia="Calibri" w:cs="Calibri"/>
          <w:sz w:val="16"/>
          <w:szCs w:val="16"/>
        </w:rPr>
        <w:t xml:space="preserve"> So given this history, why do we understand Black political formations as squarely entrenched within liberalism or as almost synonymous with supporting for the Democratic Party? The reality of the afterlife of slavery shows that the updated terms of Black citizenship are still inextricably linked to the original sins levied against us from the moment of this nation’s inception. </w:t>
      </w:r>
      <w:r>
        <w:rPr>
          <w:rFonts w:ascii="Calibri" w:hAnsi="Calibri" w:eastAsia="Calibri" w:cs="Calibri"/>
          <w:u w:val="single"/>
        </w:rPr>
        <w:t>We are not able to escape a cage that has never been fully removed</w:t>
      </w:r>
      <w:r>
        <w:rPr>
          <w:rFonts w:ascii="Calibri" w:hAnsi="Calibri" w:eastAsia="Calibri" w:cs="Calibri"/>
          <w:sz w:val="16"/>
          <w:szCs w:val="16"/>
        </w:rPr>
        <w:t xml:space="preserve">, though liberal fantasy would have you think we will have a dream or dignifiedly protest out of harm’s way. The simple and increasingly realized reality is that </w:t>
      </w:r>
      <w:r>
        <w:rPr>
          <w:rFonts w:ascii="Calibri" w:hAnsi="Calibri" w:eastAsia="Calibri" w:cs="Calibri"/>
          <w:u w:val="single"/>
        </w:rPr>
        <w:t>mass protests, petitions and the over-exhausted respectable methods liberals tout</w:t>
      </w:r>
      <w:r>
        <w:rPr>
          <w:rFonts w:ascii="Calibri" w:hAnsi="Calibri" w:eastAsia="Calibri" w:cs="Calibri"/>
          <w:sz w:val="16"/>
          <w:szCs w:val="16"/>
        </w:rPr>
        <w:t xml:space="preserve"> as sole solutions </w:t>
      </w:r>
      <w:r>
        <w:rPr>
          <w:rFonts w:ascii="Calibri" w:hAnsi="Calibri" w:eastAsia="Calibri" w:cs="Calibri"/>
          <w:u w:val="single"/>
        </w:rPr>
        <w:t>have a purpose, but do not stop bullets</w:t>
      </w:r>
      <w:r>
        <w:rPr>
          <w:rFonts w:ascii="Calibri" w:hAnsi="Calibri" w:eastAsia="Calibri" w:cs="Calibri"/>
          <w:sz w:val="16"/>
          <w:szCs w:val="16"/>
        </w:rPr>
        <w:t xml:space="preserve"> — that is why Dr. King and many o.f their favorite sanitized “non-violent” protesters of yesteryear carried weapons to defend themselves. Responding to this Neo-Fascist Moment </w:t>
      </w:r>
      <w:r>
        <w:rPr>
          <w:rFonts w:ascii="Calibri" w:hAnsi="Calibri" w:eastAsia="Calibri" w:cs="Calibri"/>
          <w:u w:val="single"/>
        </w:rPr>
        <w:t>Liberalism cannot defeat fascism</w:t>
      </w:r>
      <w:r>
        <w:rPr>
          <w:rFonts w:ascii="Calibri" w:hAnsi="Calibri" w:eastAsia="Calibri" w:cs="Calibri"/>
          <w:sz w:val="16"/>
          <w:szCs w:val="16"/>
        </w:rPr>
        <w:t xml:space="preserve">, it can only engage it through symbolic political rigmarole. The triteness of electoral politics that has been superimposed onto Black life in the United States positions Black people as an indelible mule for much of this nation’s social progression. </w:t>
      </w:r>
      <w:r>
        <w:rPr>
          <w:rFonts w:ascii="Calibri" w:hAnsi="Calibri" w:eastAsia="Calibri" w:cs="Calibri"/>
          <w:u w:val="single"/>
        </w:rPr>
        <w:t>Our hyper-visible struggle is a fight for all people’s freedom and we die only to realize that everything gained can be reversed with the quick flick of a pen</w:t>
      </w:r>
      <w:r>
        <w:rPr>
          <w:rFonts w:ascii="Calibri" w:hAnsi="Calibri" w:eastAsia="Calibri" w:cs="Calibri"/>
          <w:sz w:val="16"/>
          <w:szCs w:val="16"/>
        </w:rPr>
        <w:t xml:space="preserve">. While liberalism takes up the burden of protecting “free speech” and the rights of those who would annihilate all non-whites, Black people and other people of color assume all of the risks and harms. </w:t>
      </w:r>
      <w:r>
        <w:rPr>
          <w:rFonts w:ascii="Calibri" w:hAnsi="Calibri" w:eastAsia="Calibri" w:cs="Calibri"/>
          <w:u w:val="single"/>
        </w:rPr>
        <w:t xml:space="preserve">The symbolic battles the Democratic Party and its liberal constituents engage in pose direct </w:t>
      </w:r>
      <w:r>
        <w:rPr>
          <w:rFonts w:ascii="Calibri" w:hAnsi="Calibri" w:eastAsia="Calibri" w:cs="Calibri"/>
          <w:sz w:val="16"/>
          <w:szCs w:val="16"/>
        </w:rPr>
        <w:t xml:space="preserve">existential </w:t>
      </w:r>
      <w:r>
        <w:rPr>
          <w:rFonts w:ascii="Calibri" w:hAnsi="Calibri" w:eastAsia="Calibri" w:cs="Calibri"/>
          <w:u w:val="single"/>
        </w:rPr>
        <w:t xml:space="preserve">threats to Black people </w:t>
      </w:r>
      <w:r>
        <w:rPr>
          <w:rFonts w:ascii="Calibri" w:hAnsi="Calibri" w:eastAsia="Calibri" w:cs="Calibri"/>
          <w:u w:val="single"/>
        </w:rPr>
        <w:lastRenderedPageBreak/>
        <w:t>because they protect esteemed ideals of a constitution that has never guaranteed Black people safety or security</w:t>
      </w:r>
      <w:r>
        <w:rPr>
          <w:rFonts w:ascii="Calibri" w:hAnsi="Calibri" w:eastAsia="Calibri" w:cs="Calibri"/>
          <w:sz w:val="16"/>
          <w:szCs w:val="16"/>
        </w:rPr>
        <w:t xml:space="preserve">. </w:t>
      </w:r>
      <w:r>
        <w:rPr>
          <w:rFonts w:ascii="Calibri" w:hAnsi="Calibri" w:eastAsia="Calibri" w:cs="Calibri"/>
          <w:u w:val="single"/>
        </w:rPr>
        <w:t>The idealistic gestures with which liberalism defines itself are made at the expense of Black people who are not protected by such ideals in the ways institutional whiteness and even articulations of white supremacy are protected</w:t>
      </w:r>
      <w:r>
        <w:rPr>
          <w:rFonts w:ascii="Calibri" w:hAnsi="Calibri" w:eastAsia="Calibri" w:cs="Calibri"/>
          <w:sz w:val="16"/>
          <w:szCs w:val="16"/>
        </w:rPr>
        <w:t xml:space="preserve">. </w:t>
      </w:r>
      <w:r>
        <w:rPr>
          <w:rFonts w:ascii="Calibri" w:hAnsi="Calibri" w:eastAsia="Calibri" w:cs="Calibri"/>
          <w:u w:val="single"/>
        </w:rPr>
        <w:t>Constitutional amendments are contorted based on the state’s historical disregard for sustaining an active antagonism towards Black life</w:t>
      </w:r>
      <w:r>
        <w:rPr>
          <w:rFonts w:ascii="Calibri" w:hAnsi="Calibri" w:eastAsia="Calibri" w:cs="Calibri"/>
          <w:sz w:val="16"/>
          <w:szCs w:val="16"/>
        </w:rPr>
        <w:t xml:space="preserve">. </w:t>
      </w:r>
      <w:r>
        <w:rPr>
          <w:rFonts w:ascii="Calibri" w:hAnsi="Calibri" w:eastAsia="Calibri" w:cs="Calibri"/>
          <w:u w:val="single"/>
        </w:rPr>
        <w:t>The First Amendment has been repeatedly trampled by militarized police trotting through Black neighborhoods</w:t>
      </w:r>
      <w:r>
        <w:rPr>
          <w:rFonts w:ascii="Calibri" w:hAnsi="Calibri" w:eastAsia="Calibri" w:cs="Calibri"/>
          <w:sz w:val="16"/>
          <w:szCs w:val="16"/>
        </w:rPr>
        <w:t>. The Second Amendment has been shot down by countless state enforcers who have extra-judicially murdered Black people based merely on the suspicion they might have a weapon</w:t>
      </w:r>
      <w:r>
        <w:rPr>
          <w:rFonts w:ascii="Calibri" w:hAnsi="Calibri" w:eastAsia="Calibri" w:cs="Calibri"/>
          <w:u w:val="single"/>
        </w:rPr>
        <w:t>. The Thirteenth Amendment legitimized enslavement through mass incarceration</w:t>
      </w:r>
      <w:r>
        <w:rPr>
          <w:rFonts w:ascii="Calibri" w:hAnsi="Calibri" w:eastAsia="Calibri" w:cs="Calibri"/>
          <w:sz w:val="16"/>
          <w:szCs w:val="16"/>
        </w:rPr>
        <w:t xml:space="preserve"> and extended the practice into a new form of white supremacist rationalization and an old capitalist labor politic that still tortures us to this day. </w:t>
      </w:r>
      <w:r>
        <w:rPr>
          <w:rFonts w:ascii="Calibri" w:hAnsi="Calibri" w:eastAsia="Calibri" w:cs="Calibri"/>
          <w:u w:val="single"/>
        </w:rPr>
        <w:t>This fascist moment is neither ideologically new nor temporally surprising. It is an inevitability</w:t>
      </w:r>
      <w:r>
        <w:rPr>
          <w:rFonts w:ascii="Calibri" w:hAnsi="Calibri" w:eastAsia="Calibri" w:cs="Calibri"/>
          <w:sz w:val="16"/>
          <w:szCs w:val="16"/>
        </w:rPr>
        <w:t xml:space="preserve">. Anti-fascist organizing must be bold. </w:t>
      </w:r>
      <w:r>
        <w:rPr>
          <w:rFonts w:ascii="Calibri" w:hAnsi="Calibri" w:eastAsia="Calibri" w:cs="Calibri"/>
          <w:u w:val="single"/>
        </w:rPr>
        <w:t>The mechanisms working against us</w:t>
      </w:r>
      <w:r>
        <w:rPr>
          <w:rFonts w:ascii="Calibri" w:hAnsi="Calibri" w:eastAsia="Calibri" w:cs="Calibri"/>
          <w:sz w:val="16"/>
          <w:szCs w:val="16"/>
        </w:rPr>
        <w:t xml:space="preserve"> do not entertain our humanity: they </w:t>
      </w:r>
      <w:r>
        <w:rPr>
          <w:rFonts w:ascii="Calibri" w:hAnsi="Calibri" w:eastAsia="Calibri" w:cs="Calibri"/>
          <w:u w:val="single"/>
        </w:rPr>
        <w:t>are hyper-violent</w:t>
      </w:r>
      <w:r>
        <w:rPr>
          <w:rFonts w:ascii="Calibri" w:hAnsi="Calibri" w:eastAsia="Calibri" w:cs="Calibri"/>
          <w:sz w:val="16"/>
          <w:szCs w:val="16"/>
        </w:rPr>
        <w:t xml:space="preserve">. </w:t>
      </w:r>
      <w:r>
        <w:rPr>
          <w:rFonts w:ascii="Calibri" w:hAnsi="Calibri" w:eastAsia="Calibri" w:cs="Calibri"/>
          <w:u w:val="single"/>
        </w:rPr>
        <w:t>They deal death and destruction in countless numbers</w:t>
      </w:r>
      <w:r>
        <w:rPr>
          <w:rFonts w:ascii="Calibri" w:hAnsi="Calibri" w:eastAsia="Calibri" w:cs="Calibri"/>
          <w:sz w:val="16"/>
          <w:szCs w:val="16"/>
        </w:rPr>
        <w:t xml:space="preserve"> </w:t>
      </w:r>
      <w:r>
        <w:rPr>
          <w:rFonts w:ascii="Calibri" w:hAnsi="Calibri" w:eastAsia="Calibri" w:cs="Calibri"/>
          <w:u w:val="single"/>
        </w:rPr>
        <w:t>across the non-Western world while turning domestic Black and Brown neighborhoods into proxies for how to treat sub-citizen “others.”</w:t>
      </w:r>
      <w:r>
        <w:rPr>
          <w:rFonts w:ascii="Calibri" w:hAnsi="Calibri" w:eastAsia="Calibri" w:cs="Calibri"/>
          <w:sz w:val="16"/>
          <w:szCs w:val="16"/>
        </w:rPr>
        <w:t xml:space="preserve"> </w:t>
      </w:r>
      <w:r>
        <w:rPr>
          <w:rFonts w:ascii="Calibri" w:hAnsi="Calibri" w:eastAsia="Calibri" w:cs="Calibri"/>
          <w:u w:val="single"/>
        </w:rPr>
        <w:t xml:space="preserve">The militarization of police, border regimes, stop-and-frisk and ICE are clear examples of how the state regards the communities it targets and brutalizes. </w:t>
      </w:r>
      <w:r>
        <w:rPr>
          <w:rFonts w:ascii="Calibri" w:hAnsi="Calibri" w:eastAsia="Calibri" w:cs="Calibri"/>
          <w:sz w:val="16"/>
          <w:szCs w:val="16"/>
        </w:rPr>
        <w:t xml:space="preserve">At the very least, a conversation on self-defense that does not mistreat our survival as a form of violence is deeply needed. And it would be even better if such a conversation normalized anti-fascist organizing that prepared people for the possibility of a fight, instead of simply hoping that that day never comes and respectably clutching proverbial pearls at those currently fighting in the streets. </w:t>
      </w:r>
      <w:r>
        <w:rPr>
          <w:rFonts w:ascii="Calibri" w:hAnsi="Calibri" w:eastAsia="Calibri" w:cs="Calibri"/>
          <w:u w:val="single"/>
        </w:rPr>
        <w:t>Everyone has a stake in the fight against fascism</w:t>
      </w:r>
      <w:r>
        <w:rPr>
          <w:rFonts w:ascii="Calibri" w:hAnsi="Calibri" w:eastAsia="Calibri" w:cs="Calibri"/>
          <w:sz w:val="16"/>
          <w:szCs w:val="16"/>
        </w:rPr>
        <w:t xml:space="preserve">. </w:t>
      </w:r>
      <w:r>
        <w:rPr>
          <w:rFonts w:ascii="Calibri" w:hAnsi="Calibri" w:eastAsia="Calibri" w:cs="Calibri"/>
          <w:u w:val="single"/>
        </w:rPr>
        <w:t>It cannot be defeated with bargaining, petitioning</w:t>
      </w:r>
      <w:r>
        <w:rPr>
          <w:rFonts w:ascii="Calibri" w:hAnsi="Calibri" w:eastAsia="Calibri" w:cs="Calibri"/>
          <w:sz w:val="16"/>
          <w:szCs w:val="16"/>
        </w:rPr>
        <w:t xml:space="preserve">, pleading, “civilized” dialogue, or any other mode of response we were taught was best. </w:t>
      </w:r>
      <w:r>
        <w:rPr>
          <w:rFonts w:ascii="Calibri" w:hAnsi="Calibri" w:eastAsia="Calibri" w:cs="Calibri"/>
          <w:u w:val="single"/>
        </w:rPr>
        <w:t>Fascists have no respect for “othered” humanities</w:t>
      </w:r>
      <w:r>
        <w:rPr>
          <w:rFonts w:ascii="Calibri" w:hAnsi="Calibri" w:eastAsia="Calibri" w:cs="Calibri"/>
          <w:sz w:val="16"/>
          <w:szCs w:val="16"/>
        </w:rPr>
        <w:t>. Regardless of age, gender, race, sexuality, religion, physical ability or nationality</w:t>
      </w:r>
      <w:r>
        <w:rPr>
          <w:rFonts w:ascii="Calibri" w:hAnsi="Calibri" w:eastAsia="Calibri" w:cs="Calibri"/>
          <w:u w:val="single"/>
        </w:rPr>
        <w:t>, there is a place for all of us in this struggle. We are always fighting against the odds</w:t>
      </w:r>
      <w:r>
        <w:rPr>
          <w:rFonts w:ascii="Calibri" w:hAnsi="Calibri" w:eastAsia="Calibri" w:cs="Calibri"/>
          <w:sz w:val="16"/>
          <w:szCs w:val="16"/>
        </w:rPr>
        <w:t xml:space="preserve"> because there is no respite in a perpetually abusive state. It can only function through this abuse, so </w:t>
      </w:r>
      <w:r>
        <w:rPr>
          <w:rFonts w:ascii="Calibri" w:hAnsi="Calibri" w:eastAsia="Calibri" w:cs="Calibri"/>
          <w:u w:val="single"/>
        </w:rPr>
        <w:t>we can only prevail through organizing grounded in radical love and solidarity</w:t>
      </w:r>
      <w:r>
        <w:rPr>
          <w:rFonts w:ascii="Calibri" w:hAnsi="Calibri" w:eastAsia="Calibri" w:cs="Calibri"/>
          <w:sz w:val="16"/>
          <w:szCs w:val="16"/>
        </w:rPr>
        <w:t xml:space="preserve">. </w:t>
      </w:r>
      <w:r>
        <w:rPr>
          <w:rFonts w:ascii="Calibri" w:hAnsi="Calibri" w:eastAsia="Calibri" w:cs="Calibri"/>
          <w:u w:val="single"/>
        </w:rPr>
        <w:t>Our solidarity must prioritize accountability, and it must be authentic</w:t>
      </w:r>
      <w:r>
        <w:rPr>
          <w:rFonts w:ascii="Calibri" w:hAnsi="Calibri" w:eastAsia="Calibri" w:cs="Calibri"/>
          <w:sz w:val="16"/>
          <w:szCs w:val="16"/>
        </w:rPr>
        <w:t xml:space="preserve">. Strategic organizing of this sort, organizing where we understand the inextricable linkedness of our respective struggles, is our means of bolstering the makings of a cohesive left in the United States. The time wasted on dogma and sectarianism, prejudice and incoherence among leftists is over. The sooner Black America in particular begins to understand our position as an inherently anarchistic element of the United States, the more realistically we will be able to organize. Moving beyond the misnomer of chaos, the elements that make us such are the very tools we should utilize to achieve our liberation. </w:t>
      </w:r>
      <w:r>
        <w:rPr>
          <w:rFonts w:ascii="Calibri" w:hAnsi="Calibri" w:eastAsia="Calibri" w:cs="Calibri"/>
          <w:u w:val="single"/>
        </w:rPr>
        <w:t>This burning house cannot be reformed to appropriately include us, nor should we want to share a painful death perishing in the flames. A better society has to be written through our inalienable self-determinations, and that will only happen when we realize we are holding the pen.</w:t>
      </w:r>
    </w:p>
    <w:p xmlns:wp14="http://schemas.microsoft.com/office/word/2010/wordml" w:rsidR="00054398" w:rsidP="00054398" w:rsidRDefault="00054398" w14:paraId="76AB81D2" wp14:textId="77777777">
      <w:pPr>
        <w:pStyle w:val="Heading3"/>
        <w:rPr>
          <w:rFonts w:eastAsia="Calibri"/>
        </w:rPr>
      </w:pPr>
      <w:r>
        <w:rPr>
          <w:rFonts w:eastAsia="Calibri"/>
        </w:rPr>
        <w:lastRenderedPageBreak/>
        <w:t>L: Credit--Generic</w:t>
      </w:r>
    </w:p>
    <w:p xmlns:wp14="http://schemas.microsoft.com/office/word/2010/wordml" w:rsidR="00054398" w:rsidP="00054398" w:rsidRDefault="00054398" w14:paraId="692BD6CB" wp14:textId="77777777">
      <w:pPr>
        <w:pStyle w:val="Heading4"/>
      </w:pPr>
      <w:r>
        <w:t>Credit is a means of privatization and debt is a means of socialization. We want to think debt as a principle of elaboration, against the AFF’s disciplining offer of credit.</w:t>
      </w:r>
    </w:p>
    <w:p xmlns:wp14="http://schemas.microsoft.com/office/word/2010/wordml" w:rsidR="00054398" w:rsidP="00054398" w:rsidRDefault="00054398" w14:paraId="45834E22" wp14:textId="77777777">
      <w:r w:rsidRPr="001710C3">
        <w:rPr>
          <w:rStyle w:val="Style13ptBold"/>
        </w:rPr>
        <w:t>Harney and Moten 13</w:t>
      </w:r>
      <w:r>
        <w:t xml:space="preserve"> [</w:t>
      </w:r>
      <w:r>
        <w:rPr>
          <w:rFonts w:ascii="Calibri" w:hAnsi="Calibri" w:eastAsia="Calibri" w:cs="Calibri"/>
        </w:rPr>
        <w:t xml:space="preserve">Fred Moten is a poet and scholar at NYU’s Performance Studies whose work explores critical theory, black studies, and performance studies. Stefano Harney is Professor of Strategic Management Education at Singapore Management University. He is the author of State Work: Public Administration and Mass Intellectuality (2002) and The Ends of Management (forthcoming). In this series of essays, Fred Moten and Stefano Harney draw on the theory and practice of the black radical tradition as it supports, inspires, and extends contemporary social and political thought and aesthetic critique. </w:t>
      </w:r>
      <w:r>
        <w:t>The Undercommons: Fugitive Planning and Black Study, Minor Compositions, p 61-62 //tjb]</w:t>
      </w:r>
    </w:p>
    <w:p xmlns:wp14="http://schemas.microsoft.com/office/word/2010/wordml" w:rsidR="00054398" w:rsidP="00054398" w:rsidRDefault="00054398" w14:paraId="77A52294" wp14:textId="77777777">
      <w:r>
        <w:tab/>
      </w:r>
      <w:r>
        <w:tab/>
      </w:r>
      <w:r>
        <w:tab/>
      </w:r>
      <w:r>
        <w:tab/>
      </w:r>
      <w:r>
        <w:tab/>
      </w:r>
    </w:p>
    <w:p xmlns:wp14="http://schemas.microsoft.com/office/word/2010/wordml" w:rsidR="00054398" w:rsidP="00054398" w:rsidRDefault="00054398" w14:paraId="3B8F7463" wp14:textId="77777777">
      <w:pPr>
        <w:rPr>
          <w:b/>
          <w:u w:val="single"/>
        </w:rPr>
      </w:pPr>
      <w:r>
        <w:rPr>
          <w:b/>
          <w:u w:val="single"/>
        </w:rPr>
        <w:t>They say we have too much debt. We need better credit, more credit, less spending. They offer us credit repair, credit counseling, micro- credit, personal financial planning. They promise to match credit and debt again, debt and credit. But our debts stay bad</w:t>
      </w:r>
      <w:r>
        <w:t xml:space="preserve">. We keep buying another song, another round. </w:t>
      </w:r>
      <w:r>
        <w:rPr>
          <w:b/>
          <w:u w:val="single"/>
        </w:rPr>
        <w:t>It is not credit we seek nor even debt but bad debt which is to say real debt, the debt that cannot be repaid, the debt at a distance, the debt without creditor, the black debt, the queer debt, the criminal debt.</w:t>
      </w:r>
      <w:r>
        <w:t xml:space="preserve"> </w:t>
      </w:r>
      <w:r>
        <w:rPr>
          <w:b/>
          <w:u w:val="single"/>
        </w:rPr>
        <w:t>Excessive debt, incalculable debt, debt for no reason, debt broken from credit, debt as its own principle.</w:t>
      </w:r>
      <w:r>
        <w:t xml:space="preserve"> </w:t>
      </w:r>
      <w:r>
        <w:rPr>
          <w:b/>
          <w:u w:val="single"/>
        </w:rPr>
        <w:t>Credit is a means of privatization and debt a means of socialisation. So long as they pair in the monogamous violence of the home, the pension, the government, or the university, debt can only feed credit, debt can only desire credit</w:t>
      </w:r>
      <w:r>
        <w:t xml:space="preserve">. And credit can only expand by means of debt. </w:t>
      </w:r>
      <w:r>
        <w:rPr>
          <w:b/>
          <w:u w:val="single"/>
        </w:rPr>
        <w:t>But debt is social and credit is asocial.</w:t>
      </w:r>
      <w:r>
        <w:t xml:space="preserve"> Debt is mutual. </w:t>
      </w:r>
      <w:r>
        <w:rPr>
          <w:b/>
          <w:u w:val="single"/>
        </w:rPr>
        <w:t>Credit runs only one way. But debt runs in every direction, scatters, escapes, seeks refuge</w:t>
      </w:r>
      <w:r>
        <w:t xml:space="preserve">. The debtor seeks refuge among other debtors, acquires debt from them, offers debt to them. </w:t>
      </w:r>
      <w:r>
        <w:rPr>
          <w:b/>
          <w:u w:val="single"/>
        </w:rPr>
        <w:t>The place of refuge is the place to which you can only owe more and more because there is no creditor, no payment possible. This refuge, this place of bad debt, is what we call the fugitive public.</w:t>
      </w:r>
      <w:r>
        <w:t xml:space="preserve"> Running through the public and the pri- vate, the state and the economy, </w:t>
      </w:r>
      <w:r>
        <w:rPr>
          <w:b/>
          <w:u w:val="single"/>
        </w:rPr>
        <w:t>the fugitive public cannot be known by its bad debt but only by bad debtors</w:t>
      </w:r>
      <w:r>
        <w:t xml:space="preserve">. </w:t>
      </w:r>
      <w:r>
        <w:rPr>
          <w:b/>
          <w:u w:val="single"/>
        </w:rPr>
        <w:t xml:space="preserve">To creditors it is just a place where something is wrong, though that something wrong </w:t>
      </w:r>
      <w:r>
        <w:t xml:space="preserve">– the in- valuable thing, the thing that has no value – </w:t>
      </w:r>
      <w:r>
        <w:rPr>
          <w:b/>
          <w:u w:val="single"/>
        </w:rPr>
        <w:t>is desired.</w:t>
      </w:r>
      <w:r>
        <w:t xml:space="preserve"> </w:t>
      </w:r>
      <w:r>
        <w:rPr>
          <w:b/>
          <w:u w:val="single"/>
        </w:rPr>
        <w:t xml:space="preserve">Creditors seek to demolish that place, that project, in order to save the ones who live there from themselves and their lives. </w:t>
      </w:r>
      <w:r>
        <w:t xml:space="preserve">They research it, gather information on it, try to calculate it. They want to save it. They want to break its concentration and put the frag- ments in the bank. But all of a sudden, the thing credit cannot know, the fugitive thing for which it gets no credit, is inescapable. </w:t>
      </w:r>
      <w:r>
        <w:rPr>
          <w:b/>
          <w:u w:val="single"/>
        </w:rPr>
        <w:t>Once you start to see bad debt, you start to see it everywhere, hear it everywhere, feel it everywhere. This is the real crisis for credit, its real crisis of accumulation. Now debt begins to accumulate without it.</w:t>
      </w:r>
      <w:r w:rsidRPr="00E11F0B">
        <w:rPr>
          <w:rStyle w:val="StyleUnderline"/>
        </w:rPr>
        <w:t xml:space="preserve"> That’s what makes it so bad. We saw it in a step yesterday, some hips, a smile, the way a hand moved. We heard it in a break, a cut, a lilt, the way the words leapt. We felt it in the way someone saves the best stuff just to give it to you and then its gone, given, a debt. They don’t want nothing. You have got to accept it, you have got to accept that. </w:t>
      </w:r>
      <w:r>
        <w:rPr>
          <w:b/>
          <w:u w:val="single"/>
        </w:rPr>
        <w:t xml:space="preserve">You’re in debt but you can’t give credit because they won’t hold it. </w:t>
      </w:r>
      <w:r w:rsidRPr="00E11F0B">
        <w:rPr>
          <w:rStyle w:val="StyleUnderline"/>
        </w:rPr>
        <w:t xml:space="preserve">Then the phone rings. It’s the creditors. </w:t>
      </w:r>
      <w:r>
        <w:rPr>
          <w:b/>
          <w:u w:val="single"/>
        </w:rPr>
        <w:t xml:space="preserve">Credit keeps track. Debt forgets. </w:t>
      </w:r>
      <w:r w:rsidRPr="00E11F0B">
        <w:rPr>
          <w:rStyle w:val="StyleUnderline"/>
        </w:rPr>
        <w:t xml:space="preserve">You’re not home, you’re not </w:t>
      </w:r>
      <w:r w:rsidRPr="00E11F0B">
        <w:rPr>
          <w:rStyle w:val="StyleUnderline"/>
        </w:rPr>
        <w:lastRenderedPageBreak/>
        <w:t>you, you moved without a forwarding address called refuge.</w:t>
      </w:r>
      <w:r>
        <w:t xml:space="preserve"> The student is not home, out of time, out of place, without credit, in bad debt. The student is a bad debtor threatened with credit. The student runs from credit. Credit pursues the student, offering to match credit for debt, until enough debts and enough credits have piled up. But the student has a habit, a bad habit. She studies. She studies but she does not learn. If she learned they could measure her progress, establish her attributes, give her credit. But </w:t>
      </w:r>
      <w:r>
        <w:rPr>
          <w:b/>
          <w:u w:val="single"/>
        </w:rPr>
        <w:t xml:space="preserve">the student keeps studying, keeps planning to study, keeps running to study, keeps studying a plan, keeps elaborating a debt. The student does not intend to pay. </w:t>
      </w:r>
    </w:p>
    <w:p xmlns:wp14="http://schemas.microsoft.com/office/word/2010/wordml" w:rsidR="00054398" w:rsidP="00054398" w:rsidRDefault="00054398" w14:paraId="007DCDA8" wp14:textId="77777777">
      <w:r>
        <w:tab/>
      </w:r>
      <w:r>
        <w:tab/>
      </w:r>
      <w:r>
        <w:tab/>
      </w:r>
      <w:r>
        <w:tab/>
      </w:r>
    </w:p>
    <w:p xmlns:wp14="http://schemas.microsoft.com/office/word/2010/wordml" w:rsidRPr="00E11F0B" w:rsidR="00054398" w:rsidP="00054398" w:rsidRDefault="00054398" w14:paraId="45F1AA33" wp14:textId="77777777">
      <w:pPr>
        <w:pStyle w:val="Heading3"/>
      </w:pPr>
      <w:r>
        <w:lastRenderedPageBreak/>
        <w:t>L: Critical Academic/Professionalization</w:t>
      </w:r>
    </w:p>
    <w:p xmlns:wp14="http://schemas.microsoft.com/office/word/2010/wordml" w:rsidR="00054398" w:rsidP="00054398" w:rsidRDefault="00054398" w14:paraId="5327D5C5" wp14:textId="77777777">
      <w:pPr>
        <w:pStyle w:val="Heading4"/>
      </w:pPr>
      <w:r>
        <w:t>The critical academic in the university reproduces the negligence of professionalization-- it is an assertion of bourgeois individualism that denies and refutes the criminal para-organization of the undercommons at the same time that it is parasitic upon its labor in order for the professions to exist. The aff’s critique is merely a reiteration of the negligence of professionalism, domesticating the thought of the outside.</w:t>
      </w:r>
    </w:p>
    <w:p xmlns:wp14="http://schemas.microsoft.com/office/word/2010/wordml" w:rsidR="00054398" w:rsidP="00054398" w:rsidRDefault="00054398" w14:paraId="6D19B9EA" wp14:textId="77777777">
      <w:r w:rsidRPr="001710C3">
        <w:rPr>
          <w:rStyle w:val="Style13ptBold"/>
        </w:rPr>
        <w:t>Harney and Moten 13</w:t>
      </w:r>
      <w:r>
        <w:t xml:space="preserve"> [The Undercommons: Fugitive Planning and Black Study, Minor Compositions, p 30-31 //tjb]</w:t>
      </w:r>
    </w:p>
    <w:p xmlns:wp14="http://schemas.microsoft.com/office/word/2010/wordml" w:rsidR="00054398" w:rsidP="00054398" w:rsidRDefault="00054398" w14:paraId="3FD66822" wp14:textId="77777777">
      <w:pPr>
        <w:rPr>
          <w:b/>
          <w:u w:val="single"/>
        </w:rPr>
      </w:pPr>
      <w:r w:rsidRPr="00E11F0B">
        <w:t xml:space="preserve">THERE IS NO DISTINCTION BETWEEN THE AMERICAN UNIVERSITY AND PROFESSIONALIZATION </w:t>
      </w:r>
      <w:r>
        <w:t xml:space="preserve">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 </w:t>
      </w:r>
      <w:r w:rsidRPr="00E11F0B">
        <w:rPr>
          <w:rStyle w:val="StyleUnderline"/>
        </w:rPr>
        <w:t>Surely there is some space here for a theory, a conference, a book, a school of thought? Surely the university also makes thought possible? Is not the purpose of the university as Universitas, as liberal arts, to make the commons, make the public, make the nation of democratic citizenry?</w:t>
      </w:r>
      <w:r>
        <w:t xml:space="preserve"> Is it not therefore important to protect this Universitas, whatever its impurities, from professionalization in the university? But we would ask what is already not possible in this talk in the hallways, among the buildings, in rooms of the university about possibility? </w:t>
      </w:r>
      <w:r w:rsidRPr="00E11F0B">
        <w:rPr>
          <w:rStyle w:val="StyleUnderline"/>
        </w:rPr>
        <w:t>How is the thought of the outside, as Gayatri Spivak means it, already not possible in this complaint?</w:t>
      </w:r>
      <w:r>
        <w:t xml:space="preserve"> The maroons know something about possibility. They are the condition of possibility of the production of knowledge in the university – the singularities against the writers of singularity, the writers who write, publish, travel, and speak. It is not merely a matter of the secret labor upon which such space is lifted, though of course such space is lifted from collective labor and by it. It is rather that </w:t>
      </w:r>
      <w:r>
        <w:rPr>
          <w:b/>
          <w:u w:val="single"/>
        </w:rPr>
        <w:t>to be a critical academic in the university is to be against the university, and to be against the university is always to recognize it and be recognized by it, and to institute the negligence of that internal outside, that unas- similated underground, a negligence of it that is precisely, we must insist, the basis of the professions.</w:t>
      </w:r>
      <w:r>
        <w:t xml:space="preserve"> And </w:t>
      </w:r>
      <w:r>
        <w:rPr>
          <w:b/>
          <w:u w:val="single"/>
        </w:rPr>
        <w:t>this act of being against always already excludes the unrecognized modes of politics, the beyond of politics already in motion, the discredited criminal para-organization</w:t>
      </w:r>
      <w:r>
        <w:t>, what Robin Kelley might refer to as the infrapolitical eld (and its music).</w:t>
      </w:r>
      <w:r>
        <w:rPr>
          <w:b/>
          <w:u w:val="single"/>
        </w:rPr>
        <w:t xml:space="preserve"> It is not just the labor of the maroons but their prophetic organization that is negated by the idea of intellectual space in an organization called the university.</w:t>
      </w:r>
      <w:r>
        <w:t xml:space="preserve"> This is why </w:t>
      </w:r>
      <w:r>
        <w:rPr>
          <w:b/>
          <w:u w:val="single"/>
        </w:rPr>
        <w:t xml:space="preserve">the negligence of the critical academic is always at the same time an assertion of bourgeois individualism. </w:t>
      </w:r>
      <w:r>
        <w:t xml:space="preserve">Such </w:t>
      </w:r>
      <w:r>
        <w:rPr>
          <w:b/>
          <w:u w:val="single"/>
        </w:rPr>
        <w:t>negligence is the essence of professionalization where it turns out professionalization is not the opposite of negligence but its mode of politics</w:t>
      </w:r>
      <w:r>
        <w:t xml:space="preserve"> in the United States. </w:t>
      </w:r>
      <w:r w:rsidRPr="00E11F0B">
        <w:rPr>
          <w:rStyle w:val="StyleUnderline"/>
        </w:rPr>
        <w:t>It takes the form of a choice that excludes the prophetic organization of the undercommons – to be against, to put into question the knowledge object, let us say in this case the university, not so much without touching its founda- tion, as without touching one’s own condition of possibility, with- out admitting the Undercommons and being admitted to it</w:t>
      </w:r>
      <w:r>
        <w:t xml:space="preserve">. From this, </w:t>
      </w:r>
      <w:r>
        <w:rPr>
          <w:b/>
          <w:u w:val="single"/>
        </w:rPr>
        <w:t>a general negligence of condition is the only coherent position.</w:t>
      </w:r>
      <w:r>
        <w:t xml:space="preserve"> Not so much an antifoundationalism or foundationalism, as both are used against each other to avoid contact with the undercom- mons. </w:t>
      </w:r>
      <w:r>
        <w:rPr>
          <w:b/>
          <w:u w:val="single"/>
        </w:rPr>
        <w:t>This always-negligent act is what leads us to say there is no distinction between the university in the United States and professionalization</w:t>
      </w:r>
      <w:r>
        <w:t xml:space="preserve">. There is no point in trying to hold out the university against its </w:t>
      </w:r>
      <w:r>
        <w:lastRenderedPageBreak/>
        <w:t xml:space="preserve">professionalization. They are the same. Yet </w:t>
      </w:r>
      <w:r w:rsidRPr="00E11F0B">
        <w:rPr>
          <w:rStyle w:val="StyleUnderline"/>
        </w:rPr>
        <w:t>the maroons refuse to refuse professionalization, that is, to be against the university</w:t>
      </w:r>
      <w:r>
        <w:t xml:space="preserve">. The university will not recognize this indecision, and thus </w:t>
      </w:r>
      <w:r>
        <w:rPr>
          <w:b/>
          <w:u w:val="single"/>
        </w:rPr>
        <w:t>professionalization is shaped precisely by what it cannot acknowledge, its internal antagonism, its wayward labor, its surplus</w:t>
      </w:r>
      <w:r>
        <w:t xml:space="preserve">. </w:t>
      </w:r>
      <w:r>
        <w:rPr>
          <w:b/>
          <w:u w:val="single"/>
        </w:rPr>
        <w:t xml:space="preserve">Against this wayward labor it sends the critical, sends its claim that what is left beyond the critical is waste. </w:t>
      </w:r>
      <w:r>
        <w:t xml:space="preserve">But in fact, </w:t>
      </w:r>
      <w:r>
        <w:rPr>
          <w:b/>
          <w:u w:val="single"/>
        </w:rPr>
        <w:t>critical education only attempts to perfect professional education.</w:t>
      </w:r>
      <w:r>
        <w:t xml:space="preserve"> </w:t>
      </w:r>
      <w:r>
        <w:rPr>
          <w:b/>
          <w:u w:val="single"/>
        </w:rPr>
        <w:t>The professions constitute themselves in an opposition to the unregulated and the ignorant without acknowledging the unregulated, ignorant, unprofessional labor that goes on not opposite them but within them.</w:t>
      </w:r>
      <w:r>
        <w:t xml:space="preserve"> But </w:t>
      </w:r>
      <w:r>
        <w:rPr>
          <w:b/>
          <w:u w:val="single"/>
        </w:rPr>
        <w:t>if professional education ever slips in its labor, ever reveals its condition of possibility to the professions it supports and reconstitutes, critical education is there to pick it up, and to tell it, never mind – it was just a bad dream, the ravings, the drawings of the mad.</w:t>
      </w:r>
      <w:r>
        <w:t xml:space="preserve"> Because critical education is precisely there to tell professional education to rethink its relationship to its opposite – by which criti- cal education means both itself and the unregulated, against which professional education is deployed. In other words, </w:t>
      </w:r>
      <w:r>
        <w:rPr>
          <w:b/>
          <w:u w:val="single"/>
        </w:rPr>
        <w:t>critical education arrives to support any faltering negligence</w:t>
      </w:r>
      <w:r>
        <w:t>, to be vigilant in its negli- gence,</w:t>
      </w:r>
      <w:r>
        <w:rPr>
          <w:b/>
          <w:u w:val="single"/>
        </w:rPr>
        <w:t xml:space="preserve"> to be critically engaged in its negligence. It is more than an ally of professional education, it is its attempted completion. </w:t>
      </w:r>
      <w:r>
        <w:t xml:space="preserve">A professional education has become a critical education. But one should not applaud this fact. </w:t>
      </w:r>
      <w:r>
        <w:rPr>
          <w:b/>
          <w:u w:val="single"/>
        </w:rPr>
        <w:t>It should be taken for what it is</w:t>
      </w:r>
      <w:r>
        <w:t xml:space="preserve">, not pro- gress in the professional schools, not cohabitation with the Univer- sitas, but </w:t>
      </w:r>
      <w:r>
        <w:rPr>
          <w:b/>
          <w:u w:val="single"/>
        </w:rPr>
        <w:t>counterinsurgency</w:t>
      </w:r>
      <w:r>
        <w:t>,</w:t>
      </w:r>
      <w:r>
        <w:rPr>
          <w:b/>
          <w:u w:val="single"/>
        </w:rPr>
        <w:t xml:space="preserve"> the refounding terrorism of law, coming for the discredited, coming for those who refuse to write off or write up the undercommons. </w:t>
      </w:r>
    </w:p>
    <w:p xmlns:wp14="http://schemas.microsoft.com/office/word/2010/wordml" w:rsidR="00054398" w:rsidP="00054398" w:rsidRDefault="00054398" w14:paraId="450EA2D7" wp14:textId="77777777">
      <w:pPr>
        <w:rPr>
          <w:rFonts w:ascii="Calibri" w:hAnsi="Calibri" w:eastAsia="Calibri" w:cs="Calibri"/>
          <w:b/>
          <w:sz w:val="26"/>
          <w:szCs w:val="26"/>
        </w:rPr>
      </w:pPr>
    </w:p>
    <w:p xmlns:wp14="http://schemas.microsoft.com/office/word/2010/wordml" w:rsidR="00054398" w:rsidP="00054398" w:rsidRDefault="00054398" w14:paraId="5354644F" wp14:textId="77777777">
      <w:pPr>
        <w:pStyle w:val="Heading4"/>
        <w:rPr>
          <w:rFonts w:eastAsia="Calibri"/>
        </w:rPr>
      </w:pPr>
      <w:r>
        <w:rPr>
          <w:rFonts w:eastAsia="Calibri"/>
        </w:rPr>
        <w:t xml:space="preserve">Critical academics produce the effect of the state-as-enclosure whose militant affirmation makes the university and all its violences inevitable. </w:t>
      </w:r>
    </w:p>
    <w:p xmlns:wp14="http://schemas.microsoft.com/office/word/2010/wordml" w:rsidR="00054398" w:rsidP="00054398" w:rsidRDefault="00054398" w14:paraId="4105810A" wp14:textId="77777777">
      <w:r w:rsidRPr="001710C3">
        <w:rPr>
          <w:rStyle w:val="Style13ptBold"/>
        </w:rPr>
        <w:t>Harney and Moten 13</w:t>
      </w:r>
      <w:r>
        <w:t xml:space="preserve"> [The Undercommons: Fugitive Planning and Black Study, Minor Compositions, p 30-31 //tjb]</w:t>
      </w:r>
    </w:p>
    <w:p xmlns:wp14="http://schemas.microsoft.com/office/word/2010/wordml" w:rsidR="00054398" w:rsidP="00054398" w:rsidRDefault="00054398" w14:paraId="3DD355C9" wp14:textId="77777777">
      <w:r>
        <w:tab/>
      </w:r>
      <w:r>
        <w:tab/>
      </w:r>
    </w:p>
    <w:p xmlns:wp14="http://schemas.microsoft.com/office/word/2010/wordml" w:rsidR="00054398" w:rsidP="00054398" w:rsidRDefault="00054398" w14:paraId="03764251" wp14:textId="77777777">
      <w:r>
        <w:rPr>
          <w:b/>
          <w:u w:val="single"/>
        </w:rPr>
        <w:t>The Universitas is always a state/State strategy</w:t>
      </w:r>
      <w:r>
        <w:t xml:space="preserve">. Perhaps it’s surpris- ing to say professionalization – that which reproduces the professions – is a state strategy. Certainly, </w:t>
      </w:r>
      <w:r>
        <w:rPr>
          <w:b/>
          <w:u w:val="single"/>
        </w:rPr>
        <w:t>critical academic professionals tend to be regarded today as harmless intellectuals, malleable, perhaps capable of some modest intervention in the so-called public sphere</w:t>
      </w:r>
      <w:r>
        <w:t xml:space="preserve">. But to see how this underestimates the presence of the state we can turn to a bad reading of Derrida’s consideration of Hegel’s 1822 report to the Prussian Minister of Education. Derrida notices the way that He- gel rivals the state in his ambition for education, wanting to put into place a progressive pedagogy of philosophy designed to support He- gel’s worldview, to unfold as encyclopedic. is ambition both mirrors the state’s ambition, because it, too, wants to control education and to impose a worldview, and threatens it, because Hegel’s State exceeds and thus localises the Prussian state, exposing its pretense to the en- cyclopedic. Derrida draws the following lesson from his reading: the Universitas, as he generalizes </w:t>
      </w:r>
      <w:r>
        <w:rPr>
          <w:b/>
          <w:u w:val="single"/>
        </w:rPr>
        <w:t xml:space="preserve">the university </w:t>
      </w:r>
      <w:r>
        <w:t xml:space="preserve">(but speci es it, too, as properly intellectual and not professional), </w:t>
      </w:r>
      <w:r>
        <w:rPr>
          <w:b/>
          <w:u w:val="single"/>
        </w:rPr>
        <w:t xml:space="preserve">always has the impulse of State, or enlightenment, and the impulse of state, or its specific conditions of production and reproduction. </w:t>
      </w:r>
      <w:r>
        <w:t xml:space="preserve">Both have the ambition to be, as Derrida says, onto- and auto-encyclopedic. It follows that to be either for the Universitas or against it presents problems. </w:t>
      </w:r>
      <w:r w:rsidRPr="00E11F0B">
        <w:rPr>
          <w:rStyle w:val="StyleUnderline"/>
        </w:rPr>
        <w:t xml:space="preserve">To be for the Universitas is to support this onto- and auto-encyclopedic project of the State as </w:t>
      </w:r>
      <w:r w:rsidRPr="00E11F0B">
        <w:rPr>
          <w:rStyle w:val="StyleUnderline"/>
        </w:rPr>
        <w:lastRenderedPageBreak/>
        <w:t>enlightenment</w:t>
      </w:r>
      <w:r>
        <w:t xml:space="preserve">, or enlightenment as totality, to use an old-fashioned word. </w:t>
      </w:r>
      <w:r w:rsidRPr="00E11F0B">
        <w:rPr>
          <w:rStyle w:val="StyleUnderline"/>
        </w:rPr>
        <w:t>To be too much against the Universitas</w:t>
      </w:r>
      <w:r>
        <w:t xml:space="preserve">, however, </w:t>
      </w:r>
      <w:r w:rsidRPr="00E11F0B">
        <w:rPr>
          <w:rStyle w:val="StyleUnderline"/>
        </w:rPr>
        <w:t>creates the danger of speci c elements in the state taking steps to rid itself of the contradiction of the onto- and auto-encyclopedic project of the Universitas and replacing it with some other form of social reproduction, the anti-enlightenment</w:t>
      </w:r>
      <w:r>
        <w:t xml:space="preserve"> – the position, for instance, of New Labour in Britain and of the states of New York and California with their “teaching institutions.” But a bad reading of Derrida will also yield our question again: what is lost in this undecidability? What is the price of refusing to be either for the Uni- versitas or for professionalization, to be critical of both, and who pays that price? Who makes it possible to reach the aporia of this reading? Who works in the premature excess of totality, in the not not-ready of negligence? </w:t>
      </w:r>
      <w:r>
        <w:rPr>
          <w:b/>
          <w:u w:val="single"/>
        </w:rPr>
        <w:t>The mode of professionalization that is the American university is precisely dedicated to promoting this consensual choice: an antifoundational critique of the University or a foundational critique of the university</w:t>
      </w:r>
      <w:r>
        <w:t xml:space="preserve">. Taken as choices, or hedged as bets, one tempered with the other, they are nonetheless always negligent. </w:t>
      </w:r>
      <w:r w:rsidRPr="00E11F0B">
        <w:rPr>
          <w:rStyle w:val="StyleUnderline"/>
        </w:rPr>
        <w:t>Professionalization is built on this choice. It rolls out into ethics and efficiency, respon- sibility and science, and numerous other choices, all built upon the theft, the conquest, the negligence of the outcast mass intellectuality of the undercommons</w:t>
      </w:r>
      <w:r>
        <w:t xml:space="preserve">. </w:t>
      </w:r>
      <w:r>
        <w:rPr>
          <w:b/>
          <w:u w:val="single"/>
        </w:rPr>
        <w:t>It is therefore unwise to think of professionalization as a narrowing and better to think of it as a circling, an encircling of war wagons around the last camp of indigenous women and children.</w:t>
      </w:r>
      <w:r>
        <w:t xml:space="preserve"> </w:t>
      </w:r>
      <w:r w:rsidRPr="00E11F0B">
        <w:rPr>
          <w:rStyle w:val="StyleUnderline"/>
        </w:rPr>
        <w:t>Think about the way the American doctor or lawyer regard themselves as educat- ed, enclosed in the circle of the state’s encyclopedia, though they may know nothing of philosophy or history</w:t>
      </w:r>
      <w:r>
        <w:t xml:space="preserve">. What would be outside this act of the conquest circle, what kind of ghostly labored world escapes in the circling act, an act like a kind of broken phenomenology where the brackets never come back off and </w:t>
      </w:r>
      <w:r>
        <w:rPr>
          <w:b/>
          <w:u w:val="single"/>
        </w:rPr>
        <w:t>what is experienced as knowledge is the absolute horizon of knowledge whose name is banned by the banishment of the absolute</w:t>
      </w:r>
      <w:r>
        <w:t xml:space="preserve">. </w:t>
      </w:r>
      <w:r>
        <w:rPr>
          <w:b/>
          <w:u w:val="single"/>
        </w:rPr>
        <w:t>It is simply a horizon that does not bother to make itself possible.</w:t>
      </w:r>
      <w:r>
        <w:t xml:space="preserve"> No wonder that whatever their origins or possibilities, i</w:t>
      </w:r>
      <w:r w:rsidRPr="00E11F0B">
        <w:rPr>
          <w:rStyle w:val="StyleUnderline"/>
        </w:rPr>
        <w:t>t is theories of pragmatism in the United States and critical realism in Britain that command the loyalty of critical intel- lectuals.</w:t>
      </w:r>
      <w:r>
        <w:t xml:space="preserve"> Never having to confront the foundation, never having to confront antifoundation out of faith in the unconfrontable founda- tion, critical intellectuals can float in the middle range. These loyalties banish dialectics with its inconvenient interest in pushing the mate- rial and abstract, the table and its brain, as far as it can, unprofessional behavior at its most obvious. </w:t>
      </w:r>
    </w:p>
    <w:p xmlns:wp14="http://schemas.microsoft.com/office/word/2010/wordml" w:rsidRPr="00E11F0B" w:rsidR="00054398" w:rsidP="00054398" w:rsidRDefault="00054398" w14:paraId="1A81F0B1" wp14:textId="77777777"/>
    <w:p xmlns:wp14="http://schemas.microsoft.com/office/word/2010/wordml" w:rsidR="00054398" w:rsidP="00054398" w:rsidRDefault="00054398" w14:paraId="69F58EEB" wp14:textId="77777777">
      <w:pPr>
        <w:pStyle w:val="Heading4"/>
      </w:pPr>
      <w:r>
        <w:t>Professionalism seeks to insurgents into state agents-- the aff’s preoccupation with critical thinking on the surface of the university is itself the link. Critique domesticates any radical potential the aff’s politics might have had. Like public administration scholars, the aff takes their governance of the social seriously, their politics demands that we all believe in their own competence and expertise, and as such, they engage in the unethical work of capturing insurgent sociality into the public or the private. This turns the aff.</w:t>
      </w:r>
    </w:p>
    <w:p xmlns:wp14="http://schemas.microsoft.com/office/word/2010/wordml" w:rsidR="00054398" w:rsidP="00054398" w:rsidRDefault="00054398" w14:paraId="359F7C56" wp14:textId="77777777">
      <w:r w:rsidRPr="001710C3">
        <w:rPr>
          <w:rStyle w:val="Style13ptBold"/>
        </w:rPr>
        <w:t>Harney and Moten 13</w:t>
      </w:r>
      <w:r>
        <w:t xml:space="preserve"> [The Undercommons: Fugitive Planning and Black Study, Minor Compositions, p 34-38 //tjb]</w:t>
      </w:r>
    </w:p>
    <w:p xmlns:wp14="http://schemas.microsoft.com/office/word/2010/wordml" w:rsidR="00054398" w:rsidP="00054398" w:rsidRDefault="00054398" w14:paraId="717AAFBA" wp14:textId="77777777">
      <w:r>
        <w:tab/>
      </w:r>
      <w:r>
        <w:tab/>
      </w:r>
      <w:r>
        <w:tab/>
      </w:r>
      <w:r>
        <w:tab/>
      </w:r>
      <w:r>
        <w:tab/>
      </w:r>
    </w:p>
    <w:p xmlns:wp14="http://schemas.microsoft.com/office/word/2010/wordml" w:rsidR="00054398" w:rsidP="00054398" w:rsidRDefault="00054398" w14:paraId="04F05144" wp14:textId="77777777">
      <w:pPr>
        <w:rPr>
          <w:b/>
          <w:u w:val="single"/>
        </w:rPr>
      </w:pPr>
      <w:r>
        <w:rPr>
          <w:sz w:val="20"/>
          <w:szCs w:val="20"/>
          <w:u w:val="single"/>
        </w:rPr>
        <w:lastRenderedPageBreak/>
        <w:t>PROFESSIONALIZATION IS THE PRIVATIZATION OF THE SOCIAL INDIVIDUAL THROUGH NEGLIGENCE</w:t>
      </w:r>
      <w:r>
        <w:rPr>
          <w:sz w:val="20"/>
          <w:szCs w:val="20"/>
        </w:rPr>
        <w:t xml:space="preserve"> </w:t>
      </w:r>
      <w:r>
        <w:t xml:space="preserve">Surely professionalization brings with it the benefits of competence. It may be the onto- and auto-encyclopedic circle of the university particular to the American state, but is it not possible to recuperate something from this knowledge for practical advances? Or, indeed, </w:t>
      </w:r>
      <w:r>
        <w:rPr>
          <w:b/>
          <w:u w:val="single"/>
        </w:rPr>
        <w:t>is it not possible to embark on critical projects within its terrain, pro- jects that would turn its competencies to more radical ends?</w:t>
      </w:r>
      <w:r>
        <w:t xml:space="preserve"> </w:t>
      </w:r>
      <w:r>
        <w:rPr>
          <w:b/>
          <w:u w:val="single"/>
        </w:rPr>
        <w:t>No, we would say, it is not.</w:t>
      </w:r>
      <w:r>
        <w:t xml:space="preserve"> And saying so </w:t>
      </w:r>
      <w:r>
        <w:rPr>
          <w:b/>
          <w:u w:val="single"/>
        </w:rPr>
        <w:t xml:space="preserve">we prepare to part company with American critical academics, to become unreliable, to be disloyal to the public sphere, to be obstructive and shiftless, dumb with insolence in the face of the call to critical thinking. </w:t>
      </w:r>
      <w:r>
        <w:t xml:space="preserve">Let us, as an example, act disloyally to the field of public adminis- tration and especially in masters of public administration programs, including related programs in public health, environmental manage- ment, nonprofit and arts management, and the large menu of human services courses, certificates, diplomas, and degrees that underpin this disciplinary cluster. It is difficult not to sense that these programs ex- ist against themselves, that they despise themselves. (Although later one can see that </w:t>
      </w:r>
      <w:r w:rsidRPr="00E11F0B">
        <w:rPr>
          <w:rStyle w:val="StyleUnderline"/>
        </w:rPr>
        <w:t>as with all professionalization, it is the underlying negligence that unsettles the surface of labor power</w:t>
      </w:r>
      <w:r>
        <w:t xml:space="preserve">.) </w:t>
      </w:r>
      <w:r>
        <w:rPr>
          <w:b/>
          <w:u w:val="single"/>
        </w:rPr>
        <w:t>The average lecture</w:t>
      </w:r>
      <w:r>
        <w:t xml:space="preserve">, in the Robert F. Wagner Graduate School of Public Service at NYU for instance, </w:t>
      </w:r>
      <w:r>
        <w:rPr>
          <w:b/>
          <w:u w:val="single"/>
        </w:rPr>
        <w:t>may be more antistatist, more skeptical of government, more modest in its social policy goals than the average lecture in the avowedly neoclassical economics or new right political science departments at that same university.</w:t>
      </w:r>
      <w:r>
        <w:t xml:space="preserve"> It would not be much diffierent at Syracuse University, or a dozen other prominent public adminis- tration schools. One might say that skepticism is an important part of higher education, but this particular skepticism is not founded on close study of the object in question. In fact, </w:t>
      </w:r>
      <w:r>
        <w:rPr>
          <w:b/>
          <w:u w:val="single"/>
        </w:rPr>
        <w:t>there is no state theory in public administration programs</w:t>
      </w:r>
      <w:r>
        <w:t xml:space="preserve"> in the United States. Instead, </w:t>
      </w:r>
      <w:r>
        <w:rPr>
          <w:b/>
          <w:u w:val="single"/>
        </w:rPr>
        <w:t>the state is regarded as the proverbial devil we know</w:t>
      </w:r>
      <w:r>
        <w:t xml:space="preserve">. And </w:t>
      </w:r>
      <w:r>
        <w:rPr>
          <w:b/>
          <w:u w:val="single"/>
        </w:rPr>
        <w:t>whether it is understood in public administration as a necessary evil, or as a good that is nonetheless of limited usefulness and availability, it is al- ways entirely knowable as an object</w:t>
      </w:r>
      <w:r>
        <w:t xml:space="preserve">. </w:t>
      </w:r>
      <w:r>
        <w:rPr>
          <w:b/>
          <w:u w:val="single"/>
        </w:rPr>
        <w:t>Therefore it is not so much that these programs are set against themselves. It is rather that they are set against some students, and particularly those who come to public administration with a sense of what Derrida has called a duty beyond duty, or a passion. To be skeptical of what one already knows is of course an absurd po- sition. If one is skeptical of an object then one is already in the posi- tion of not knowing that object, and if one claims to know the object, one cannot also claim to be skeptical of that object, which amounts to being skeptical of one’s own claim. But this is the position of profes- sionalization, and it is this position that confronts that student, how- ever rare, who comes to public administration with a passion.</w:t>
      </w:r>
      <w:r>
        <w:t xml:space="preserve"> </w:t>
      </w:r>
      <w:r>
        <w:rPr>
          <w:b/>
          <w:u w:val="single"/>
        </w:rPr>
        <w:t>Any attempt at passion</w:t>
      </w:r>
      <w:r>
        <w:t xml:space="preserve">, at stepping out of this skepticism of the known into an inadequate confrontation with what exceeds it and oneself, </w:t>
      </w:r>
      <w:r>
        <w:rPr>
          <w:b/>
          <w:u w:val="single"/>
        </w:rPr>
        <w:t>must be suppressed by this professionalization.This is not merely a matter of administering the world, but of administering away the world (and with it prophecy).</w:t>
      </w:r>
      <w:r>
        <w:t xml:space="preserve"> </w:t>
      </w:r>
      <w:r>
        <w:rPr>
          <w:b/>
          <w:u w:val="single"/>
        </w:rPr>
        <w:t>Any other disposition is not only unprofessional but incompetent, unethical, and irresponsible, bordering on the criminal.</w:t>
      </w:r>
      <w:r>
        <w:t xml:space="preserve"> Again the discipline of public administration is par- ticularly, though not uniquely, instructive, both in its pedagogy and in its scholarship, and offers the chance to be disloyal, to smash and grab what it locks up. </w:t>
      </w:r>
      <w:r>
        <w:rPr>
          <w:b/>
          <w:u w:val="single"/>
        </w:rPr>
        <w:t>Public administration holds to the idea both in the lecture hall and the professional journal that its categories are knowable. The state, the economy, and civil society may change size or shape, labor may enter or exit, and ethical consideration may vary, but these objects are both positivistic and normative, standing in discrete, spatial arrangement each to the other.</w:t>
      </w:r>
      <w:r>
        <w:t xml:space="preserve"> </w:t>
      </w:r>
      <w:r>
        <w:rPr>
          <w:b/>
          <w:u w:val="single"/>
        </w:rPr>
        <w:t xml:space="preserve">Professionalization begins by accepting these cat- egories precisely so competence can be invoked, a competence that at the same time </w:t>
      </w:r>
      <w:r>
        <w:rPr>
          <w:b/>
          <w:u w:val="single"/>
        </w:rPr>
        <w:lastRenderedPageBreak/>
        <w:t xml:space="preserve">guards its own foundation </w:t>
      </w:r>
      <w:r>
        <w:t xml:space="preserve">(like Michael Dukakis riding around in a tank phantasmatically patrolling his empty neigh- borhood). </w:t>
      </w:r>
      <w:r w:rsidRPr="00E11F0B">
        <w:rPr>
          <w:rStyle w:val="StyleUnderline"/>
        </w:rPr>
        <w:t>This responsibility for the preservation of objects</w:t>
      </w:r>
      <w:r>
        <w:t xml:space="preserve"> becomes precisely that Weberian site-specific ethics that </w:t>
      </w:r>
      <w:r w:rsidRPr="00E11F0B">
        <w:rPr>
          <w:rStyle w:val="StyleUnderline"/>
        </w:rPr>
        <w:t>has the effect,</w:t>
      </w:r>
      <w:r>
        <w:t xml:space="preserve"> as The- odor Adorno recognized, </w:t>
      </w:r>
      <w:r w:rsidRPr="00E11F0B">
        <w:rPr>
          <w:rStyle w:val="StyleUnderline"/>
        </w:rPr>
        <w:t>of naturalizing the production of capitalist sites</w:t>
      </w:r>
      <w:r>
        <w:t xml:space="preserve">. </w:t>
      </w:r>
      <w:r>
        <w:rPr>
          <w:b/>
          <w:u w:val="single"/>
        </w:rPr>
        <w:t xml:space="preserve">To question them thus becomes not only incompetent and unethical but the enactment of a security breach. </w:t>
      </w:r>
      <w:r>
        <w:t xml:space="preserve">For instance, if one wanted to explore the possibility that public administration might best be de ned as the labor of the relentless privatization of capitalist society, one could gain a number of unpro- fessional insights. It would help explain the inadequacy of the three major strains in public administration scholarship in the United States. The public ethos strain represented by projects like refound- ing public administration, and the journal </w:t>
      </w:r>
      <w:r>
        <w:rPr>
          <w:i/>
        </w:rPr>
        <w:t>Administration and Society</w:t>
      </w:r>
      <w:r>
        <w:t xml:space="preserve">; the public competence strain represented in the debate between pub- lic administration and the new public management, and the journal Public Administration Review; and the critical strain represented by PAT-Net, the Public Administration eory Network, and its jour- nal </w:t>
      </w:r>
      <w:r>
        <w:rPr>
          <w:i/>
        </w:rPr>
        <w:t xml:space="preserve">Administrative eory &amp; Praxis. </w:t>
      </w:r>
      <w:r>
        <w:t xml:space="preserve">If </w:t>
      </w:r>
      <w:r>
        <w:rPr>
          <w:b/>
          <w:u w:val="single"/>
        </w:rPr>
        <w:t>public administration is the competence to confront the socialisation thrown up continuously by capitalism and to take as much of that socialisation as possible and reduce it either to something called the public or something called the private</w:t>
      </w:r>
      <w:r>
        <w:t xml:space="preserve">, then immediately all three scholarly positions become invalid. </w:t>
      </w:r>
      <w:r>
        <w:rPr>
          <w:b/>
          <w:u w:val="single"/>
        </w:rPr>
        <w:t>It is not possible to speak of a labor that is dedicated to the reproduction of social dispossession as having an ethical dimension</w:t>
      </w:r>
      <w:r>
        <w:t xml:space="preserve">. </w:t>
      </w:r>
      <w:r>
        <w:rPr>
          <w:b/>
          <w:u w:val="single"/>
        </w:rPr>
        <w:t>It is not possible to decide the efficiency or scope of such labor after the fact of its expenditure in this operation by looking at it once it has reproduced something called the public or something called the private</w:t>
      </w:r>
      <w:r>
        <w:t>.</w:t>
      </w:r>
      <w:r>
        <w:rPr>
          <w:b/>
          <w:u w:val="single"/>
        </w:rPr>
        <w:t xml:space="preserve"> And it is not possible to be critical and at the same time to accept uncritically the foundation of public administrationist thought in these spheres of the public and private, and to deny the labor that goes on behind the backs of these categories, in the undercommons, of, for instance, the republic of women who run Brooklyn. </w:t>
      </w:r>
      <w:r>
        <w:t xml:space="preserve">But </w:t>
      </w:r>
      <w:r w:rsidRPr="00E11F0B">
        <w:rPr>
          <w:rStyle w:val="StyleUnderline"/>
        </w:rPr>
        <w:t>this is an unprofessional example. It does preserve the rules and respect the terms of the debate, enter the speech community, by knowing and dwelling in its (unapproachable) foundational objects. It is also an incompetent example. It does not allow itself to be meas- ured, applied, and improved, except to be found wanting. And it is an unethical example</w:t>
      </w:r>
      <w:r>
        <w:t xml:space="preserve">. Suggesting the utter dominance of one category over another – is this not fascism or communism? Finally, </w:t>
      </w:r>
      <w:r w:rsidRPr="00E11F0B">
        <w:rPr>
          <w:rStyle w:val="StyleUnderline"/>
        </w:rPr>
        <w:t>it is a pas- sionate example full of prophecy not proof, a bad example of a weak argument making no attempt to defend itself, given over to some kind of sacrifice of the professional community emanating from the undercommons.</w:t>
      </w:r>
      <w:r>
        <w:t xml:space="preserve"> </w:t>
      </w:r>
      <w:r w:rsidRPr="00E11F0B">
        <w:rPr>
          <w:rStyle w:val="StyleUnderline"/>
        </w:rPr>
        <w:t xml:space="preserve">Such is the negligent opinion of professional public administration scholars. </w:t>
      </w:r>
      <w:r>
        <w:t xml:space="preserve">What, further, is the connection then between this professionaliza- tion as the onto- and auto-encyclopedia of the American state and the spread of professionalization beyond the university or perhaps the spread of the university beyond the university, and with the colonies of the undercommons? A certain riot into which professionalization stumbles – </w:t>
      </w:r>
      <w:r>
        <w:rPr>
          <w:b/>
          <w:u w:val="single"/>
        </w:rPr>
        <w:t>when the care of the social is confronted with its reaction, enforced negligence – a riot erupts and the professional looks absurd</w:t>
      </w:r>
      <w:r>
        <w:t xml:space="preserve">, like a recruiting booth at a carnival, professional services, personal professional services, turning pro to pay for university. </w:t>
      </w:r>
      <w:r>
        <w:rPr>
          <w:b/>
          <w:u w:val="single"/>
        </w:rPr>
        <w:t xml:space="preserve">It is at this riotous moment that professionalization shows its desperate business, nothing less than to convert the social individual. Except perhaps, something more, the ultimate goal of counterinsurgency everywhere: to turn the insurgents into state agents. </w:t>
      </w:r>
    </w:p>
    <w:p xmlns:wp14="http://schemas.microsoft.com/office/word/2010/wordml" w:rsidRPr="00E11F0B" w:rsidR="00054398" w:rsidP="00054398" w:rsidRDefault="00054398" w14:paraId="56EE48EE" wp14:textId="77777777"/>
    <w:p xmlns:wp14="http://schemas.microsoft.com/office/word/2010/wordml" w:rsidR="00054398" w:rsidP="00054398" w:rsidRDefault="00054398" w14:paraId="2FEA29F1" wp14:textId="77777777">
      <w:pPr>
        <w:pStyle w:val="Heading4"/>
        <w:rPr>
          <w:rFonts w:eastAsia="Calibri"/>
        </w:rPr>
      </w:pPr>
      <w:r>
        <w:rPr>
          <w:rFonts w:eastAsia="Calibri"/>
        </w:rPr>
        <w:lastRenderedPageBreak/>
        <w:t>Critique endangers the sociality it is supposed to defend-- it convinces those of us who inhabit insurgent socialities that we are scarce, but the truth is that we got politics surrounded.</w:t>
      </w:r>
    </w:p>
    <w:p xmlns:wp14="http://schemas.microsoft.com/office/word/2010/wordml" w:rsidR="00054398" w:rsidP="00054398" w:rsidRDefault="00054398" w14:paraId="542C63C9" wp14:textId="77777777">
      <w:pPr>
        <w:rPr>
          <w:rFonts w:ascii="Calibri" w:hAnsi="Calibri" w:eastAsia="Calibri" w:cs="Calibri"/>
        </w:rPr>
      </w:pPr>
      <w:r w:rsidRPr="001710C3">
        <w:rPr>
          <w:rStyle w:val="Style13ptBold"/>
        </w:rPr>
        <w:t>Moten and Harney 13</w:t>
      </w:r>
      <w:r>
        <w:rPr>
          <w:rFonts w:ascii="Calibri" w:hAnsi="Calibri" w:eastAsia="Calibri" w:cs="Calibri"/>
        </w:rPr>
        <w:t>, (Fred Moten is a poet and scholar at NYU’s Performance Studies whose work explores critical theory, black studies, and performance studies. Stefano Harney is Professor of Strategic Management Education at Singapore Management University. He is the author of State Work: Public Administration and Mass Intellectuality (2002) and The Ends of Management (forthcoming). In this series of essays, Fred Moten and Stefano Harney draw on the theory and practice of the black radical tradition as it supports, inspires, and extends contemporary social and political thought and aesthetic critique “Politics Surrounded.” The Undercommons: Fugitive Planning &amp; Black Study, by Stefano Harney and Fred Moten, Minor Compositions, 2013, pp. 17–20. // #CS)</w:t>
      </w:r>
    </w:p>
    <w:p xmlns:wp14="http://schemas.microsoft.com/office/word/2010/wordml" w:rsidR="00054398" w:rsidP="00054398" w:rsidRDefault="00054398" w14:paraId="4EF6F1F2" wp14:textId="77777777">
      <w:pPr>
        <w:rPr>
          <w:rFonts w:ascii="Calibri" w:hAnsi="Calibri" w:eastAsia="Calibri" w:cs="Calibri"/>
          <w:u w:val="single"/>
        </w:rPr>
      </w:pPr>
      <w:r>
        <w:rPr>
          <w:rFonts w:ascii="Calibri" w:hAnsi="Calibri" w:eastAsia="Calibri" w:cs="Calibri"/>
          <w:highlight w:val="cyan"/>
          <w:u w:val="single"/>
        </w:rPr>
        <w:t>The settler, having settled for politics, arms himself in the name of civilisation while critique initiates the self-defense of those of us who see hostility in the civil union of settlement and enclosur</w:t>
      </w:r>
      <w:r>
        <w:rPr>
          <w:rFonts w:ascii="Calibri" w:hAnsi="Calibri" w:eastAsia="Calibri" w:cs="Calibri"/>
          <w:u w:val="single"/>
        </w:rPr>
        <w:t>e</w:t>
      </w:r>
      <w:r>
        <w:rPr>
          <w:rFonts w:ascii="Calibri" w:hAnsi="Calibri" w:eastAsia="Calibri" w:cs="Calibri"/>
        </w:rPr>
        <w:t xml:space="preserve">. We say, rightly, if our critical eyes are sharp enough, that it’s evil and uncool to have a place in the sun in the dirty thinness of this atmosphere; that house the sheriff was building is in the heart of a fallout zone. </w:t>
      </w:r>
      <w:r>
        <w:rPr>
          <w:rFonts w:ascii="Calibri" w:hAnsi="Calibri" w:eastAsia="Calibri" w:cs="Calibri"/>
          <w:highlight w:val="cyan"/>
          <w:u w:val="single"/>
        </w:rPr>
        <w:t>And if our eyes carry sharpness farther out we trail the police so we can put them on trial. Having looked for politics in order to avoid it, we move next to each other, so we can be beside ourselves, because we like the nightlife which ain’t no good life</w:t>
      </w:r>
      <w:r>
        <w:rPr>
          <w:rFonts w:ascii="Calibri" w:hAnsi="Calibri" w:eastAsia="Calibri" w:cs="Calibri"/>
          <w:u w:val="single"/>
        </w:rPr>
        <w:t>.</w:t>
      </w:r>
      <w:r>
        <w:rPr>
          <w:rFonts w:ascii="Calibri" w:hAnsi="Calibri" w:eastAsia="Calibri" w:cs="Calibri"/>
        </w:rPr>
        <w:t xml:space="preserve"> Critique lets us know that politics is radioactive, but politics is the radiation of critique. </w:t>
      </w:r>
      <w:r>
        <w:rPr>
          <w:rFonts w:ascii="Calibri" w:hAnsi="Calibri" w:eastAsia="Calibri" w:cs="Calibri"/>
          <w:u w:val="single"/>
        </w:rPr>
        <w:t>So it matters how long we have to do it, how long we have to be exposed to the lethal effects of its anti-social energy</w:t>
      </w:r>
      <w:r>
        <w:rPr>
          <w:rFonts w:ascii="Calibri" w:hAnsi="Calibri" w:eastAsia="Calibri" w:cs="Calibri"/>
        </w:rPr>
        <w:t xml:space="preserve">. </w:t>
      </w:r>
      <w:r>
        <w:rPr>
          <w:rFonts w:ascii="Calibri" w:hAnsi="Calibri" w:eastAsia="Calibri" w:cs="Calibri"/>
          <w:highlight w:val="cyan"/>
          <w:u w:val="single"/>
        </w:rPr>
        <w:t>Critique endangers the sociality it is supposed to defend, not because it might turn inward to damage politics but because it would turn to politics and then turn outward, from the fort to the surround, were it not for preservation, which is given in celebration of what we defend</w:t>
      </w:r>
      <w:r>
        <w:rPr>
          <w:rFonts w:ascii="Calibri" w:hAnsi="Calibri" w:eastAsia="Calibri" w:cs="Calibri"/>
        </w:rPr>
        <w:t xml:space="preserve">, the sociopoetic force we wrap tightly round us, since we are poor. </w:t>
      </w:r>
      <w:r>
        <w:rPr>
          <w:rFonts w:ascii="Calibri" w:hAnsi="Calibri" w:eastAsia="Calibri" w:cs="Calibri"/>
          <w:highlight w:val="cyan"/>
          <w:u w:val="single"/>
        </w:rPr>
        <w:t>Taking down our critique, our own positions, our fortifications, is self-defense alloyed with self-preservation. That takedown comes in movement, as a shawl, the armor of flight. We run looking for a weapon and keep running looking to drop it</w:t>
      </w:r>
      <w:r>
        <w:rPr>
          <w:rFonts w:ascii="Calibri" w:hAnsi="Calibri" w:eastAsia="Calibri" w:cs="Calibri"/>
        </w:rPr>
        <w:t xml:space="preserve">. And we can drop it, because however armed, however hard, the enemy we face is also illusory. Uncut devotion to the critique of this illusion makes us delusional. </w:t>
      </w:r>
      <w:r>
        <w:rPr>
          <w:rFonts w:ascii="Calibri" w:hAnsi="Calibri" w:eastAsia="Calibri" w:cs="Calibri"/>
          <w:highlight w:val="cyan"/>
          <w:u w:val="single"/>
        </w:rPr>
        <w:t>In the trick of politics we are insufficient, scarce, waiting in pockets of resistance, in stairwells, in alleys, in vain. The false image and its critique threaten the common with democracy, which is only ever to come, so that one day, which is only never to come, we will be more than what we are. But we already are.</w:t>
      </w:r>
      <w:r>
        <w:rPr>
          <w:rFonts w:ascii="Calibri" w:hAnsi="Calibri" w:eastAsia="Calibri" w:cs="Calibri"/>
        </w:rPr>
        <w:t xml:space="preserve"> We’re already here, moving. We’ve been around. We’re more than politics, more than settled, more than democratic. We surround democracy’s false image in order to unsettle it. Every time it tries to enclose us in a decision, we’re undecided. Every time it tries to represent our will, we’re unwilling. Every time it tries to take root, we’re gone (because we’re already here, moving</w:t>
      </w:r>
      <w:r>
        <w:rPr>
          <w:rFonts w:ascii="Calibri" w:hAnsi="Calibri" w:eastAsia="Calibri" w:cs="Calibri"/>
          <w:u w:val="single"/>
        </w:rPr>
        <w:t>). We ask and we tell and we cast the spell that we are under, which tells us what to do and how we shall be moved, here, where we dance the war of apposition</w:t>
      </w:r>
      <w:r>
        <w:rPr>
          <w:rFonts w:ascii="Calibri" w:hAnsi="Calibri" w:eastAsia="Calibri" w:cs="Calibri"/>
        </w:rPr>
        <w:t xml:space="preserve">. We’re in a trance that’s under and around us. We move through it and it moves with us, out beyond the settlements, out beyond the redevelopment, where black night is falling, where we hate to be alone, back inside to sleep till morning, drink till morning, plan till morning, as the common embrace, right inside, and around, in the surround. In the clear, critical light of day, illusory administrators whisper of our need for institutions, and all institutions are political, and </w:t>
      </w:r>
      <w:r>
        <w:rPr>
          <w:rFonts w:ascii="Calibri" w:hAnsi="Calibri" w:eastAsia="Calibri" w:cs="Calibri"/>
          <w:highlight w:val="cyan"/>
          <w:u w:val="single"/>
        </w:rPr>
        <w:t>all politics is correctional, so it seems we need correctional institutions in the common, settling it, correcting us. But we won’t stand corrected</w:t>
      </w:r>
      <w:r>
        <w:rPr>
          <w:rFonts w:ascii="Calibri" w:hAnsi="Calibri" w:eastAsia="Calibri" w:cs="Calibri"/>
          <w:highlight w:val="cyan"/>
        </w:rPr>
        <w:t>.</w:t>
      </w:r>
      <w:r>
        <w:rPr>
          <w:rFonts w:ascii="Calibri" w:hAnsi="Calibri" w:eastAsia="Calibri" w:cs="Calibri"/>
        </w:rPr>
        <w:t xml:space="preserve"> Moreover, incorrect as we are there’s nothing wrong with us. We don’t want to be correct and we won’t be corrected. Politics proposes to make us better, but we were good already </w:t>
      </w:r>
      <w:r>
        <w:rPr>
          <w:rFonts w:ascii="Calibri" w:hAnsi="Calibri" w:eastAsia="Calibri" w:cs="Calibri"/>
        </w:rPr>
        <w:lastRenderedPageBreak/>
        <w:t>in the mutual debt that can never be made good</w:t>
      </w:r>
      <w:r>
        <w:rPr>
          <w:rFonts w:ascii="Calibri" w:hAnsi="Calibri" w:eastAsia="Calibri" w:cs="Calibri"/>
          <w:highlight w:val="cyan"/>
        </w:rPr>
        <w:t xml:space="preserve">. </w:t>
      </w:r>
      <w:r>
        <w:rPr>
          <w:rFonts w:ascii="Calibri" w:hAnsi="Calibri" w:eastAsia="Calibri" w:cs="Calibri"/>
          <w:highlight w:val="cyan"/>
          <w:u w:val="single"/>
        </w:rPr>
        <w:t>We owe it to each other to falsify the institution, to make politics incorrect, to give the lie to our own determination</w:t>
      </w:r>
      <w:r>
        <w:rPr>
          <w:rFonts w:ascii="Calibri" w:hAnsi="Calibri" w:eastAsia="Calibri" w:cs="Calibri"/>
          <w:highlight w:val="cyan"/>
        </w:rPr>
        <w:t>.</w:t>
      </w:r>
      <w:r>
        <w:rPr>
          <w:rFonts w:ascii="Calibri" w:hAnsi="Calibri" w:eastAsia="Calibri" w:cs="Calibri"/>
        </w:rPr>
        <w:t xml:space="preserve"> We owe each other the indeterminate. We owe each other everything. An abdication of political responsibility? OK. Whatever. We’re just anti-politically romantic about actually existing social life. We aren’t responsible for politics. </w:t>
      </w:r>
      <w:r>
        <w:rPr>
          <w:rFonts w:ascii="Calibri" w:hAnsi="Calibri" w:eastAsia="Calibri" w:cs="Calibri"/>
          <w:highlight w:val="cyan"/>
          <w:u w:val="single"/>
        </w:rPr>
        <w:t>We are the general antagonism to politics looming outside every attempt to politicise, every imposition of selfgovernance, every sovereign decision and its degraded miniature, every emergent state and home sweet home.</w:t>
      </w:r>
      <w:r>
        <w:rPr>
          <w:rFonts w:ascii="Calibri" w:hAnsi="Calibri" w:eastAsia="Calibri" w:cs="Calibri"/>
          <w:u w:val="single"/>
        </w:rPr>
        <w:t xml:space="preserve"> We are disruption and consent to disruption. We preserve upheaval. Sent to fulfill by abolishing, to renew by unsettling, to open the enclosure whose immeasurable venality is inversely proportionate to its actual area, we got politics surrounded. We cannot represent ourselves. We can’t be represented.</w:t>
      </w:r>
    </w:p>
    <w:p xmlns:wp14="http://schemas.microsoft.com/office/word/2010/wordml" w:rsidR="00054398" w:rsidP="00054398" w:rsidRDefault="00054398" w14:paraId="5B9203E6" wp14:textId="77777777">
      <w:pPr>
        <w:pStyle w:val="Heading4"/>
      </w:pPr>
      <w:r>
        <w:t xml:space="preserve">Critical academics are professionals par excellence-- critique teaches us to deny what we produce with others, and as such it merely reiterates a negligent critical distance. The aff’s critique is an antisocial sociality that disavows the thought of the outside. But we in the undercommons know it is not love. </w:t>
      </w:r>
    </w:p>
    <w:p xmlns:wp14="http://schemas.microsoft.com/office/word/2010/wordml" w:rsidR="00054398" w:rsidP="00054398" w:rsidRDefault="00054398" w14:paraId="5B82B611" wp14:textId="77777777">
      <w:r w:rsidRPr="001710C3">
        <w:rPr>
          <w:rStyle w:val="Style13ptBold"/>
        </w:rPr>
        <w:t>Harney and Moten 13</w:t>
      </w:r>
      <w:r>
        <w:t xml:space="preserve"> [The Undercommons: Fugitive Planning and Black Study, Minor Compositions, p 38-39 //tjb]</w:t>
      </w:r>
    </w:p>
    <w:p xmlns:wp14="http://schemas.microsoft.com/office/word/2010/wordml" w:rsidR="00054398" w:rsidP="00054398" w:rsidRDefault="00054398" w14:paraId="2908EB2C" wp14:textId="77777777">
      <w:r>
        <w:tab/>
      </w:r>
      <w:r>
        <w:tab/>
      </w:r>
    </w:p>
    <w:p xmlns:wp14="http://schemas.microsoft.com/office/word/2010/wordml" w:rsidR="00054398" w:rsidP="00054398" w:rsidRDefault="00054398" w14:paraId="299F356C" wp14:textId="77777777">
      <w:pPr>
        <w:rPr>
          <w:b/>
          <w:u w:val="single"/>
        </w:rPr>
      </w:pPr>
      <w:r>
        <w:rPr>
          <w:sz w:val="20"/>
          <w:szCs w:val="20"/>
        </w:rPr>
        <w:t xml:space="preserve">CRITICAL ACADEMICS ARE THE PROFESSIONALS PAR EXCELLENCE </w:t>
      </w:r>
      <w:r>
        <w:rPr>
          <w:b/>
          <w:u w:val="single"/>
        </w:rPr>
        <w:t>The critical academic questions the university, questions the state, questions art, politics, culture. But in the undercommons it is “no questions asked.” It is unconditional – the door swings open for refuge even though it may let in police agents and destruction</w:t>
      </w:r>
      <w:r>
        <w:t xml:space="preserve">. The questions are superfluous in the undercommons. If you don’t know, why ask? The only question left on the surface is </w:t>
      </w:r>
      <w:r>
        <w:rPr>
          <w:b/>
          <w:u w:val="single"/>
        </w:rPr>
        <w:t>what can it mean to be critical when the professional defines himself or herself as one who is critical of negligence, while negligence defines professionalization</w:t>
      </w:r>
      <w:r>
        <w:t xml:space="preserve">? Would it not mean that to be critical of the university would make one the professional </w:t>
      </w:r>
      <w:r>
        <w:rPr>
          <w:i/>
        </w:rPr>
        <w:t>par excellence</w:t>
      </w:r>
      <w:r>
        <w:t xml:space="preserve">, more negligent than any other? </w:t>
      </w:r>
      <w:r>
        <w:rPr>
          <w:b/>
          <w:u w:val="single"/>
        </w:rPr>
        <w:t>To distance oneself professionally through critique, is this not the most active consent to privatize the social individual?</w:t>
      </w:r>
      <w:r>
        <w:t xml:space="preserve"> </w:t>
      </w:r>
      <w:r>
        <w:rPr>
          <w:b/>
          <w:u w:val="single"/>
        </w:rPr>
        <w:t>The undercommons might by contrast be understood as wary of critique, weary of it, and at the same time dedicated to the collectivity of its future, the collectivity that may come to be its future.</w:t>
      </w:r>
      <w:r>
        <w:t xml:space="preserve"> </w:t>
      </w:r>
      <w:r w:rsidRPr="00E11F0B">
        <w:rPr>
          <w:rStyle w:val="StyleUnderline"/>
        </w:rPr>
        <w:t xml:space="preserve">The under- commons in some ways tries to escape from critique and its deg- radation as university-consciousness and self-consciousness about university-consciousness, retreating, as Adrian Piper says, into the external world. </w:t>
      </w:r>
      <w:r>
        <w:t xml:space="preserve">This maroon community, if it exists, therefore also seeks to es- cape the fiat of the ends of man. </w:t>
      </w:r>
      <w:r>
        <w:rPr>
          <w:b/>
          <w:u w:val="single"/>
        </w:rPr>
        <w:t>The sovereign’s army of academic antihumanism will pursue this negative community into the undercommons, seeking to conscript it, needing to con- script it.</w:t>
      </w:r>
      <w:r>
        <w:t xml:space="preserve"> But </w:t>
      </w:r>
      <w:r>
        <w:rPr>
          <w:b/>
          <w:u w:val="single"/>
        </w:rPr>
        <w:t>as seductive as this critique may be, as provoked as it may be, in the undercommons they know it is not love</w:t>
      </w:r>
      <w:r>
        <w:t xml:space="preserve">. Between the at of the ends and the ethics of new beginnings, the undercommons abides, and </w:t>
      </w:r>
      <w:r w:rsidRPr="00E11F0B">
        <w:rPr>
          <w:rStyle w:val="StyleUnderline"/>
        </w:rPr>
        <w:t xml:space="preserve">some find comfort in this. Comfort for the emigrants from conscription, not to be ready for humanity and who must endure the return of humanity nonetheless, as it may be endured by those who will or must endure it, as certainly those of the undercommons endure it, always in the break, always the sup- plement of the </w:t>
      </w:r>
      <w:r>
        <w:rPr>
          <w:i/>
          <w:u w:val="single"/>
        </w:rPr>
        <w:t xml:space="preserve">general intellect </w:t>
      </w:r>
      <w:r w:rsidRPr="00E11F0B">
        <w:rPr>
          <w:rStyle w:val="StyleUnderline"/>
        </w:rPr>
        <w:t>and its source</w:t>
      </w:r>
      <w:r>
        <w:t xml:space="preserve">. </w:t>
      </w:r>
      <w:r>
        <w:rPr>
          <w:b/>
          <w:u w:val="single"/>
        </w:rPr>
        <w:t xml:space="preserve">When the critical academic who lives by at (of others) gets no answer, no commitment, from the undercommons, well then certainly the conclusion will come: they are not practical, not </w:t>
      </w:r>
      <w:r>
        <w:rPr>
          <w:b/>
          <w:u w:val="single"/>
        </w:rPr>
        <w:lastRenderedPageBreak/>
        <w:t>serious about change, not rigorous, not productive</w:t>
      </w:r>
      <w:r>
        <w:t xml:space="preserve">. Meanwhile, </w:t>
      </w:r>
      <w:r w:rsidRPr="00E11F0B">
        <w:rPr>
          <w:rStyle w:val="StyleUnderline"/>
        </w:rPr>
        <w:t>that critical academic in the university, in the circle of the American state, questions the university.</w:t>
      </w:r>
      <w:r>
        <w:t xml:space="preserve"> He claims to be critical of the negligence of the university. But is he not the most accomplished professional in his studied negligence? If </w:t>
      </w:r>
      <w:r>
        <w:rPr>
          <w:b/>
          <w:u w:val="single"/>
        </w:rPr>
        <w:t>the labor upon labor, the labor among labor of the unprofessionals in the university sparks revolt, retreat, release, does the labor of the critical academic not involve a mockery of this first labor, a performance that is nally in its lack of concern for what it parodies, negligent</w:t>
      </w:r>
      <w:r>
        <w:t>? Does the questioning of the critical academic not become a pacification? Or, to put it plainly, d</w:t>
      </w:r>
      <w:r>
        <w:rPr>
          <w:b/>
          <w:u w:val="single"/>
        </w:rPr>
        <w:t xml:space="preserve">oes the critical academic not teach how to deny precisely what one produces with others, and is this not the lesson the professions return to the university to learn again and again? </w:t>
      </w:r>
      <w:r>
        <w:t xml:space="preserve">Is the critical academic then not dedicated to what Michael E. Brown termed the impoverish- ment, the immiseration, of society’s cooperative prospects? is is the professional course of action. </w:t>
      </w:r>
      <w:r>
        <w:rPr>
          <w:b/>
          <w:u w:val="single"/>
        </w:rPr>
        <w:t>This enlightenment-type charade is utterly negligent in its critique, a negligence that disavows the possibil- ity of a thought of an outside, a nonplace called the undercommons</w:t>
      </w:r>
      <w:r>
        <w:t xml:space="preserve"> – the nonplace that must be thought outside to be sensed inside, from which the enlightenment-type charade has stolen everything for its game. But if the critical academic is merely a professional, why spend so much time on him? </w:t>
      </w:r>
      <w:r>
        <w:rPr>
          <w:b/>
          <w:u w:val="single"/>
        </w:rPr>
        <w:t>Why not just steal his books one morning and give them to deregistered students</w:t>
      </w:r>
      <w:r>
        <w:t xml:space="preserve"> in a closed-down and beery student bar</w:t>
      </w:r>
      <w:r>
        <w:rPr>
          <w:b/>
          <w:u w:val="single"/>
        </w:rPr>
        <w:t xml:space="preserve">, where the seminar on burrowing and borrowing takes place. Yet we must speak of these critical academics because negligence it turns out is a major crime of state. </w:t>
      </w:r>
    </w:p>
    <w:p xmlns:wp14="http://schemas.microsoft.com/office/word/2010/wordml" w:rsidRPr="00E11F0B" w:rsidR="00054398" w:rsidP="00054398" w:rsidRDefault="00054398" w14:paraId="121FD38A" wp14:textId="77777777"/>
    <w:p xmlns:wp14="http://schemas.microsoft.com/office/word/2010/wordml" w:rsidR="00054398" w:rsidP="00054398" w:rsidRDefault="00054398" w14:paraId="33A1B2DE" wp14:textId="77777777">
      <w:pPr>
        <w:pStyle w:val="Heading4"/>
      </w:pPr>
      <w:r>
        <w:t>The sclerosis of academic work is intimately tied to critique-- in the aff’s attempt to reveal what is really going on in the world, it papers over the real and imaginative work of revolution. Instead, we must be in two places at the same time or two times at the same place-- to tell the truth of the brutality of the already existing, but also to see that another world is possible.</w:t>
      </w:r>
    </w:p>
    <w:p xmlns:wp14="http://schemas.microsoft.com/office/word/2010/wordml" w:rsidR="00054398" w:rsidP="00054398" w:rsidRDefault="00054398" w14:paraId="108875C7" wp14:textId="77777777">
      <w:r w:rsidRPr="001710C3">
        <w:rPr>
          <w:rStyle w:val="Style13ptBold"/>
        </w:rPr>
        <w:t>Harney and Moten 13</w:t>
      </w:r>
      <w:r>
        <w:t xml:space="preserve"> [The Undercommons: Fugitive Planning and Black Study, Minor Compositions, p 130-131 //tjb]</w:t>
      </w:r>
    </w:p>
    <w:p xmlns:wp14="http://schemas.microsoft.com/office/word/2010/wordml" w:rsidR="00054398" w:rsidP="00054398" w:rsidRDefault="00054398" w14:paraId="1FE2DD96" wp14:textId="77777777">
      <w:r>
        <w:tab/>
      </w:r>
      <w:r>
        <w:tab/>
      </w:r>
      <w:r>
        <w:tab/>
      </w:r>
      <w:r>
        <w:tab/>
      </w:r>
      <w:r>
        <w:tab/>
      </w:r>
    </w:p>
    <w:p xmlns:wp14="http://schemas.microsoft.com/office/word/2010/wordml" w:rsidR="00054398" w:rsidP="00054398" w:rsidRDefault="00054398" w14:paraId="560E5B8D" wp14:textId="77777777">
      <w:r>
        <w:rPr>
          <w:sz w:val="20"/>
          <w:szCs w:val="20"/>
        </w:rPr>
        <w:t xml:space="preserve">STEFANO: </w:t>
      </w:r>
      <w:r>
        <w:t>For me, ‘</w:t>
      </w:r>
      <w:r w:rsidRPr="00E11F0B">
        <w:rPr>
          <w:rStyle w:val="StyleUnderline"/>
        </w:rPr>
        <w:t>prophetic’ and a lot of the terms that we’re using are just forms for me to enrich being, so that it doesn’t get attened out into the way that it’s understood so often in politics. For me, it’s just a way to think about the already-existing enrichment of being, the already-social quality of time and space, which means that you can simultaneously be in more places, and be more than one, and that seeing things and hearing things is just a way of being with others</w:t>
      </w:r>
      <w:r>
        <w:t xml:space="preserve">. </w:t>
      </w:r>
      <w:r w:rsidRPr="00E11F0B">
        <w:rPr>
          <w:rStyle w:val="StyleUnderline"/>
        </w:rPr>
        <w:t>It means the standpoint of every standpoint and none</w:t>
      </w:r>
      <w:r>
        <w:t xml:space="preserve"> as Fred and I say, the standpoint of the shipped, the </w:t>
      </w:r>
      <w:r>
        <w:rPr>
          <w:i/>
        </w:rPr>
        <w:t>containerized</w:t>
      </w:r>
      <w:r>
        <w:t>, the unsettled and unsettling.</w:t>
      </w:r>
    </w:p>
    <w:p xmlns:wp14="http://schemas.microsoft.com/office/word/2010/wordml" w:rsidRPr="00E11F0B" w:rsidR="00054398" w:rsidP="00054398" w:rsidRDefault="00054398" w14:paraId="096FF3B7" wp14:textId="77777777">
      <w:pPr>
        <w:rPr>
          <w:rStyle w:val="StyleUnderline"/>
        </w:rPr>
      </w:pPr>
      <w:r>
        <w:rPr>
          <w:sz w:val="20"/>
          <w:szCs w:val="20"/>
        </w:rPr>
        <w:t xml:space="preserve">FRED: </w:t>
      </w:r>
      <w:r>
        <w:t xml:space="preserve">What you just said seems right to me. It is definitely about seeing things and hearing things. It’s funny, because I’m happily sur- prised that we used the term prophetic; I’m happy that’s there now, because I associate that term so much with Cornel West. There were moments where I would have been pretty stridently against the use of that term, probably because of the association with pragmatism that West asserts. But now I’m like, </w:t>
      </w:r>
      <w:r w:rsidRPr="00E11F0B">
        <w:rPr>
          <w:rStyle w:val="StyleUnderline"/>
        </w:rPr>
        <w:t xml:space="preserve">that term’s </w:t>
      </w:r>
      <w:r w:rsidRPr="00E11F0B">
        <w:rPr>
          <w:rStyle w:val="StyleUnderline"/>
        </w:rPr>
        <w:lastRenderedPageBreak/>
        <w:t>cool, because it is about seeing things and hearing things. Another way to put it would be: you talk about being able to be in two places at the same time, but also to be able to be two times in the same place. In other words, it’s very much bound up with the Jamesian notion of the future in the present – and classically, the prophet has access to both of those. The prophet is the one who tells the brutal truth, who has the capacity to see the absolute brutality of the already-existing and to point it out and to tell that truth, but also to see the other way, to see what it could be</w:t>
      </w:r>
      <w:r>
        <w:t xml:space="preserve">. That double-sense, that double-capacity: to see what’s right in front of you and to see through that to what’s up ahead of you. </w:t>
      </w:r>
      <w:r>
        <w:rPr>
          <w:b/>
        </w:rPr>
        <w:t>One of the ways in which academic labor has become sclerotic, let’s say, is precisely because it imagines that the primary mode, specifically of a certain kind of left academic labor, is a kind of clear-eyed seeing of what’s actually going on right now – and that the work is reducible to that.</w:t>
      </w:r>
      <w:r w:rsidRPr="00E11F0B">
        <w:rPr>
          <w:rStyle w:val="StyleUnderline"/>
        </w:rPr>
        <w:t xml:space="preserve"> Or, another way to put it is that, insofar as that’s what one conceives the work to be, one is only really doing the work when the work is absolutely in the absence of play, where play would be conceived of as pretending, as seeing what could be, as fantasy. </w:t>
      </w:r>
    </w:p>
    <w:p xmlns:wp14="http://schemas.microsoft.com/office/word/2010/wordml" w:rsidRPr="00E11F0B" w:rsidR="00054398" w:rsidP="00054398" w:rsidRDefault="00054398" w14:paraId="27357532" wp14:textId="77777777">
      <w:pPr>
        <w:rPr>
          <w:rStyle w:val="StyleUnderline"/>
        </w:rPr>
      </w:pPr>
    </w:p>
    <w:p xmlns:wp14="http://schemas.microsoft.com/office/word/2010/wordml" w:rsidRPr="00E11F0B" w:rsidR="00054398" w:rsidP="00054398" w:rsidRDefault="00054398" w14:paraId="07F023C8" wp14:textId="77777777">
      <w:pPr>
        <w:rPr>
          <w:rStyle w:val="StyleUnderline"/>
        </w:rPr>
      </w:pPr>
    </w:p>
    <w:p xmlns:wp14="http://schemas.microsoft.com/office/word/2010/wordml" w:rsidRPr="00E11F0B" w:rsidR="00054398" w:rsidP="00054398" w:rsidRDefault="00054398" w14:paraId="4BDB5498" wp14:textId="77777777">
      <w:pPr>
        <w:rPr>
          <w:rStyle w:val="StyleUnderline"/>
        </w:rPr>
      </w:pPr>
    </w:p>
    <w:p xmlns:wp14="http://schemas.microsoft.com/office/word/2010/wordml" w:rsidRPr="00E11F0B" w:rsidR="00054398" w:rsidP="00054398" w:rsidRDefault="00054398" w14:paraId="2DB1360F" wp14:textId="77777777">
      <w:pPr>
        <w:pStyle w:val="Heading4"/>
        <w:rPr>
          <w:rStyle w:val="Style13ptBold"/>
          <w:b/>
          <w:bCs w:val="0"/>
          <w:u w:val="none"/>
        </w:rPr>
      </w:pPr>
      <w:r w:rsidRPr="00E11F0B">
        <w:t>Critical academics must situate themselves in a position upon which the truth relies-- this staticity prevents new worlds from their immanent emergence. Insofar as the aff attempts to describe the world, it also orders the world along the boundaries of what is possible.</w:t>
      </w:r>
    </w:p>
    <w:p xmlns:wp14="http://schemas.microsoft.com/office/word/2010/wordml" w:rsidRPr="00E11F0B" w:rsidR="00054398" w:rsidP="00054398" w:rsidRDefault="00054398" w14:paraId="78D91A80" wp14:textId="77777777">
      <w:r w:rsidRPr="00E11F0B">
        <w:rPr>
          <w:rStyle w:val="Style13ptBold"/>
        </w:rPr>
        <w:t>Mann 96</w:t>
      </w:r>
      <w:r w:rsidRPr="00E11F0B">
        <w:t xml:space="preserve"> (Paul, Department of English Pomona College, "The Nine Grounds of Intellectual Warfare", http://pmc.iath.virginia.edu/text-only/issue.196/mann.196)</w:t>
      </w:r>
    </w:p>
    <w:p xmlns:wp14="http://schemas.microsoft.com/office/word/2010/wordml" w:rsidR="00054398" w:rsidP="00054398" w:rsidRDefault="00054398" w14:paraId="2916C19D" wp14:textId="77777777">
      <w:pPr>
        <w:shd w:val="clear" w:color="auto" w:fill="FFFFFF"/>
        <w:spacing w:after="280"/>
        <w:rPr>
          <w:rFonts w:ascii="Calibri" w:hAnsi="Calibri" w:eastAsia="Calibri" w:cs="Calibri"/>
          <w:sz w:val="16"/>
          <w:szCs w:val="16"/>
        </w:rPr>
      </w:pPr>
    </w:p>
    <w:p xmlns:wp14="http://schemas.microsoft.com/office/word/2010/wordml" w:rsidR="00054398" w:rsidP="00054398" w:rsidRDefault="00054398" w14:paraId="03DC60CB" wp14:textId="77777777">
      <w:pPr>
        <w:shd w:val="clear" w:color="auto" w:fill="FFFFFF"/>
        <w:spacing w:after="280"/>
        <w:rPr>
          <w:rFonts w:ascii="Calibri" w:hAnsi="Calibri" w:eastAsia="Calibri" w:cs="Calibri"/>
          <w:sz w:val="16"/>
          <w:szCs w:val="16"/>
        </w:rPr>
      </w:pPr>
      <w:r>
        <w:rPr>
          <w:rFonts w:ascii="Calibri" w:hAnsi="Calibri" w:eastAsia="Calibri" w:cs="Calibri"/>
          <w:sz w:val="16"/>
          <w:szCs w:val="16"/>
        </w:rPr>
        <w:t xml:space="preserve">Nothing is more important to the intellectual than a position. Even the fabled collapse of foundations has done little to change this: economically, discursively, this collapse turns out to be yet another position, something to believe in and hold true, the consolidation of "flows," "drift," etc., into the most familiar academic architecture. </w:t>
      </w:r>
      <w:r>
        <w:rPr>
          <w:rFonts w:ascii="Calibri" w:hAnsi="Calibri" w:eastAsia="Calibri" w:cs="Calibri"/>
          <w:u w:val="single"/>
        </w:rPr>
        <w:t xml:space="preserve">You must have a position, and if you do not, one will be assigned to you, or you will simply not exist. </w:t>
      </w:r>
      <w:r>
        <w:rPr>
          <w:rFonts w:ascii="Calibri" w:hAnsi="Calibri" w:eastAsia="Calibri" w:cs="Calibri"/>
          <w:sz w:val="16"/>
          <w:szCs w:val="16"/>
        </w:rPr>
        <w:t xml:space="preserve">The homology of position as standpoint and position as job, budget line, FTE, is a matter of a great deal more than analogy or vulgar marxism. With a position, everything is possible. You are supported by a truth, a discipline, a methodology, a rhetorical style, a discursive form, a mode of production and exchange. You know where you stand, you recognize yourself by your position; you see yourself there because you see yourself seen there. </w:t>
      </w:r>
      <w:r>
        <w:rPr>
          <w:rFonts w:ascii="Calibri" w:hAnsi="Calibri" w:eastAsia="Calibri" w:cs="Calibri"/>
          <w:u w:val="single"/>
        </w:rPr>
        <w:t>Your position is your identity and value; it authorizes your work, circulates it, constitutes it as property, lends you the security of ownership. But at the same time nothing is possible with a position. To hold a position is to be held by it, to be caught up in its inertial and economic determinations, to be captured by an identity that you might not, finally, believe to be quite your own</w:t>
      </w:r>
      <w:r>
        <w:rPr>
          <w:rFonts w:ascii="Calibri" w:hAnsi="Calibri" w:eastAsia="Calibri" w:cs="Calibri"/>
          <w:sz w:val="16"/>
          <w:szCs w:val="16"/>
        </w:rPr>
        <w:t xml:space="preserve">. </w:t>
      </w:r>
      <w:r>
        <w:rPr>
          <w:rFonts w:ascii="Calibri" w:hAnsi="Calibri" w:eastAsia="Calibri" w:cs="Calibri"/>
          <w:b/>
          <w:u w:val="single"/>
        </w:rPr>
        <w:t xml:space="preserve">Nothing could be more difficult than really, substantively, radically to change one's mind, change the forms in which one works, risk everything by leaving behind a position on which, it seems, everything has come to rely. </w:t>
      </w:r>
      <w:r>
        <w:rPr>
          <w:rFonts w:ascii="Calibri" w:hAnsi="Calibri" w:eastAsia="Calibri" w:cs="Calibri"/>
          <w:sz w:val="16"/>
          <w:szCs w:val="16"/>
        </w:rPr>
        <w:t>The position is a fundamental form of civilization. Recall Virilio's remark that the city itself originates in a position, a garrison, a defensive posture, a logistical form.</w:t>
      </w:r>
      <w:bookmarkStart w:name="kix.a2cxwnv2iu9w" w:colFirst="0" w:colLast="0" w:id="4"/>
      <w:bookmarkEnd w:id="4"/>
      <w:r>
        <w:rPr>
          <w:rFonts w:ascii="Calibri" w:hAnsi="Calibri" w:eastAsia="Calibri" w:cs="Calibri"/>
          <w:color w:val="0000FF"/>
          <w:u w:val="single"/>
          <w:vertAlign w:val="superscript"/>
        </w:rPr>
        <w:t>17</w:t>
      </w:r>
      <w:r>
        <w:rPr>
          <w:rFonts w:ascii="Calibri" w:hAnsi="Calibri" w:eastAsia="Calibri" w:cs="Calibri"/>
          <w:sz w:val="16"/>
          <w:szCs w:val="16"/>
        </w:rPr>
        <w:t xml:space="preserve"> To adopt the terminology of A Thousand Plateaus, the position is a "sedentary fortification" of "state armies"; it is entirely contained by the state apparatus.</w:t>
      </w:r>
      <w:bookmarkStart w:name="kix.p7g3b3svktn0" w:colFirst="0" w:colLast="0" w:id="5"/>
      <w:bookmarkEnd w:id="5"/>
      <w:r>
        <w:rPr>
          <w:rFonts w:ascii="Calibri" w:hAnsi="Calibri" w:eastAsia="Calibri" w:cs="Calibri"/>
          <w:color w:val="0000FF"/>
          <w:u w:val="single"/>
          <w:vertAlign w:val="superscript"/>
        </w:rPr>
        <w:t>18</w:t>
      </w:r>
      <w:r>
        <w:rPr>
          <w:rFonts w:ascii="Calibri" w:hAnsi="Calibri" w:eastAsia="Calibri" w:cs="Calibri"/>
          <w:sz w:val="16"/>
          <w:szCs w:val="16"/>
        </w:rPr>
        <w:t xml:space="preserve"> </w:t>
      </w:r>
      <w:r>
        <w:rPr>
          <w:rFonts w:ascii="Calibri" w:hAnsi="Calibri" w:eastAsia="Calibri" w:cs="Calibri"/>
          <w:u w:val="single"/>
        </w:rPr>
        <w:t>In academic criticism, the symbolic place of the state is occupied and held by the text or oeuvre, around which the defending force of commentaries is deployed</w:t>
      </w:r>
      <w:r>
        <w:rPr>
          <w:rFonts w:ascii="Calibri" w:hAnsi="Calibri" w:eastAsia="Calibri" w:cs="Calibri"/>
          <w:sz w:val="16"/>
          <w:szCs w:val="16"/>
        </w:rPr>
        <w:t xml:space="preserve">; in a field such as English or Comparative Literature, the state or national form of the text is clearly and hence problematically manifested. The critic defends the text by the elaborate construction of interpretations around it; at the same time, in a </w:t>
      </w:r>
      <w:r>
        <w:rPr>
          <w:rFonts w:ascii="Calibri" w:hAnsi="Calibri" w:eastAsia="Calibri" w:cs="Calibri"/>
          <w:sz w:val="16"/>
          <w:szCs w:val="16"/>
        </w:rPr>
        <w:lastRenderedPageBreak/>
        <w:t xml:space="preserve">kind of fractal homomorphism, the critic's own position is defined and defended by the construction of the paper circle of his or her own works. The more forces occupy a position, the stronger it will be. </w:t>
      </w:r>
      <w:r>
        <w:rPr>
          <w:rFonts w:ascii="Calibri" w:hAnsi="Calibri" w:eastAsia="Calibri" w:cs="Calibri"/>
          <w:u w:val="single"/>
        </w:rPr>
        <w:t>The barrage of words projected from the most heavily fortified strongholds (currently: New Historicism, postcolonial criticism, certain orders of gender and race theory) can repel critiques by sheer force of numbers</w:t>
      </w:r>
      <w:r>
        <w:rPr>
          <w:rFonts w:ascii="Calibri" w:hAnsi="Calibri" w:eastAsia="Calibri" w:cs="Calibri"/>
          <w:sz w:val="16"/>
          <w:szCs w:val="16"/>
        </w:rPr>
        <w:t>. Indeed, conflict between positions is itself one of the chief means by which they are defined. As Rose points out, for Freud war "not only threaten[s] civilization, it can also advance it. By tending towards the conglomeration of nations, it operates [not only] like death [but also] like the eros which strives to unify" (16). In intellectual warfare, the strategic form of this erotic unification is the discipline, in every sense of the word.</w:t>
      </w:r>
      <w:bookmarkStart w:name="kix.832vnjcj1p7y" w:colFirst="0" w:colLast="0" w:id="6"/>
      <w:bookmarkEnd w:id="6"/>
      <w:r>
        <w:rPr>
          <w:rFonts w:ascii="Calibri" w:hAnsi="Calibri" w:eastAsia="Calibri" w:cs="Calibri"/>
          <w:color w:val="0000FF"/>
          <w:u w:val="single"/>
          <w:vertAlign w:val="superscript"/>
        </w:rPr>
        <w:t>19</w:t>
      </w:r>
      <w:r>
        <w:rPr>
          <w:rFonts w:ascii="Calibri" w:hAnsi="Calibri" w:eastAsia="Calibri" w:cs="Calibri"/>
          <w:sz w:val="16"/>
          <w:szCs w:val="16"/>
        </w:rPr>
        <w:t xml:space="preserve"> Mechanisms of regimental identification are crucial here. It would be impossible to overestimate the importance of esprit de corps to garrisoned forces. Healthy competition keeps troops battle-sharp and singles out the most effective officers, but such conflict must be contained and focused toward strategic goals. If, on one hand, </w:t>
      </w:r>
      <w:r>
        <w:rPr>
          <w:rFonts w:ascii="Calibri" w:hAnsi="Calibri" w:eastAsia="Calibri" w:cs="Calibri"/>
          <w:b/>
          <w:u w:val="single"/>
        </w:rPr>
        <w:t>it is a mistake to refer to intellectual movements, since their force is always institutional, static, on the other hand it is the fixity of the intellectual position that proves to be illusory</w:t>
      </w:r>
      <w:r>
        <w:rPr>
          <w:rFonts w:ascii="Calibri" w:hAnsi="Calibri" w:eastAsia="Calibri" w:cs="Calibri"/>
          <w:sz w:val="16"/>
          <w:szCs w:val="16"/>
        </w:rPr>
        <w:t xml:space="preserve">. A position must not only be held, but advanced. The surrounding territory must come under its influence and control. Furthermore, as Clausewitz indicates, defenses tend to become offensive. It is not simply that the best defense is a good offense; defenses, like attacks, exceed the limits of strategic reason. The escalating, offensive character of nuclear deterrence has long been noted. So also for the provocative force of the most striking cultural formations: defensive postures escalate beyond the power of whatever threat they face. More importantly, the position is never more than a temporary establishment: once consolidated, its termination is assured; the more force it generates, the more certain that its walls will be breached. That is Virilio's brief against deterrence: it exhausts its own resources, it destroys the societies it defends. There is no indefensible position, and no position that can be defended for very long. </w:t>
      </w:r>
      <w:r>
        <w:rPr>
          <w:rFonts w:ascii="Calibri" w:hAnsi="Calibri" w:eastAsia="Calibri" w:cs="Calibri"/>
          <w:u w:val="single"/>
        </w:rPr>
        <w:t>At the moment a position is founded, its destruction has begun</w:t>
      </w:r>
      <w:r>
        <w:rPr>
          <w:rFonts w:ascii="Calibri" w:hAnsi="Calibri" w:eastAsia="Calibri" w:cs="Calibri"/>
          <w:sz w:val="16"/>
          <w:szCs w:val="16"/>
        </w:rPr>
        <w:t xml:space="preserve">. Defections to other positions, other cities of words, are doubtless already under way. </w:t>
      </w:r>
      <w:r>
        <w:rPr>
          <w:rFonts w:ascii="Calibri" w:hAnsi="Calibri" w:eastAsia="Calibri" w:cs="Calibri"/>
          <w:u w:val="single"/>
        </w:rPr>
        <w:t>The intellectual position is therefore not simply a ground, let alone a foundation</w:t>
      </w:r>
      <w:r>
        <w:rPr>
          <w:rFonts w:ascii="Calibri" w:hAnsi="Calibri" w:eastAsia="Calibri" w:cs="Calibri"/>
          <w:sz w:val="16"/>
          <w:szCs w:val="16"/>
        </w:rPr>
        <w:t xml:space="preserve">, however attached to or identified with it its garrison becomes, even in the act of arguing that there is no foundation. On the contrary, the position turns out to be a point along a vector, a line of advance or retreat, a temporary encampment, a bivouac, of strategic or tactical importance alone, and supportable only by means of its relation to other positions, other forces, counterforces, and logistical agencies all along the line. There is no question that the strength of the sited force's investment in its ground, however temporary, is crucial. But </w:t>
      </w:r>
      <w:r>
        <w:rPr>
          <w:rFonts w:ascii="Calibri" w:hAnsi="Calibri" w:eastAsia="Calibri" w:cs="Calibri"/>
          <w:u w:val="single"/>
        </w:rPr>
        <w:t>in the end every position will turn out to have been a relay-point or intersection, the temporary location of an intellectual army whose grounding is not to be measured by its "rightness</w:t>
      </w:r>
      <w:r>
        <w:rPr>
          <w:rFonts w:ascii="Calibri" w:hAnsi="Calibri" w:eastAsia="Calibri" w:cs="Calibri"/>
          <w:sz w:val="16"/>
          <w:szCs w:val="16"/>
        </w:rPr>
        <w:t xml:space="preserve">" -- the archaic notion of truth proven by combat may be said to survive only in the academy -- </w:t>
      </w:r>
      <w:r>
        <w:rPr>
          <w:rFonts w:ascii="Calibri" w:hAnsi="Calibri" w:eastAsia="Calibri" w:cs="Calibri"/>
          <w:u w:val="single"/>
        </w:rPr>
        <w:t>but by its force and resistance</w:t>
      </w:r>
      <w:r>
        <w:rPr>
          <w:rFonts w:ascii="Calibri" w:hAnsi="Calibri" w:eastAsia="Calibri" w:cs="Calibri"/>
          <w:sz w:val="16"/>
          <w:szCs w:val="16"/>
        </w:rPr>
        <w:t xml:space="preserve"> in relation to other quantities of force, velocity, intensity, logistical power, tactical skill, etc., all of which will not only support but eventually help to detach that army from its ground. In psychoanalytic terms, it would be necessary to see the texts that a writer deploys around his or her position as defense mechanisms of another order, that is to say, as symptoms, but not only of an individual pathology: rather as encysted trouble-spots on the intersecting curves of discursive forces about which the intellectual is often barely, if at all, aware, and which no one -- no chaos theorist of discursive physics -- will ever be able to map.</w:t>
      </w:r>
    </w:p>
    <w:p xmlns:wp14="http://schemas.microsoft.com/office/word/2010/wordml" w:rsidR="00054398" w:rsidP="00054398" w:rsidRDefault="00054398" w14:paraId="5CDBC1E7" wp14:textId="77777777">
      <w:pPr>
        <w:pStyle w:val="Heading4"/>
        <w:rPr>
          <w:rFonts w:eastAsia="Calibri"/>
        </w:rPr>
      </w:pPr>
      <w:r>
        <w:rPr>
          <w:rFonts w:eastAsia="Calibri"/>
        </w:rPr>
        <w:t>The incorporation of illicit discursive practices by critical academics is dangerous-- the affirmative appropriates hidden outlaw discourses in order to make them transparent within the realm of critical theory. This risks subjecting them to the dominant gaze of the powerful, resulting in objectification.</w:t>
      </w:r>
    </w:p>
    <w:p xmlns:wp14="http://schemas.microsoft.com/office/word/2010/wordml" w:rsidR="00054398" w:rsidP="00054398" w:rsidRDefault="00054398" w14:paraId="0480D6F9" wp14:textId="77777777">
      <w:pPr>
        <w:rPr>
          <w:rFonts w:ascii="Calibri" w:hAnsi="Calibri" w:eastAsia="Calibri" w:cs="Calibri"/>
        </w:rPr>
      </w:pPr>
      <w:r w:rsidRPr="001710C3">
        <w:rPr>
          <w:rStyle w:val="Style13ptBold"/>
        </w:rPr>
        <w:t>Phillips 99</w:t>
      </w:r>
      <w:r>
        <w:rPr>
          <w:rFonts w:ascii="Calibri" w:hAnsi="Calibri" w:eastAsia="Calibri" w:cs="Calibri"/>
        </w:rPr>
        <w:t xml:space="preserve"> (Kendall – Professor of Communication at Syracuse University, “Rhetoric, Resistance, and Criticism: A Response to Sloop and Ono,” in Philosophy &amp; Rhetoric, Volume 32, Number 1, 1999, </w:t>
      </w:r>
      <w:hyperlink w:anchor="page_scan_tab_contents" r:id="rId132">
        <w:r>
          <w:rPr>
            <w:rFonts w:ascii="Calibri" w:hAnsi="Calibri" w:eastAsia="Calibri" w:cs="Calibri"/>
          </w:rPr>
          <w:t>http://www.jstor.org/stable/40238019?seq=1#page_scan_tab_contents</w:t>
        </w:r>
      </w:hyperlink>
      <w:r>
        <w:rPr>
          <w:rFonts w:ascii="Calibri" w:hAnsi="Calibri" w:eastAsia="Calibri" w:cs="Calibri"/>
        </w:rPr>
        <w:t>)</w:t>
      </w:r>
    </w:p>
    <w:p xmlns:wp14="http://schemas.microsoft.com/office/word/2010/wordml" w:rsidR="00054398" w:rsidP="00054398" w:rsidRDefault="00054398" w14:paraId="6D97A93B" wp14:textId="77777777">
      <w:pPr>
        <w:rPr>
          <w:rFonts w:ascii="Calibri" w:hAnsi="Calibri" w:eastAsia="Calibri" w:cs="Calibri"/>
          <w:sz w:val="14"/>
          <w:szCs w:val="14"/>
        </w:rPr>
      </w:pPr>
      <w:r>
        <w:rPr>
          <w:rFonts w:ascii="Calibri" w:hAnsi="Calibri" w:eastAsia="Calibri" w:cs="Calibri"/>
          <w:sz w:val="14"/>
          <w:szCs w:val="14"/>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view, given that the justification for their out-law discourse project is the lack of politically viable academic critique and the perceived potency of out-law conceptions of judgment. </w:t>
      </w:r>
      <w:r>
        <w:rPr>
          <w:rFonts w:ascii="Calibri" w:hAnsi="Calibri" w:eastAsia="Calibri" w:cs="Calibri"/>
          <w:highlight w:val="green"/>
          <w:u w:val="single"/>
        </w:rPr>
        <w:t>The</w:t>
      </w:r>
      <w:r>
        <w:rPr>
          <w:rFonts w:ascii="Calibri" w:hAnsi="Calibri" w:eastAsia="Calibri" w:cs="Calibri"/>
          <w:sz w:val="14"/>
          <w:szCs w:val="14"/>
        </w:rPr>
        <w:t xml:space="preserve">ir </w:t>
      </w:r>
      <w:r>
        <w:rPr>
          <w:rFonts w:ascii="Calibri" w:hAnsi="Calibri" w:eastAsia="Calibri" w:cs="Calibri"/>
          <w:highlight w:val="green"/>
          <w:u w:val="single"/>
        </w:rPr>
        <w:t>suggestion that out-law communities</w:t>
      </w:r>
      <w:r>
        <w:rPr>
          <w:rFonts w:ascii="Calibri" w:hAnsi="Calibri" w:eastAsia="Calibri" w:cs="Calibri"/>
          <w:u w:val="single"/>
        </w:rPr>
        <w:t xml:space="preserve"> are in </w:t>
      </w:r>
      <w:r>
        <w:rPr>
          <w:rFonts w:ascii="Calibri" w:hAnsi="Calibri" w:eastAsia="Calibri" w:cs="Calibri"/>
          <w:highlight w:val="green"/>
          <w:u w:val="single"/>
        </w:rPr>
        <w:t>need</w:t>
      </w:r>
      <w:r>
        <w:rPr>
          <w:rFonts w:ascii="Calibri" w:hAnsi="Calibri" w:eastAsia="Calibri" w:cs="Calibri"/>
          <w:u w:val="single"/>
        </w:rPr>
        <w:t xml:space="preserve"> of </w:t>
      </w:r>
      <w:r>
        <w:rPr>
          <w:rFonts w:ascii="Calibri" w:hAnsi="Calibri" w:eastAsia="Calibri" w:cs="Calibri"/>
          <w:highlight w:val="green"/>
          <w:u w:val="single"/>
        </w:rPr>
        <w:t>the academic critic contradicts</w:t>
      </w:r>
      <w:r>
        <w:rPr>
          <w:rFonts w:ascii="Calibri" w:hAnsi="Calibri" w:eastAsia="Calibri" w:cs="Calibri"/>
          <w:u w:val="single"/>
        </w:rPr>
        <w:t xml:space="preserve"> not only </w:t>
      </w:r>
      <w:r>
        <w:rPr>
          <w:rFonts w:ascii="Calibri" w:hAnsi="Calibri" w:eastAsia="Calibri" w:cs="Calibri"/>
          <w:highlight w:val="green"/>
          <w:u w:val="single"/>
        </w:rPr>
        <w:t>the</w:t>
      </w:r>
      <w:r>
        <w:rPr>
          <w:rFonts w:ascii="Calibri" w:hAnsi="Calibri" w:eastAsia="Calibri" w:cs="Calibri"/>
          <w:u w:val="single"/>
        </w:rPr>
        <w:t xml:space="preserve"> already </w:t>
      </w:r>
      <w:r>
        <w:rPr>
          <w:rFonts w:ascii="Calibri" w:hAnsi="Calibri" w:eastAsia="Calibri" w:cs="Calibri"/>
          <w:highlight w:val="green"/>
          <w:u w:val="single"/>
        </w:rPr>
        <w:t>disruptive nature of existing out-law discourses</w:t>
      </w:r>
      <w:r>
        <w:rPr>
          <w:rFonts w:ascii="Calibri" w:hAnsi="Calibri" w:eastAsia="Calibri" w:cs="Calibri"/>
          <w:sz w:val="14"/>
          <w:szCs w:val="14"/>
        </w:rPr>
        <w:t xml:space="preserve"> (the grounds for using out-law discourse), </w:t>
      </w:r>
      <w:r>
        <w:rPr>
          <w:rFonts w:ascii="Calibri" w:hAnsi="Calibri" w:eastAsia="Calibri" w:cs="Calibri"/>
          <w:u w:val="single"/>
        </w:rPr>
        <w:t>but also the impotence of contemporary critical discourse</w:t>
      </w:r>
      <w:r>
        <w:rPr>
          <w:rFonts w:ascii="Calibri" w:hAnsi="Calibri" w:eastAsia="Calibri" w:cs="Calibri"/>
          <w:sz w:val="14"/>
          <w:szCs w:val="14"/>
        </w:rPr>
        <w:t xml:space="preserv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t>
      </w:r>
      <w:r>
        <w:rPr>
          <w:rFonts w:ascii="Calibri" w:hAnsi="Calibri" w:eastAsia="Calibri" w:cs="Calibri"/>
          <w:sz w:val="14"/>
          <w:szCs w:val="14"/>
        </w:rPr>
        <w:lastRenderedPageBreak/>
        <w:t xml:space="preserve">way into the service of resistant groups. The key distinction I wish to make is that the existence of criticism (academic or self-generated) in resistance does not necessitate Sloop and Ono's move to a criticism of resistance. </w:t>
      </w:r>
      <w:r>
        <w:rPr>
          <w:rFonts w:ascii="Calibri" w:hAnsi="Calibri" w:eastAsia="Calibri" w:cs="Calibri"/>
          <w:u w:val="single"/>
        </w:rPr>
        <w:t xml:space="preserve">What Sloop and Ono </w:t>
      </w:r>
      <w:r>
        <w:rPr>
          <w:rFonts w:ascii="Calibri" w:hAnsi="Calibri" w:eastAsia="Calibri" w:cs="Calibri"/>
          <w:highlight w:val="green"/>
          <w:u w:val="single"/>
        </w:rPr>
        <w:t>fail to offer</w:t>
      </w:r>
      <w:r>
        <w:rPr>
          <w:rFonts w:ascii="Calibri" w:hAnsi="Calibri" w:eastAsia="Calibri" w:cs="Calibri"/>
          <w:u w:val="single"/>
        </w:rPr>
        <w:t xml:space="preserve"> is </w:t>
      </w:r>
      <w:r>
        <w:rPr>
          <w:rFonts w:ascii="Calibri" w:hAnsi="Calibri" w:eastAsia="Calibri" w:cs="Calibri"/>
          <w:highlight w:val="green"/>
          <w:u w:val="single"/>
        </w:rPr>
        <w:t xml:space="preserve">an </w:t>
      </w:r>
      <w:r>
        <w:rPr>
          <w:rFonts w:ascii="Calibri" w:hAnsi="Calibri" w:eastAsia="Calibri" w:cs="Calibri"/>
          <w:b/>
          <w:highlight w:val="green"/>
          <w:u w:val="single"/>
        </w:rPr>
        <w:t>adequate argument</w:t>
      </w:r>
      <w:r>
        <w:rPr>
          <w:rFonts w:ascii="Calibri" w:hAnsi="Calibri" w:eastAsia="Calibri" w:cs="Calibri"/>
          <w:highlight w:val="green"/>
          <w:u w:val="single"/>
        </w:rPr>
        <w:t xml:space="preserve"> for "taking public speaking out of the streets and studying it in the classroom</w:t>
      </w:r>
      <w:r>
        <w:rPr>
          <w:rFonts w:ascii="Calibri" w:hAnsi="Calibri" w:eastAsia="Calibri" w:cs="Calibri"/>
          <w:sz w:val="14"/>
          <w:szCs w:val="14"/>
        </w:rPr>
        <w:t xml:space="preserve">, </w:t>
      </w:r>
      <w:r>
        <w:rPr>
          <w:rFonts w:ascii="Calibri" w:hAnsi="Calibri" w:eastAsia="Calibri" w:cs="Calibri"/>
          <w:u w:val="single"/>
        </w:rPr>
        <w:t xml:space="preserve">for </w:t>
      </w:r>
      <w:r>
        <w:rPr>
          <w:rFonts w:ascii="Calibri" w:hAnsi="Calibri" w:eastAsia="Calibri" w:cs="Calibri"/>
          <w:highlight w:val="green"/>
          <w:u w:val="single"/>
        </w:rPr>
        <w:t>treating it</w:t>
      </w:r>
      <w:r>
        <w:rPr>
          <w:rFonts w:ascii="Calibri" w:hAnsi="Calibri" w:eastAsia="Calibri" w:cs="Calibri"/>
          <w:sz w:val="14"/>
          <w:szCs w:val="14"/>
        </w:rPr>
        <w:t xml:space="preserve"> less as an expression of protest" (Wander 1983, 3) and </w:t>
      </w:r>
      <w:r>
        <w:rPr>
          <w:rFonts w:ascii="Calibri" w:hAnsi="Calibri" w:eastAsia="Calibri" w:cs="Calibri"/>
          <w:u w:val="single"/>
        </w:rPr>
        <w:t xml:space="preserve">more </w:t>
      </w:r>
      <w:r>
        <w:rPr>
          <w:rFonts w:ascii="Calibri" w:hAnsi="Calibri" w:eastAsia="Calibri" w:cs="Calibri"/>
          <w:highlight w:val="green"/>
          <w:u w:val="single"/>
        </w:rPr>
        <w:t xml:space="preserve">as an object for analysis and reproduction within the </w:t>
      </w:r>
      <w:r>
        <w:rPr>
          <w:rFonts w:ascii="Calibri" w:hAnsi="Calibri" w:eastAsia="Calibri" w:cs="Calibri"/>
          <w:b/>
          <w:highlight w:val="green"/>
          <w:u w:val="single"/>
        </w:rPr>
        <w:t>political economy of the academy</w:t>
      </w:r>
      <w:r>
        <w:rPr>
          <w:rFonts w:ascii="Calibri" w:hAnsi="Calibri" w:eastAsia="Calibri" w:cs="Calibri"/>
          <w:sz w:val="14"/>
          <w:szCs w:val="14"/>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without addressing whether the critic should be examining out-law discourses in the first place While it is too early to suggest any definitive answer to the question of criticism of resistance, some preliminary arguments as to why critics should not pursue out-law discourses can be offered: (1) </w:t>
      </w:r>
      <w:r>
        <w:rPr>
          <w:rFonts w:ascii="Calibri" w:hAnsi="Calibri" w:eastAsia="Calibri" w:cs="Calibri"/>
          <w:highlight w:val="green"/>
          <w:u w:val="single"/>
        </w:rPr>
        <w:t>Hidden out-law discourses</w:t>
      </w:r>
      <w:r>
        <w:rPr>
          <w:rFonts w:ascii="Calibri" w:hAnsi="Calibri" w:eastAsia="Calibri" w:cs="Calibri"/>
          <w:u w:val="single"/>
        </w:rPr>
        <w:t xml:space="preserve"> may </w:t>
      </w:r>
      <w:r>
        <w:rPr>
          <w:rFonts w:ascii="Calibri" w:hAnsi="Calibri" w:eastAsia="Calibri" w:cs="Calibri"/>
          <w:highlight w:val="green"/>
          <w:u w:val="single"/>
        </w:rPr>
        <w:t>have good reasons to stay hidden</w:t>
      </w:r>
      <w:r>
        <w:rPr>
          <w:rFonts w:ascii="Calibri" w:hAnsi="Calibri" w:eastAsia="Calibri" w:cs="Calibri"/>
          <w:sz w:val="14"/>
          <w:szCs w:val="14"/>
          <w:highlight w:val="green"/>
        </w:rPr>
        <w:t>.</w:t>
      </w:r>
      <w:r>
        <w:rPr>
          <w:rFonts w:ascii="Calibri" w:hAnsi="Calibri" w:eastAsia="Calibri" w:cs="Calibri"/>
          <w:sz w:val="14"/>
          <w:szCs w:val="14"/>
        </w:rPr>
        <w:t xml:space="preserve"> Sloop and Ono specifically instruct us that "the logic of the out-law must constantly be searched for, brought forth" (66) and used to disrupt dominant practices. But </w:t>
      </w:r>
      <w:r>
        <w:rPr>
          <w:rFonts w:ascii="Calibri" w:hAnsi="Calibri" w:eastAsia="Calibri" w:cs="Calibri"/>
          <w:u w:val="single"/>
        </w:rPr>
        <w:t>are we to believe that all out-law discourses are prepared to mount such a challenge to the dominant cultural logic</w:t>
      </w:r>
      <w:r>
        <w:rPr>
          <w:rFonts w:ascii="Calibri" w:hAnsi="Calibri" w:eastAsia="Calibri" w:cs="Calibri"/>
          <w:sz w:val="14"/>
          <w:szCs w:val="14"/>
        </w:rPr>
        <w:t xml:space="preserve">? </w:t>
      </w:r>
      <w:r>
        <w:rPr>
          <w:rFonts w:ascii="Calibri" w:hAnsi="Calibri" w:eastAsia="Calibri" w:cs="Calibri"/>
          <w:u w:val="single"/>
        </w:rPr>
        <w:t>Or</w:t>
      </w:r>
      <w:r>
        <w:rPr>
          <w:rFonts w:ascii="Calibri" w:hAnsi="Calibri" w:eastAsia="Calibri" w:cs="Calibri"/>
          <w:sz w:val="14"/>
          <w:szCs w:val="14"/>
        </w:rPr>
        <w:t xml:space="preserve">, indeed, </w:t>
      </w:r>
      <w:r>
        <w:rPr>
          <w:rFonts w:ascii="Calibri" w:hAnsi="Calibri" w:eastAsia="Calibri" w:cs="Calibri"/>
          <w:u w:val="single"/>
        </w:rPr>
        <w:t>that</w:t>
      </w:r>
      <w:r>
        <w:rPr>
          <w:rFonts w:ascii="Calibri" w:hAnsi="Calibri" w:eastAsia="Calibri" w:cs="Calibri"/>
          <w:sz w:val="14"/>
          <w:szCs w:val="14"/>
        </w:rPr>
        <w:t xml:space="preserve"> the </w:t>
      </w:r>
      <w:r>
        <w:rPr>
          <w:rFonts w:ascii="Calibri" w:hAnsi="Calibri" w:eastAsia="Calibri" w:cs="Calibri"/>
          <w:u w:val="single"/>
        </w:rPr>
        <w:t>members of out-law communities are prepared to be brought into the arena of public surveillance in the service of reconstituting logics of litigation</w:t>
      </w:r>
      <w:r>
        <w:rPr>
          <w:rFonts w:ascii="Calibri" w:hAnsi="Calibri" w:eastAsia="Calibri" w:cs="Calibri"/>
          <w:sz w:val="14"/>
          <w:szCs w:val="14"/>
        </w:rPr>
        <w:t xml:space="preserve">? It seems highly unlikely that all divergent cultural groups have developed equally, or that all members of these groups share Sloop and Ono's "imperial impulse" (51) to promote their conceptions and practices of justice. (2) </w:t>
      </w:r>
      <w:r>
        <w:rPr>
          <w:rFonts w:ascii="Calibri" w:hAnsi="Calibri" w:eastAsia="Calibri" w:cs="Calibri"/>
          <w:highlight w:val="green"/>
          <w:u w:val="single"/>
        </w:rPr>
        <w:t>Academic</w:t>
      </w:r>
      <w:r>
        <w:rPr>
          <w:rFonts w:ascii="Calibri" w:hAnsi="Calibri" w:eastAsia="Calibri" w:cs="Calibri"/>
          <w:sz w:val="14"/>
          <w:szCs w:val="14"/>
        </w:rPr>
        <w:t xml:space="preserve"> critical </w:t>
      </w:r>
      <w:r>
        <w:rPr>
          <w:rFonts w:ascii="Calibri" w:hAnsi="Calibri" w:eastAsia="Calibri" w:cs="Calibri"/>
          <w:highlight w:val="green"/>
          <w:u w:val="single"/>
        </w:rPr>
        <w:t>discourse is not transparent</w:t>
      </w:r>
      <w:r>
        <w:rPr>
          <w:rFonts w:ascii="Calibri" w:hAnsi="Calibri" w:eastAsia="Calibri" w:cs="Calibri"/>
          <w:sz w:val="14"/>
          <w:szCs w:val="14"/>
        </w:rPr>
        <w:t xml:space="preserve">. Here I allude to the overall problem of translation (see Foucault 1994; Lyotard 1988; Lyotard and Thebaud 1985; Zabus 1995) as an extension of the previous concern. Critical discourse cannot become the medium of commensurability for divergent language games. </w:t>
      </w:r>
      <w:r>
        <w:rPr>
          <w:rFonts w:ascii="Calibri" w:hAnsi="Calibri" w:eastAsia="Calibri" w:cs="Calibri"/>
          <w:highlight w:val="green"/>
          <w:u w:val="single"/>
        </w:rPr>
        <w:t>Are we to believe that the "use" of out-law discourse by critics to disrupt dominant practices can fail to do violence to these diverse</w:t>
      </w:r>
      <w:r>
        <w:rPr>
          <w:rFonts w:ascii="Calibri" w:hAnsi="Calibri" w:eastAsia="Calibri" w:cs="Calibri"/>
          <w:sz w:val="14"/>
          <w:szCs w:val="14"/>
        </w:rPr>
        <w:t xml:space="preserve">/divergent </w:t>
      </w:r>
      <w:r>
        <w:rPr>
          <w:rFonts w:ascii="Calibri" w:hAnsi="Calibri" w:eastAsia="Calibri" w:cs="Calibri"/>
          <w:highlight w:val="green"/>
          <w:u w:val="single"/>
        </w:rPr>
        <w:t>logics</w:t>
      </w:r>
      <w:r>
        <w:rPr>
          <w:rFonts w:ascii="Calibri" w:hAnsi="Calibri" w:eastAsia="Calibri" w:cs="Calibri"/>
          <w:u w:val="single"/>
        </w:rPr>
        <w:t xml:space="preserve">? </w:t>
      </w:r>
      <w:r>
        <w:rPr>
          <w:rFonts w:ascii="Calibri" w:hAnsi="Calibri" w:eastAsia="Calibri" w:cs="Calibri"/>
          <w:highlight w:val="green"/>
          <w:u w:val="single"/>
        </w:rPr>
        <w:t>Are out-law discourses</w:t>
      </w:r>
      <w:r>
        <w:rPr>
          <w:rFonts w:ascii="Calibri" w:hAnsi="Calibri" w:eastAsia="Calibri" w:cs="Calibri"/>
          <w:u w:val="single"/>
        </w:rPr>
        <w:t xml:space="preserve"> merely </w:t>
      </w:r>
      <w:r>
        <w:rPr>
          <w:rFonts w:ascii="Calibri" w:hAnsi="Calibri" w:eastAsia="Calibri" w:cs="Calibri"/>
          <w:highlight w:val="green"/>
          <w:u w:val="single"/>
        </w:rPr>
        <w:t>tools to be exploited and discarded in the pursuit of returning leftist academic discourse to the center</w:t>
      </w:r>
      <w:r>
        <w:rPr>
          <w:rFonts w:ascii="Calibri" w:hAnsi="Calibri" w:eastAsia="Calibri" w:cs="Calibri"/>
          <w:u w:val="single"/>
        </w:rPr>
        <w:t>?</w:t>
      </w:r>
      <w:r>
        <w:rPr>
          <w:rFonts w:ascii="Calibri" w:hAnsi="Calibri" w:eastAsia="Calibri" w:cs="Calibri"/>
          <w:sz w:val="14"/>
          <w:szCs w:val="14"/>
        </w:rPr>
        <w:t xml:space="preserve"> (3) Perhaps the academic translation of out-law discourse could be true to the internal logic of the out-law community. And, perhaps the re-presentation of out-law logic within the academic community will bestow a degree of legitimacy on the out-law community. Nonetheless, </w:t>
      </w:r>
      <w:r>
        <w:rPr>
          <w:rFonts w:ascii="Calibri" w:hAnsi="Calibri" w:eastAsia="Calibri" w:cs="Calibri"/>
          <w:u w:val="single"/>
        </w:rPr>
        <w:t>the effect of legitimizing out-law discourse is unknown and potentially destructive</w:t>
      </w:r>
      <w:r>
        <w:rPr>
          <w:rFonts w:ascii="Calibri" w:hAnsi="Calibri" w:eastAsia="Calibri" w:cs="Calibri"/>
          <w:sz w:val="14"/>
          <w:szCs w:val="14"/>
        </w:rPr>
        <w:t xml:space="preserve">. </w:t>
      </w:r>
      <w:r>
        <w:rPr>
          <w:rFonts w:ascii="Calibri" w:hAnsi="Calibri" w:eastAsia="Calibri" w:cs="Calibri"/>
          <w:highlight w:val="green"/>
          <w:u w:val="single"/>
        </w:rPr>
        <w:t>In an effort to siphon the political energy of out-law discourse into academic practice</w:t>
      </w:r>
      <w:r>
        <w:rPr>
          <w:rFonts w:ascii="Calibri" w:hAnsi="Calibri" w:eastAsia="Calibri" w:cs="Calibri"/>
          <w:sz w:val="14"/>
          <w:szCs w:val="14"/>
        </w:rPr>
        <w:t xml:space="preserve">, </w:t>
      </w:r>
      <w:r>
        <w:rPr>
          <w:rFonts w:ascii="Calibri" w:hAnsi="Calibri" w:eastAsia="Calibri" w:cs="Calibri"/>
          <w:highlight w:val="green"/>
          <w:u w:val="single"/>
        </w:rPr>
        <w:t>we may ultimately destroy the dissatisfaction that serves as a</w:t>
      </w:r>
      <w:r>
        <w:rPr>
          <w:rFonts w:ascii="Calibri" w:hAnsi="Calibri" w:eastAsia="Calibri" w:cs="Calibri"/>
          <w:sz w:val="14"/>
          <w:szCs w:val="14"/>
          <w:highlight w:val="green"/>
        </w:rPr>
        <w:t xml:space="preserve"> </w:t>
      </w:r>
      <w:r>
        <w:rPr>
          <w:rFonts w:ascii="Calibri" w:hAnsi="Calibri" w:eastAsia="Calibri" w:cs="Calibri"/>
          <w:highlight w:val="green"/>
          <w:u w:val="single"/>
        </w:rPr>
        <w:t>cathexis for these</w:t>
      </w:r>
      <w:r>
        <w:rPr>
          <w:rFonts w:ascii="Calibri" w:hAnsi="Calibri" w:eastAsia="Calibri" w:cs="Calibri"/>
          <w:u w:val="single"/>
        </w:rPr>
        <w:t xml:space="preserve"> out-law </w:t>
      </w:r>
      <w:r>
        <w:rPr>
          <w:rFonts w:ascii="Calibri" w:hAnsi="Calibri" w:eastAsia="Calibri" w:cs="Calibri"/>
          <w:highlight w:val="green"/>
          <w:u w:val="single"/>
        </w:rPr>
        <w:t>discourses</w:t>
      </w:r>
      <w:r>
        <w:rPr>
          <w:rFonts w:ascii="Calibri" w:hAnsi="Calibri" w:eastAsia="Calibri" w:cs="Calibri"/>
          <w:sz w:val="14"/>
          <w:szCs w:val="14"/>
        </w:rPr>
        <w:t xml:space="preserve">. </w:t>
      </w:r>
      <w:r>
        <w:rPr>
          <w:rFonts w:ascii="Calibri" w:hAnsi="Calibri" w:eastAsia="Calibri" w:cs="Calibri"/>
          <w:u w:val="single"/>
        </w:rPr>
        <w:t>It seems possible that academic recognition might take the place of struggle for material opportunities</w:t>
      </w:r>
      <w:r>
        <w:rPr>
          <w:rFonts w:ascii="Calibri" w:hAnsi="Calibri" w:eastAsia="Calibri" w:cs="Calibri"/>
          <w:sz w:val="14"/>
          <w:szCs w:val="14"/>
        </w:rPr>
        <w:t xml:space="preserve"> (see Fraser 1997). But, </w:t>
      </w:r>
      <w:r>
        <w:rPr>
          <w:rFonts w:ascii="Calibri" w:hAnsi="Calibri" w:eastAsia="Calibri" w:cs="Calibri"/>
          <w:highlight w:val="green"/>
          <w:u w:val="single"/>
        </w:rPr>
        <w:t>will academic legitimation create any material changes in the conditions of out-law communities?</w:t>
      </w:r>
      <w:r>
        <w:rPr>
          <w:rFonts w:ascii="Calibri" w:hAnsi="Calibri" w:eastAsia="Calibri" w:cs="Calibri"/>
          <w:sz w:val="14"/>
          <w:szCs w:val="14"/>
        </w:rPr>
        <w:t xml:space="preserve"> </w:t>
      </w:r>
      <w:r>
        <w:rPr>
          <w:rFonts w:ascii="Calibri" w:hAnsi="Calibri" w:eastAsia="Calibri" w:cs="Calibri"/>
          <w:u w:val="single"/>
        </w:rPr>
        <w:t>I mean to suggest</w:t>
      </w:r>
      <w:r>
        <w:rPr>
          <w:rFonts w:ascii="Calibri" w:hAnsi="Calibri" w:eastAsia="Calibri" w:cs="Calibri"/>
          <w:sz w:val="14"/>
          <w:szCs w:val="14"/>
        </w:rPr>
        <w:t xml:space="preserve">, not that it is better to allow the out-law community to suffer for its cause, but rather </w:t>
      </w:r>
      <w:r>
        <w:rPr>
          <w:rFonts w:ascii="Calibri" w:hAnsi="Calibri" w:eastAsia="Calibri" w:cs="Calibri"/>
          <w:u w:val="single"/>
        </w:rPr>
        <w:t xml:space="preserve">that </w:t>
      </w:r>
      <w:r>
        <w:rPr>
          <w:rFonts w:ascii="Calibri" w:hAnsi="Calibri" w:eastAsia="Calibri" w:cs="Calibri"/>
          <w:highlight w:val="green"/>
          <w:u w:val="single"/>
        </w:rPr>
        <w:t>incorporating the struggle into an</w:t>
      </w:r>
      <w:r>
        <w:rPr>
          <w:rFonts w:ascii="Calibri" w:hAnsi="Calibri" w:eastAsia="Calibri" w:cs="Calibri"/>
          <w:sz w:val="14"/>
          <w:szCs w:val="14"/>
        </w:rPr>
        <w:t xml:space="preserve"> (admittedly) </w:t>
      </w:r>
      <w:r>
        <w:rPr>
          <w:rFonts w:ascii="Calibri" w:hAnsi="Calibri" w:eastAsia="Calibri" w:cs="Calibri"/>
          <w:highlight w:val="green"/>
          <w:u w:val="single"/>
        </w:rPr>
        <w:t xml:space="preserve">impotent academic critique </w:t>
      </w:r>
      <w:r>
        <w:rPr>
          <w:rFonts w:ascii="Calibri" w:hAnsi="Calibri" w:eastAsia="Calibri" w:cs="Calibri"/>
          <w:b/>
          <w:highlight w:val="green"/>
          <w:u w:val="single"/>
        </w:rPr>
        <w:t>does not offer a prima facie alternative</w:t>
      </w:r>
      <w:r>
        <w:rPr>
          <w:rFonts w:ascii="Calibri" w:hAnsi="Calibri" w:eastAsia="Calibri" w:cs="Calibri"/>
          <w:sz w:val="14"/>
          <w:szCs w:val="14"/>
        </w:rPr>
        <w:t xml:space="preserve"> The concerns raised here are not designed to dismiss Sloop and Ono's provocative essay. The divo-gent critical logic they outline deserves careful consideration within the critical conmninity, and it is my hope that the concerns I raise may help to further probleoiatize the relationship between resistance and rhetorical criticism. As I have suggested, my purpose is to use the provocative nature of Sloop and Ono's project to extend disputes regarding the ends of rhetorical criticism. Diverging perspectives on the ends of criticism have been categorized by Barbara Wamick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For Sloop and Ono, the critic is an interested party, discerning (and at times disputing) the underlying values and forces contained within a discourse. Additionally, however, the out-law discourse critic is an analyst focusing on the hidden, aberrant texts of the out-law and "render[ing] an incoherent or esoteric text comprehensible" (Wamick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Pr>
          <w:rFonts w:ascii="Calibri" w:hAnsi="Calibri" w:eastAsia="Calibri" w:cs="Calibri"/>
          <w:b/>
          <w:highlight w:val="green"/>
          <w:u w:val="single"/>
        </w:rPr>
        <w:t>Turning covert out-law discourses into objects of our analyses runs the risk of subjecting them both to the gaze of the dominant and to the power relations of the academy</w:t>
      </w:r>
      <w:r>
        <w:rPr>
          <w:rFonts w:ascii="Calibri" w:hAnsi="Calibri" w:eastAsia="Calibri" w:cs="Calibri"/>
          <w:sz w:val="14"/>
          <w:szCs w:val="14"/>
        </w:rPr>
        <w:t xml:space="preserve">. </w:t>
      </w:r>
      <w:r>
        <w:rPr>
          <w:rFonts w:ascii="Calibri" w:hAnsi="Calibri" w:eastAsia="Calibri" w:cs="Calibri"/>
          <w:u w:val="single"/>
        </w:rPr>
        <w:t>As</w:t>
      </w:r>
      <w:r>
        <w:rPr>
          <w:rFonts w:ascii="Calibri" w:hAnsi="Calibri" w:eastAsia="Calibri" w:cs="Calibri"/>
          <w:sz w:val="14"/>
          <w:szCs w:val="14"/>
        </w:rPr>
        <w:t xml:space="preserve"> the works of Michel </w:t>
      </w:r>
      <w:r>
        <w:rPr>
          <w:rFonts w:ascii="Calibri" w:hAnsi="Calibri" w:eastAsia="Calibri" w:cs="Calibri"/>
          <w:u w:val="single"/>
        </w:rPr>
        <w:t>Foucault</w:t>
      </w:r>
      <w:r>
        <w:rPr>
          <w:rFonts w:ascii="Calibri" w:hAnsi="Calibri" w:eastAsia="Calibri" w:cs="Calibri"/>
          <w:sz w:val="14"/>
          <w:szCs w:val="14"/>
        </w:rPr>
        <w:t xml:space="preserve"> (especially 1979, 1980) aptly </w:t>
      </w:r>
      <w:r>
        <w:rPr>
          <w:rFonts w:ascii="Calibri" w:hAnsi="Calibri" w:eastAsia="Calibri" w:cs="Calibri"/>
          <w:u w:val="single"/>
        </w:rPr>
        <w:t>illustrate</w:t>
      </w:r>
      <w:r>
        <w:rPr>
          <w:rFonts w:ascii="Calibri" w:hAnsi="Calibri" w:eastAsia="Calibri" w:cs="Calibri"/>
          <w:sz w:val="14"/>
          <w:szCs w:val="14"/>
        </w:rPr>
        <w:t xml:space="preserve">, </w:t>
      </w:r>
      <w:r>
        <w:rPr>
          <w:rFonts w:ascii="Calibri" w:hAnsi="Calibri" w:eastAsia="Calibri" w:cs="Calibri"/>
          <w:u w:val="single"/>
        </w:rPr>
        <w:t xml:space="preserve">practices presented as extending such noble goals as emancipation and humanity </w:t>
      </w:r>
      <w:r>
        <w:rPr>
          <w:rFonts w:ascii="Calibri" w:hAnsi="Calibri" w:eastAsia="Calibri" w:cs="Calibri"/>
          <w:highlight w:val="green"/>
          <w:u w:val="single"/>
        </w:rPr>
        <w:t>may endow institutions of confinement and objectification</w:t>
      </w:r>
      <w:r>
        <w:rPr>
          <w:rFonts w:ascii="Calibri" w:hAnsi="Calibri" w:eastAsia="Calibri" w:cs="Calibri"/>
          <w:sz w:val="14"/>
          <w:szCs w:val="14"/>
        </w:rPr>
        <w:t>. Any justification for studying out-law discourse because doing so may extend our political usefulness in the pursuit of emancipatory goals must not obscure the already existing power relations authorizing such studies. Our attempts to extend our domains of knowledge and expertise (authority) must not be pursued unrefiexively.</w:t>
      </w:r>
    </w:p>
    <w:p xmlns:wp14="http://schemas.microsoft.com/office/word/2010/wordml" w:rsidR="00054398" w:rsidP="00054398" w:rsidRDefault="00054398" w14:paraId="74869460" wp14:textId="77777777"/>
    <w:p xmlns:wp14="http://schemas.microsoft.com/office/word/2010/wordml" w:rsidR="00054398" w:rsidP="00054398" w:rsidRDefault="00054398" w14:paraId="187F57B8" wp14:textId="77777777"/>
    <w:p xmlns:wp14="http://schemas.microsoft.com/office/word/2010/wordml" w:rsidR="00054398" w:rsidP="00054398" w:rsidRDefault="00054398" w14:paraId="54738AF4" wp14:textId="77777777"/>
    <w:p xmlns:wp14="http://schemas.microsoft.com/office/word/2010/wordml" w:rsidR="00054398" w:rsidP="00054398" w:rsidRDefault="00054398" w14:paraId="46ABBD8F" wp14:textId="77777777"/>
    <w:p xmlns:wp14="http://schemas.microsoft.com/office/word/2010/wordml" w:rsidR="00054398" w:rsidP="00054398" w:rsidRDefault="00054398" w14:paraId="06BBA33E" wp14:textId="77777777"/>
    <w:p xmlns:wp14="http://schemas.microsoft.com/office/word/2010/wordml" w:rsidR="00054398" w:rsidP="00054398" w:rsidRDefault="00054398" w14:paraId="464FCBC1" wp14:textId="77777777"/>
    <w:p xmlns:wp14="http://schemas.microsoft.com/office/word/2010/wordml" w:rsidR="00054398" w:rsidP="00054398" w:rsidRDefault="00054398" w14:paraId="5C8C6B09" wp14:textId="77777777"/>
    <w:p xmlns:wp14="http://schemas.microsoft.com/office/word/2010/wordml" w:rsidR="00054398" w:rsidP="00054398" w:rsidRDefault="00054398" w14:paraId="3382A365" wp14:textId="77777777"/>
    <w:p xmlns:wp14="http://schemas.microsoft.com/office/word/2010/wordml" w:rsidR="00054398" w:rsidP="00054398" w:rsidRDefault="00054398" w14:paraId="5C71F136" wp14:textId="77777777"/>
    <w:p xmlns:wp14="http://schemas.microsoft.com/office/word/2010/wordml" w:rsidR="00054398" w:rsidP="00054398" w:rsidRDefault="00054398" w14:paraId="3165C44B" wp14:textId="77777777">
      <w:pPr>
        <w:pStyle w:val="Heading3"/>
      </w:pPr>
      <w:r>
        <w:lastRenderedPageBreak/>
        <w:t>L: Detention (SP2)</w:t>
      </w:r>
    </w:p>
    <w:p xmlns:wp14="http://schemas.microsoft.com/office/word/2010/wordml" w:rsidR="00054398" w:rsidP="00054398" w:rsidRDefault="00054398" w14:paraId="2AE13224" wp14:textId="77777777">
      <w:pPr>
        <w:pStyle w:val="Heading4"/>
      </w:pPr>
      <w:r>
        <w:t>Solvency take out-- the 1ac’s critique does not prevent incarceration or detention but is in fact its primary mode of operation. As an act of enclosure, critique and its professionalism initiates property and therefore tightens the circle of the prison and politics into a chokehold. At best, the aff merely hides the memory of ongoing conquest further within the critical archives, consolidating the union of settlement and enclosure and perpetuating the very violence it attempts to disavow.</w:t>
      </w:r>
    </w:p>
    <w:p xmlns:wp14="http://schemas.microsoft.com/office/word/2010/wordml" w:rsidR="00054398" w:rsidP="00054398" w:rsidRDefault="00054398" w14:paraId="741F701C" wp14:textId="77777777">
      <w:r w:rsidRPr="001710C3">
        <w:rPr>
          <w:rStyle w:val="Style13ptBold"/>
        </w:rPr>
        <w:t>Harney and Moten 13</w:t>
      </w:r>
      <w:r>
        <w:t xml:space="preserve"> [The Undercommons: Fugitive Planning and Black Study, Minor Compositions, p 41-42 //tjb]</w:t>
      </w:r>
    </w:p>
    <w:p xmlns:wp14="http://schemas.microsoft.com/office/word/2010/wordml" w:rsidRPr="00E11F0B" w:rsidR="00054398" w:rsidP="00054398" w:rsidRDefault="00054398" w14:paraId="07701B18" wp14:textId="77777777">
      <w:pPr>
        <w:rPr>
          <w:rStyle w:val="StyleUnderline"/>
        </w:rPr>
      </w:pPr>
      <w:r>
        <w:rPr>
          <w:sz w:val="20"/>
          <w:szCs w:val="20"/>
        </w:rPr>
        <w:t xml:space="preserve">THE UNIVERSITY IS THE SITE OF THE SOCIAL REPRODUCTION OF CONQUEST DENIAL </w:t>
      </w:r>
      <w:r>
        <w:t xml:space="preserve">Here </w:t>
      </w:r>
      <w:r w:rsidRPr="00E11F0B">
        <w:rPr>
          <w:rStyle w:val="StyleUnderline"/>
        </w:rPr>
        <w:t>one comes face to face with the roots of professional and criti- cal commitment to negligence, to the depths of the impulse to deny the thought of the internal outside among critical intellectuals, and the necessity for professionals to question without question.</w:t>
      </w:r>
      <w:r>
        <w:t xml:space="preserve"> What- ever else they do, </w:t>
      </w:r>
      <w:r>
        <w:rPr>
          <w:b/>
          <w:u w:val="single"/>
        </w:rPr>
        <w:t>critical intellectuals who have found space in the university are always already performing the denial of the new society when they deny the undercommons, when they find that space on the surface of the university, and when they join the conquest denial by improving that space.</w:t>
      </w:r>
      <w:r>
        <w:t xml:space="preserve"> Before they criticise the aesthetic and the Aes- thetic, the state and the State, history and History, </w:t>
      </w:r>
      <w:r>
        <w:rPr>
          <w:b/>
          <w:u w:val="single"/>
        </w:rPr>
        <w:t>they have already practiced the operation of denying what makes these categories possible in the underlabor of their social being as critical academics. The slogan on the Left, then, “universities, not jails,” marks a choice that may not be possible.</w:t>
      </w:r>
      <w:r>
        <w:t xml:space="preserve"> In other words, </w:t>
      </w:r>
      <w:r>
        <w:rPr>
          <w:b/>
          <w:u w:val="single"/>
        </w:rPr>
        <w:t>perhaps more universities promote more jails.</w:t>
      </w:r>
      <w:r>
        <w:t xml:space="preserve"> Perhaps it is necessary finally to see that </w:t>
      </w:r>
      <w:r>
        <w:rPr>
          <w:b/>
          <w:u w:val="single"/>
        </w:rPr>
        <w:t>the university produces incarceration as the product of its negligence.</w:t>
      </w:r>
      <w:r>
        <w:t xml:space="preserve"> </w:t>
      </w:r>
      <w:r>
        <w:rPr>
          <w:b/>
          <w:u w:val="single"/>
        </w:rPr>
        <w:t>Perhaps there is another relation between the University and the Prison – be- yond simple opposition or family resemblance – that the undercom- mons reserves as the object and inhabitation of another abolitionism.</w:t>
      </w:r>
      <w:r>
        <w:t xml:space="preserve"> </w:t>
      </w:r>
      <w:r w:rsidRPr="00E11F0B">
        <w:rPr>
          <w:rStyle w:val="StyleUnderline"/>
        </w:rPr>
        <w:t>What might appear as the professionalization of the American uni- versity, our starting point, now might better be understood as a cer- tain intensification of method in the Universitas, a tightening of the circle</w:t>
      </w:r>
      <w:r>
        <w:t xml:space="preserve">. Professionalization cannot take over the American university – it is the critical approach of the university, its Universitas. And in- deed, it appears now that this state with its peculiar violent hegemony must deny what Foucault called in his 1975-76 lectures the race war. </w:t>
      </w:r>
      <w:r w:rsidRPr="00E11F0B">
        <w:rPr>
          <w:rStyle w:val="StyleUnderline"/>
        </w:rPr>
        <w:t>War on the commitment to war breaks open the memory of the con- quest</w:t>
      </w:r>
      <w:r>
        <w:t xml:space="preserve">. </w:t>
      </w:r>
      <w:r>
        <w:rPr>
          <w:b/>
          <w:u w:val="single"/>
        </w:rPr>
        <w:t>The new American studies should do this, too, if it is to be not just a people’s history of the same country but a movement against the possibility of a country, or any other; not just property justly distributed on the border but property unknown.</w:t>
      </w:r>
      <w:r>
        <w:t xml:space="preserve"> And there are other spaces situated between the Universitas and the undercommons, spaces that are characterized precisely by not having space. Thus the fire aimed at black studies by everyone from William Bennett to Henry Louis Gates Jr., and the proliferation of Centers without affliation to the memory of the conquest, to its living guardianship, to the protection of its honor, to the nights of labor, in the undercommons. </w:t>
      </w:r>
      <w:r>
        <w:rPr>
          <w:b/>
          <w:u w:val="single"/>
        </w:rPr>
        <w:t>The university, then, is not the opposite of the prison, since they are both involved in their way with the reduction and command of the social individual.</w:t>
      </w:r>
      <w:r>
        <w:t xml:space="preserve"> And indeed, under the circumstances, </w:t>
      </w:r>
      <w:r>
        <w:rPr>
          <w:b/>
          <w:u w:val="single"/>
        </w:rPr>
        <w:t>more universities and fewer prisons would, it has to be concluded, mean the memory of the war was being further lost, and living unconquered, conquered labor abandoned to its lowdown fate.</w:t>
      </w:r>
      <w:r>
        <w:t xml:space="preserve"> </w:t>
      </w:r>
      <w:r w:rsidRPr="00E11F0B">
        <w:rPr>
          <w:rStyle w:val="StyleUnderline"/>
        </w:rPr>
        <w:t xml:space="preserve">Instead, the under- </w:t>
      </w:r>
      <w:r w:rsidRPr="00E11F0B">
        <w:rPr>
          <w:rStyle w:val="StyleUnderline"/>
        </w:rPr>
        <w:lastRenderedPageBreak/>
        <w:t xml:space="preserve">commons takes the prison as a secret about the conquest, but a secret, as Sara Ahmed says, whose growing secrecy is its power, its ability to keep a distance between it and its revelation, a secret that calls into being the prophetic, a secret held in common, organized as secret, calling into being the prophetic organization. </w:t>
      </w:r>
    </w:p>
    <w:p xmlns:wp14="http://schemas.microsoft.com/office/word/2010/wordml" w:rsidR="00054398" w:rsidP="00054398" w:rsidRDefault="00054398" w14:paraId="62199465" wp14:textId="77777777">
      <w:pPr>
        <w:rPr>
          <w:rFonts w:ascii="Calibri" w:hAnsi="Calibri" w:eastAsia="Calibri" w:cs="Calibri"/>
        </w:rPr>
      </w:pPr>
    </w:p>
    <w:p xmlns:wp14="http://schemas.microsoft.com/office/word/2010/wordml" w:rsidR="00054398" w:rsidP="00054398" w:rsidRDefault="00054398" w14:paraId="3AA2A12A" wp14:textId="77777777">
      <w:pPr>
        <w:pStyle w:val="Heading3"/>
      </w:pPr>
      <w:r>
        <w:lastRenderedPageBreak/>
        <w:t>L: Excellence (SP1)</w:t>
      </w:r>
    </w:p>
    <w:p xmlns:wp14="http://schemas.microsoft.com/office/word/2010/wordml" w:rsidR="00054398" w:rsidP="00054398" w:rsidRDefault="00054398" w14:paraId="0DA123B1" wp14:textId="77777777">
      <w:pPr>
        <w:rPr>
          <w:sz w:val="20"/>
          <w:szCs w:val="20"/>
        </w:rPr>
      </w:pPr>
    </w:p>
    <w:p xmlns:wp14="http://schemas.microsoft.com/office/word/2010/wordml" w:rsidR="00054398" w:rsidP="00054398" w:rsidRDefault="00054398" w14:paraId="05B5A70E" wp14:textId="77777777">
      <w:pPr>
        <w:pStyle w:val="Heading4"/>
      </w:pPr>
      <w:r>
        <w:t xml:space="preserve"> “Excellence” is a vacuous concept that can be applied to everything and nothing at the same time—Discourses of qualification and merit are not liberatory but instead denotes a bureaucratic capacity for the university and institutions of capital to simultaneously include and discipline difference.</w:t>
      </w:r>
    </w:p>
    <w:p xmlns:wp14="http://schemas.microsoft.com/office/word/2010/wordml" w:rsidR="00054398" w:rsidP="00054398" w:rsidRDefault="00054398" w14:paraId="37B147B8" wp14:textId="77777777">
      <w:pPr>
        <w:rPr>
          <w:sz w:val="20"/>
          <w:szCs w:val="20"/>
        </w:rPr>
      </w:pPr>
      <w:r w:rsidRPr="001710C3">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79-80]</w:t>
      </w: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4C4CEA3D" wp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19B0FEBA" wp14:textId="77777777">
      <w:pPr>
        <w:rPr>
          <w:sz w:val="20"/>
          <w:szCs w:val="20"/>
        </w:rPr>
      </w:pPr>
      <w:r>
        <w:rPr>
          <w:sz w:val="20"/>
          <w:szCs w:val="20"/>
        </w:rPr>
        <w:t xml:space="preserve">Given </w:t>
      </w:r>
      <w:r>
        <w:rPr>
          <w:sz w:val="20"/>
          <w:szCs w:val="20"/>
          <w:u w:val="single"/>
        </w:rPr>
        <w:t>contemporary conversations about the category "excellence</w:t>
      </w:r>
      <w:r>
        <w:rPr>
          <w:sz w:val="20"/>
          <w:szCs w:val="20"/>
        </w:rPr>
        <w:t>" -ones that "</w:t>
      </w:r>
      <w:r>
        <w:rPr>
          <w:sz w:val="20"/>
          <w:szCs w:val="20"/>
          <w:u w:val="single"/>
        </w:rPr>
        <w:t xml:space="preserve">tie the University to a </w:t>
      </w:r>
      <w:r>
        <w:rPr>
          <w:sz w:val="26"/>
          <w:szCs w:val="26"/>
          <w:u w:val="single"/>
        </w:rPr>
        <w:t xml:space="preserve">... </w:t>
      </w:r>
      <w:r>
        <w:rPr>
          <w:sz w:val="20"/>
          <w:szCs w:val="20"/>
          <w:u w:val="single"/>
        </w:rPr>
        <w:t>net of bureaucratic institutions</w:t>
      </w:r>
      <w:r>
        <w:rPr>
          <w:sz w:val="20"/>
          <w:szCs w:val="20"/>
        </w:rPr>
        <w:t xml:space="preserve">" in the 1990s-"Black Studies: Bringing Back the Person" </w:t>
      </w:r>
      <w:r>
        <w:rPr>
          <w:sz w:val="18"/>
          <w:szCs w:val="18"/>
        </w:rPr>
        <w:t xml:space="preserve">is </w:t>
      </w:r>
      <w:r>
        <w:rPr>
          <w:sz w:val="20"/>
          <w:szCs w:val="20"/>
        </w:rPr>
        <w:t>a curious artifact indeed.</w:t>
      </w:r>
      <w:r>
        <w:rPr>
          <w:sz w:val="12"/>
          <w:szCs w:val="12"/>
        </w:rPr>
        <w:t xml:space="preserve">4 </w:t>
      </w:r>
      <w:r>
        <w:rPr>
          <w:sz w:val="20"/>
          <w:szCs w:val="20"/>
        </w:rPr>
        <w:t xml:space="preserve">Written during the open admissions takeover, the essay situates </w:t>
      </w:r>
      <w:r>
        <w:rPr>
          <w:sz w:val="20"/>
          <w:szCs w:val="20"/>
          <w:u w:val="single"/>
        </w:rPr>
        <w:t>the discourse of excellence</w:t>
      </w:r>
      <w:r>
        <w:rPr>
          <w:sz w:val="20"/>
          <w:szCs w:val="20"/>
        </w:rPr>
        <w:t xml:space="preserve"> much earlier than the end of the twentieth cen- tury, reading that discourse </w:t>
      </w:r>
      <w:r>
        <w:rPr>
          <w:sz w:val="20"/>
          <w:szCs w:val="20"/>
          <w:u w:val="single"/>
        </w:rPr>
        <w:t>as part of a racial formation composed of a student movement, a university bureaucracy, and histories of racial dom- ination</w:t>
      </w:r>
      <w:r>
        <w:rPr>
          <w:sz w:val="20"/>
          <w:szCs w:val="20"/>
        </w:rPr>
        <w:t xml:space="preserve">. In her discussion of faculty and "Third World students who wanted to inaugurate an Open Admissions policy," for instance, </w:t>
      </w:r>
      <w:r>
        <w:rPr>
          <w:sz w:val="20"/>
          <w:szCs w:val="20"/>
          <w:u w:val="single"/>
        </w:rPr>
        <w:t xml:space="preserve">Jordan argues that those opposed to open admissions believed that the policy "would cat- apult the university into a trough of mediocrity"s and "preclude </w:t>
      </w:r>
      <w:r>
        <w:rPr>
          <w:i/>
          <w:sz w:val="18"/>
          <w:szCs w:val="18"/>
          <w:u w:val="single"/>
        </w:rPr>
        <w:t xml:space="preserve">excellence: </w:t>
      </w:r>
      <w:r>
        <w:rPr>
          <w:sz w:val="20"/>
          <w:szCs w:val="20"/>
          <w:u w:val="single"/>
        </w:rPr>
        <w:t>excellence of standards and of achievement.</w:t>
      </w:r>
      <w:r>
        <w:rPr>
          <w:sz w:val="20"/>
          <w:szCs w:val="20"/>
        </w:rPr>
        <w:t>"6 If a concept like excellence was powerful enough to mobilize an opposition, why have contemporary discussions occluded that essay, the open admissions movement, and this story of excellence? Part of the answer to that question lies in the framework that has been established for talking about the category. To begin with, Bill Readings's The University in Ruins has-more than any other book-shaped how we conceptualize discourses of excellence in and outside the contemporary Western university. Published in 1996, the book argues that</w:t>
      </w:r>
      <w:r>
        <w:rPr>
          <w:b/>
          <w:sz w:val="20"/>
          <w:szCs w:val="20"/>
          <w:u w:val="single"/>
        </w:rPr>
        <w:t xml:space="preserve"> excellence is the "watchword of the University" and has become its "unifying princi-ple."</w:t>
      </w:r>
      <w:r>
        <w:rPr>
          <w:sz w:val="20"/>
          <w:szCs w:val="20"/>
        </w:rPr>
        <w:t>? Readings maintains that "</w:t>
      </w:r>
      <w:r>
        <w:rPr>
          <w:b/>
          <w:sz w:val="20"/>
          <w:szCs w:val="20"/>
          <w:u w:val="single"/>
        </w:rPr>
        <w:t xml:space="preserve">excellence" has become the academy's keyword because of the ways in which multinational corporations dissem- inate "excellence" as a standard for all practices within the university- from the management of parking services to the significance of scholar- ship. "As an integrating principle," </w:t>
      </w:r>
      <w:r>
        <w:rPr>
          <w:sz w:val="20"/>
          <w:szCs w:val="20"/>
        </w:rPr>
        <w:t>he states, "</w:t>
      </w:r>
      <w:r>
        <w:rPr>
          <w:b/>
          <w:sz w:val="20"/>
          <w:szCs w:val="20"/>
          <w:u w:val="single"/>
        </w:rPr>
        <w:t>excellence has the singular advantage of being entirely meaningless, or to put it more precisely, non- referential</w:t>
      </w:r>
      <w:r>
        <w:rPr>
          <w:sz w:val="20"/>
          <w:szCs w:val="20"/>
        </w:rPr>
        <w:t>" (22). For Readings, "</w:t>
      </w:r>
      <w:r>
        <w:rPr>
          <w:b/>
          <w:sz w:val="20"/>
          <w:szCs w:val="20"/>
          <w:u w:val="single"/>
        </w:rPr>
        <w:t>excellence" can thus be applied anywhere and to anything</w:t>
      </w:r>
      <w:r>
        <w:rPr>
          <w:sz w:val="20"/>
          <w:szCs w:val="20"/>
        </w:rPr>
        <w:t xml:space="preserve">. </w:t>
      </w:r>
      <w:r>
        <w:rPr>
          <w:b/>
          <w:sz w:val="20"/>
          <w:szCs w:val="20"/>
          <w:u w:val="single"/>
        </w:rPr>
        <w:t>Its power comes not from the content that it bears but from the wide application that its lack of content affords.</w:t>
      </w:r>
      <w:r>
        <w:rPr>
          <w:sz w:val="20"/>
          <w:szCs w:val="20"/>
        </w:rPr>
        <w:t xml:space="preserve"> </w:t>
      </w:r>
      <w:r>
        <w:rPr>
          <w:sz w:val="20"/>
          <w:szCs w:val="20"/>
          <w:u w:val="single"/>
        </w:rPr>
        <w:t>Excellence</w:t>
      </w:r>
      <w:r>
        <w:rPr>
          <w:sz w:val="20"/>
          <w:szCs w:val="20"/>
        </w:rPr>
        <w:t>, he says, "</w:t>
      </w:r>
      <w:r>
        <w:rPr>
          <w:sz w:val="20"/>
          <w:szCs w:val="20"/>
          <w:u w:val="single"/>
        </w:rPr>
        <w:t>functions to allow the University to understand itself solely in terms of the structure of corporate administration</w:t>
      </w:r>
      <w:r>
        <w:rPr>
          <w:sz w:val="20"/>
          <w:szCs w:val="20"/>
        </w:rPr>
        <w:t>" (29). Hence, "</w:t>
      </w:r>
      <w:r>
        <w:rPr>
          <w:b/>
          <w:sz w:val="20"/>
          <w:szCs w:val="20"/>
          <w:u w:val="single"/>
        </w:rPr>
        <w:t>excellence" is not only an ideal shared by the contemporary university and present-day corporate capital; it is the principle that defines their relation to one another.</w:t>
      </w:r>
      <w:r>
        <w:rPr>
          <w:sz w:val="20"/>
          <w:szCs w:val="20"/>
        </w:rPr>
        <w:t xml:space="preserve"> </w:t>
      </w:r>
    </w:p>
    <w:p xmlns:wp14="http://schemas.microsoft.com/office/word/2010/wordml" w:rsidR="00054398" w:rsidP="00054398" w:rsidRDefault="00054398" w14:paraId="50895670" wp14:textId="77777777">
      <w:pPr>
        <w:rPr>
          <w:sz w:val="20"/>
          <w:szCs w:val="20"/>
        </w:rPr>
      </w:pPr>
    </w:p>
    <w:p xmlns:wp14="http://schemas.microsoft.com/office/word/2010/wordml" w:rsidR="00054398" w:rsidP="00054398" w:rsidRDefault="00054398" w14:paraId="38C1F859" wp14:textId="77777777">
      <w:pPr>
        <w:rPr>
          <w:sz w:val="20"/>
          <w:szCs w:val="20"/>
        </w:rPr>
      </w:pPr>
    </w:p>
    <w:p xmlns:wp14="http://schemas.microsoft.com/office/word/2010/wordml" w:rsidR="00054398" w:rsidP="00054398" w:rsidRDefault="00054398" w14:paraId="0C8FE7CE" wp14:textId="77777777">
      <w:pPr>
        <w:rPr>
          <w:sz w:val="20"/>
          <w:szCs w:val="20"/>
        </w:rPr>
      </w:pPr>
    </w:p>
    <w:p xmlns:wp14="http://schemas.microsoft.com/office/word/2010/wordml" w:rsidR="00054398" w:rsidP="00054398" w:rsidRDefault="00054398" w14:paraId="41004F19" wp14:textId="77777777">
      <w:pPr>
        <w:rPr>
          <w:sz w:val="20"/>
          <w:szCs w:val="20"/>
        </w:rPr>
      </w:pPr>
    </w:p>
    <w:p xmlns:wp14="http://schemas.microsoft.com/office/word/2010/wordml" w:rsidR="00054398" w:rsidP="00054398" w:rsidRDefault="00054398" w14:paraId="7EF6BC6C" wp14:textId="77777777">
      <w:pPr>
        <w:rPr>
          <w:sz w:val="20"/>
          <w:szCs w:val="20"/>
        </w:rPr>
      </w:pPr>
      <w:r w:rsidRPr="001710C3">
        <w:rPr>
          <w:rStyle w:val="Heading4Char"/>
        </w:rPr>
        <w:t xml:space="preserve">The 1ac’s standards for qualification and merit are more dangerous than they appear-- the concept of “excellence”, developed through the slave trade, is designed to promote liberal individualism and to reward violent </w:t>
      </w:r>
      <w:r w:rsidRPr="001710C3">
        <w:rPr>
          <w:rStyle w:val="Heading4Char"/>
        </w:rPr>
        <w:lastRenderedPageBreak/>
        <w:t>conquest. Excellence is conceptually linked to the violent absorption and extermination of nonwhite populations; using it in this context is a tactic for instilling aspirations into colonized subjects such that they become the compradore elite, visiting colonialism upon other Others in the quest for recognition from institutions</w:t>
      </w:r>
      <w:r>
        <w:rPr>
          <w:sz w:val="20"/>
          <w:szCs w:val="20"/>
        </w:rPr>
        <w:t>.</w:t>
      </w:r>
    </w:p>
    <w:p xmlns:wp14="http://schemas.microsoft.com/office/word/2010/wordml" w:rsidR="00054398" w:rsidP="00054398" w:rsidRDefault="00054398" w14:paraId="67C0C651" wp14:textId="77777777">
      <w:pPr>
        <w:rPr>
          <w:sz w:val="20"/>
          <w:szCs w:val="20"/>
        </w:rPr>
      </w:pPr>
    </w:p>
    <w:p xmlns:wp14="http://schemas.microsoft.com/office/word/2010/wordml" w:rsidR="00054398" w:rsidP="00054398" w:rsidRDefault="00054398" w14:paraId="1EFBB332" wp14:textId="77777777">
      <w:pPr>
        <w:rPr>
          <w:sz w:val="20"/>
          <w:szCs w:val="20"/>
        </w:rPr>
      </w:pPr>
      <w:r w:rsidRPr="001710C3">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89-92]</w:t>
      </w:r>
    </w:p>
    <w:p xmlns:wp14="http://schemas.microsoft.com/office/word/2010/wordml" w:rsidR="00054398" w:rsidP="00054398" w:rsidRDefault="00054398" w14:paraId="308D56CC" wp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7D47F846" wp14:textId="77777777">
      <w:pPr>
        <w:rPr>
          <w:sz w:val="14"/>
          <w:szCs w:val="14"/>
        </w:rPr>
      </w:pPr>
      <w:r>
        <w:rPr>
          <w:sz w:val="20"/>
          <w:szCs w:val="20"/>
        </w:rPr>
        <w:t xml:space="preserve">While the student protests of the 1960s and the essay itself shed light on the racial and class exclusivity of the category "excellence," "Black Studies: Bringing Back the Person" also interrogated </w:t>
      </w:r>
      <w:r>
        <w:rPr>
          <w:b/>
          <w:sz w:val="20"/>
          <w:szCs w:val="20"/>
          <w:u w:val="single"/>
        </w:rPr>
        <w:t>excellence as an ideal of reso- lution and absorption, an ideal that held out the certainty of both discipline and exclusion</w:t>
      </w:r>
      <w:r>
        <w:rPr>
          <w:sz w:val="20"/>
          <w:szCs w:val="20"/>
        </w:rPr>
        <w:t>. As such, the essay wonders out loud about the standards for inviting minoritized subjects into hegemonic domains and practices. More pointedly,</w:t>
      </w:r>
      <w:r>
        <w:rPr>
          <w:b/>
          <w:sz w:val="20"/>
          <w:szCs w:val="20"/>
          <w:u w:val="single"/>
        </w:rPr>
        <w:t xml:space="preserve"> it indicates the various strategies by which the American nation- state and the American academy have attempted to absorb and archive populations minoritized by the United States' racial and imperial projects.</w:t>
      </w:r>
      <w:r>
        <w:rPr>
          <w:sz w:val="20"/>
          <w:szCs w:val="20"/>
        </w:rPr>
        <w:t xml:space="preserve"> In doing so, Jordan implies that </w:t>
      </w:r>
      <w:r>
        <w:rPr>
          <w:b/>
          <w:sz w:val="20"/>
          <w:szCs w:val="20"/>
          <w:u w:val="single"/>
        </w:rPr>
        <w:t xml:space="preserve">the presumably benevolent integration of minoritized subjects </w:t>
      </w:r>
      <w:r>
        <w:rPr>
          <w:b/>
          <w:sz w:val="18"/>
          <w:szCs w:val="18"/>
          <w:u w:val="single"/>
        </w:rPr>
        <w:t xml:space="preserve">is </w:t>
      </w:r>
      <w:r>
        <w:rPr>
          <w:b/>
          <w:sz w:val="20"/>
          <w:szCs w:val="20"/>
          <w:u w:val="single"/>
        </w:rPr>
        <w:t>dialectically connected to the violent absorption and extermination of nonwhite populations.</w:t>
      </w:r>
      <w:r>
        <w:rPr>
          <w:sz w:val="20"/>
          <w:szCs w:val="20"/>
        </w:rPr>
        <w:t xml:space="preserve"> In contrast to Readings, Jordan periodizes excellence within a moment of national and international con- flict around the subject of race, and unlike Gardner, she does not construct excellence as the benign resolution to minority difference and agitation. For her, "</w:t>
      </w:r>
      <w:r>
        <w:rPr>
          <w:sz w:val="20"/>
          <w:szCs w:val="20"/>
          <w:u w:val="single"/>
        </w:rPr>
        <w:t xml:space="preserve">excellence" fundamentally antagonizes democratic understand- ings of "the people," constructing them as the antithesis of that category's principles. In terms of the open admissions movement and the people of Harlem, that antagonism would be directed toward African Americans and Puerto Ricans. </w:t>
      </w:r>
      <w:r>
        <w:rPr>
          <w:b/>
          <w:sz w:val="18"/>
          <w:szCs w:val="18"/>
          <w:u w:val="single"/>
        </w:rPr>
        <w:t xml:space="preserve">As </w:t>
      </w:r>
      <w:r>
        <w:rPr>
          <w:b/>
          <w:sz w:val="20"/>
          <w:szCs w:val="20"/>
          <w:u w:val="single"/>
        </w:rPr>
        <w:t>a contradictory formation-one not only built around exclusion- excellence also promises to resolve minority assertions of autonomy and ad- vancement, resolving them toward the needs of state, business, and canon- ical knowledge</w:t>
      </w:r>
      <w:r>
        <w:rPr>
          <w:sz w:val="20"/>
          <w:szCs w:val="20"/>
        </w:rPr>
        <w:t xml:space="preserve">. Pointing to such a resolution, Floyd McKissick argued in a 1968 essay titled "Black Business Development with Social Commitment to Black Communities": "It </w:t>
      </w:r>
      <w:r>
        <w:rPr>
          <w:sz w:val="18"/>
          <w:szCs w:val="18"/>
        </w:rPr>
        <w:t xml:space="preserve">is </w:t>
      </w:r>
      <w:r>
        <w:rPr>
          <w:sz w:val="20"/>
          <w:szCs w:val="20"/>
        </w:rPr>
        <w:t xml:space="preserve">my belief that the development of Black Eco- nomic Power offers White America its last chance to save the Republic. </w:t>
      </w:r>
      <w:r>
        <w:t xml:space="preserve">If </w:t>
      </w:r>
      <w:r>
        <w:rPr>
          <w:sz w:val="18"/>
          <w:szCs w:val="18"/>
        </w:rPr>
        <w:t xml:space="preserve">we </w:t>
      </w:r>
      <w:r>
        <w:rPr>
          <w:sz w:val="20"/>
          <w:szCs w:val="20"/>
        </w:rPr>
        <w:t xml:space="preserve">are to exist together, it will be as equals. Equality depends on black con- trol of its own institutions. </w:t>
      </w:r>
      <w:r>
        <w:rPr>
          <w:sz w:val="14"/>
          <w:szCs w:val="14"/>
        </w:rPr>
        <w:t xml:space="preserve">"23 </w:t>
      </w:r>
      <w:r>
        <w:rPr>
          <w:sz w:val="18"/>
          <w:szCs w:val="18"/>
        </w:rPr>
        <w:t xml:space="preserve">As </w:t>
      </w:r>
      <w:r>
        <w:rPr>
          <w:sz w:val="20"/>
          <w:szCs w:val="20"/>
        </w:rPr>
        <w:t xml:space="preserve">McKissick indicates, </w:t>
      </w:r>
      <w:r>
        <w:rPr>
          <w:b/>
          <w:sz w:val="20"/>
          <w:szCs w:val="20"/>
          <w:u w:val="single"/>
        </w:rPr>
        <w:t>the discourse of excellence</w:t>
      </w:r>
      <w:r>
        <w:rPr>
          <w:sz w:val="20"/>
          <w:szCs w:val="20"/>
        </w:rPr>
        <w:t>--seen here in the thesis about "Black Economic Power"</w:t>
      </w:r>
      <w:r>
        <w:t>-</w:t>
      </w:r>
      <w:r>
        <w:rPr>
          <w:b/>
          <w:u w:val="single"/>
        </w:rPr>
        <w:t xml:space="preserve">was </w:t>
      </w:r>
      <w:r>
        <w:rPr>
          <w:b/>
          <w:sz w:val="20"/>
          <w:szCs w:val="20"/>
          <w:u w:val="single"/>
        </w:rPr>
        <w:t>steadily becoming the language of political, educational, and economic integration, a language that would bring the institutions of American society into a new relation over the management of minority difference</w:t>
      </w:r>
      <w:r>
        <w:rPr>
          <w:sz w:val="20"/>
          <w:szCs w:val="20"/>
        </w:rPr>
        <w:t xml:space="preserve">. For McKissick, that </w:t>
      </w:r>
      <w:r>
        <w:rPr>
          <w:sz w:val="20"/>
          <w:szCs w:val="20"/>
          <w:u w:val="single"/>
        </w:rPr>
        <w:t>management would depend on white capital and black labor</w:t>
      </w:r>
      <w:r>
        <w:rPr>
          <w:sz w:val="20"/>
          <w:szCs w:val="20"/>
        </w:rPr>
        <w:t xml:space="preserve">, a depen- dence that he argues would somehow yield black self-determination: "Much of the capital for our undertakings will be forthcoming from white finan- cial institutions and business corporations. The success of our endeavors is dependent, however, on the effort and toil of Black People."24 Hence, we might read jordan's essay for the ways in which it traces not only the exclusion but also the incorporation of new forms of minority difference. For instance, Jordan elaborates her understanding of </w:t>
      </w:r>
      <w:r>
        <w:rPr>
          <w:b/>
          <w:sz w:val="20"/>
          <w:szCs w:val="20"/>
          <w:u w:val="single"/>
        </w:rPr>
        <w:t>excellence</w:t>
      </w:r>
      <w:r>
        <w:rPr>
          <w:sz w:val="20"/>
          <w:szCs w:val="20"/>
        </w:rPr>
        <w:t xml:space="preserve"> by identifying how that </w:t>
      </w:r>
      <w:r>
        <w:rPr>
          <w:b/>
          <w:sz w:val="20"/>
          <w:szCs w:val="20"/>
          <w:u w:val="single"/>
        </w:rPr>
        <w:t xml:space="preserve">discourse </w:t>
      </w:r>
      <w:r>
        <w:rPr>
          <w:b/>
          <w:sz w:val="18"/>
          <w:szCs w:val="18"/>
          <w:u w:val="single"/>
        </w:rPr>
        <w:t xml:space="preserve">is </w:t>
      </w:r>
      <w:r>
        <w:rPr>
          <w:b/>
          <w:sz w:val="20"/>
          <w:szCs w:val="20"/>
          <w:u w:val="single"/>
        </w:rPr>
        <w:t>rooted not only in academic parlance but also in the genealogies of slavery and colonialism and within the dis- course of the liberal individual, that supreme figure of integration and in- corporation into democratic and capitalist societies</w:t>
      </w:r>
      <w:r>
        <w:rPr>
          <w:sz w:val="20"/>
          <w:szCs w:val="20"/>
        </w:rPr>
        <w:t xml:space="preserve">: </w:t>
      </w:r>
      <w:r>
        <w:rPr>
          <w:sz w:val="18"/>
          <w:szCs w:val="18"/>
        </w:rPr>
        <w:t xml:space="preserve">We </w:t>
      </w:r>
      <w:r>
        <w:rPr>
          <w:sz w:val="20"/>
          <w:szCs w:val="20"/>
        </w:rPr>
        <w:t xml:space="preserve">know the individuality that isolates the man from other men, the either/or, the lonely-one that leads the flesh to clothing, jewelry, and land, the solitude of sight that separates the people from the people, </w:t>
      </w:r>
      <w:r>
        <w:rPr>
          <w:sz w:val="18"/>
          <w:szCs w:val="18"/>
        </w:rPr>
        <w:t xml:space="preserve">flesh </w:t>
      </w:r>
      <w:r>
        <w:rPr>
          <w:sz w:val="20"/>
          <w:szCs w:val="20"/>
        </w:rPr>
        <w:t xml:space="preserve">from flesh, that jams material between the spirit and the spirit. </w:t>
      </w:r>
      <w:r>
        <w:rPr>
          <w:sz w:val="18"/>
          <w:szCs w:val="18"/>
        </w:rPr>
        <w:t xml:space="preserve">We </w:t>
      </w:r>
      <w:r>
        <w:rPr>
          <w:sz w:val="20"/>
          <w:szCs w:val="20"/>
        </w:rPr>
        <w:t xml:space="preserve">have suffered witness to these pitiful, and murdering, masquerade exten- sions of the </w:t>
      </w:r>
      <w:r>
        <w:rPr>
          <w:sz w:val="18"/>
          <w:szCs w:val="18"/>
        </w:rPr>
        <w:t xml:space="preserve">self.25 </w:t>
      </w:r>
      <w:r>
        <w:rPr>
          <w:sz w:val="20"/>
          <w:szCs w:val="20"/>
        </w:rPr>
        <w:t xml:space="preserve">In this passage, Jordan presents </w:t>
      </w:r>
      <w:r>
        <w:rPr>
          <w:b/>
          <w:sz w:val="20"/>
          <w:szCs w:val="20"/>
          <w:u w:val="single"/>
        </w:rPr>
        <w:t xml:space="preserve">a picture of African Americans </w:t>
      </w:r>
      <w:r>
        <w:rPr>
          <w:b/>
          <w:sz w:val="20"/>
          <w:szCs w:val="20"/>
          <w:u w:val="single"/>
        </w:rPr>
        <w:lastRenderedPageBreak/>
        <w:t>and Puerto Ricans as witnesses to the horrors and deformations of Western progress</w:t>
      </w:r>
      <w:r>
        <w:rPr>
          <w:sz w:val="20"/>
          <w:szCs w:val="20"/>
        </w:rPr>
        <w:t xml:space="preserve">. As she figures those terrors through the emergence of the liberal self, she frustrates the assumption that the Western individual is the benevolent hori- zon of achievement and agency. </w:t>
      </w:r>
      <w:r>
        <w:rPr>
          <w:sz w:val="20"/>
          <w:szCs w:val="20"/>
          <w:u w:val="single"/>
        </w:rPr>
        <w:t xml:space="preserve">Through the emergence of the liberal indi- vidual, </w:t>
      </w:r>
      <w:r>
        <w:rPr>
          <w:sz w:val="20"/>
          <w:szCs w:val="20"/>
        </w:rPr>
        <w:t xml:space="preserve">she counters, </w:t>
      </w:r>
      <w:r>
        <w:rPr>
          <w:sz w:val="20"/>
          <w:szCs w:val="20"/>
          <w:u w:val="single"/>
        </w:rPr>
        <w:t>foreign lands and subjects were incorporated into the Western nation-state-as possessions, as bounties, and as colonial and en- slaved laborers</w:t>
      </w:r>
      <w:r>
        <w:rPr>
          <w:sz w:val="20"/>
          <w:szCs w:val="20"/>
        </w:rPr>
        <w:t xml:space="preserve">. </w:t>
      </w:r>
      <w:r>
        <w:rPr>
          <w:b/>
          <w:sz w:val="20"/>
          <w:szCs w:val="20"/>
          <w:u w:val="single"/>
        </w:rPr>
        <w:t>Making possessions, taking bounty, and stealing land would become the liberal individual's blueprint for adventure, an adventure that would take on new itineraries as excellence solicited minority difference, inserting the elements of individualism into minoritized subjectivities.</w:t>
      </w:r>
      <w:r>
        <w:rPr>
          <w:sz w:val="20"/>
          <w:szCs w:val="20"/>
        </w:rPr>
        <w:t xml:space="preserve"> </w:t>
      </w:r>
      <w:r>
        <w:rPr>
          <w:b/>
          <w:sz w:val="20"/>
          <w:szCs w:val="20"/>
          <w:u w:val="single"/>
        </w:rPr>
        <w:t>In a time of economic expansion, civil rights gains, and national independence, the intermingling of individualism and minority difference would yield unprecedented possibilities for mobility and institutional advancement.</w:t>
      </w:r>
      <w:r>
        <w:rPr>
          <w:sz w:val="20"/>
          <w:szCs w:val="20"/>
        </w:rPr>
        <w:t xml:space="preserve"> For Jordan, t</w:t>
      </w:r>
      <w:r>
        <w:rPr>
          <w:b/>
          <w:sz w:val="20"/>
          <w:szCs w:val="20"/>
          <w:u w:val="single"/>
        </w:rPr>
        <w:t>his intermingling-even with the chance for uplift-is part of excellence's disfiguring imperative.</w:t>
      </w:r>
      <w:r>
        <w:rPr>
          <w:sz w:val="20"/>
          <w:szCs w:val="20"/>
        </w:rPr>
        <w:t xml:space="preserve"> At the heart of the aforementioned passage is a tale about modernity'S systems of calculation, systems that are responsible for the enfranchise- ment of the Western individual and the dehumanization of all else. </w:t>
      </w:r>
      <w:r>
        <w:rPr>
          <w:sz w:val="18"/>
          <w:szCs w:val="18"/>
        </w:rPr>
        <w:t xml:space="preserve">As </w:t>
      </w:r>
      <w:r>
        <w:rPr>
          <w:sz w:val="20"/>
          <w:szCs w:val="20"/>
        </w:rPr>
        <w:t>Jor- dan says, "</w:t>
      </w:r>
      <w:r>
        <w:rPr>
          <w:b/>
          <w:sz w:val="20"/>
          <w:szCs w:val="20"/>
          <w:u w:val="single"/>
        </w:rPr>
        <w:t>There seldom has been a more efficient system for profiteering, through human debasement, than the plantations, of a while ago.</w:t>
      </w:r>
      <w:r>
        <w:rPr>
          <w:sz w:val="20"/>
          <w:szCs w:val="20"/>
        </w:rPr>
        <w:t xml:space="preserve">"26 Here she turns our attention to how the slave trade was a key moment in recon- ciling progress with degradation. In </w:t>
      </w:r>
      <w:r>
        <w:rPr>
          <w:i/>
          <w:sz w:val="20"/>
          <w:szCs w:val="20"/>
        </w:rPr>
        <w:t xml:space="preserve">Saltwater Slavery: A Middle Passage from Africa to American Diaspora, </w:t>
      </w:r>
      <w:r>
        <w:rPr>
          <w:sz w:val="20"/>
          <w:szCs w:val="20"/>
        </w:rPr>
        <w:t xml:space="preserve">Stephanie Smallwood discusses the ways the slave trade provided not only a new economic moment for mod- ern Western nation-states but a new regime of calculation by which to measure and utilize human life. Discussing slavery as a revolution in mar- ket systems of classification, she argues: "[The] economic exchange had to transform independent beings into human commodities whose most 'socially relevant feature' was their 'exchangeability."'27 Locating the begin- nings of that revolution on the shores of the Gold Coast of West Africa, she goes on to say, "The shore was the stage for a range of activities and practices designed to promote the pretense that human beings could con- vincingly play the part of their antithesis-bodies animated only by others' calculated investment in their physical capacities. </w:t>
      </w:r>
      <w:r>
        <w:rPr>
          <w:sz w:val="18"/>
          <w:szCs w:val="18"/>
        </w:rPr>
        <w:t xml:space="preserve">"28 </w:t>
      </w:r>
      <w:r>
        <w:rPr>
          <w:sz w:val="18"/>
          <w:szCs w:val="18"/>
          <w:u w:val="single"/>
        </w:rPr>
        <w:t xml:space="preserve">As </w:t>
      </w:r>
      <w:r>
        <w:rPr>
          <w:sz w:val="20"/>
          <w:szCs w:val="20"/>
          <w:u w:val="single"/>
        </w:rPr>
        <w:t>slavery was the context for measuring human capacity, slavery be- came an early component of capital's "scientific" innovations. Because of its innovative role, we might also situate slavery alongside the human sci- ences, which, in the language of Foucault, placed man at the foundation of all knowledge about life, labor, and language.</w:t>
      </w:r>
      <w:r>
        <w:rPr>
          <w:sz w:val="20"/>
          <w:szCs w:val="20"/>
        </w:rPr>
        <w:t xml:space="preserve"> In similar fashion, Small- wood points to how slavery placed Africans at the center of calculations about how far a life could be stretched and tried for the necessities of cap- italist economic formations. </w:t>
      </w:r>
      <w:r>
        <w:rPr>
          <w:sz w:val="18"/>
          <w:szCs w:val="18"/>
        </w:rPr>
        <w:t xml:space="preserve">As </w:t>
      </w:r>
      <w:r>
        <w:rPr>
          <w:sz w:val="20"/>
          <w:szCs w:val="20"/>
        </w:rPr>
        <w:t>a result, life would become a factor in cap- ital's equations, and the marketing of Africans into commodities would unleash a profound epistemic revolution in which slavery's computations would be the prototype to Marx's free laborer. In the post-World War II moment, student movements and notions of excellence that were friendly to diversity promised to end all of that. As the shore was the stage on which capital could calculate human life for the debasing rigors of the market,</w:t>
      </w:r>
      <w:r>
        <w:rPr>
          <w:b/>
          <w:sz w:val="20"/>
          <w:szCs w:val="20"/>
          <w:u w:val="single"/>
        </w:rPr>
        <w:t xml:space="preserve"> the campus yard became the setting on which those historic calculations could be contested and then restaged</w:t>
      </w:r>
      <w:r>
        <w:rPr>
          <w:sz w:val="20"/>
          <w:szCs w:val="20"/>
        </w:rPr>
        <w:t>.</w:t>
      </w:r>
      <w:r>
        <w:rPr>
          <w:b/>
          <w:sz w:val="20"/>
          <w:szCs w:val="20"/>
          <w:u w:val="single"/>
        </w:rPr>
        <w:t xml:space="preserve"> On this terrain, minoritized subjects would be evaluated in terms of their fitness for standards of excellence and merit, and the American campus would be the site for a range of activities and practices assembled to advance the idea that minorities would no longer have to play the part of their antithesis, that they would go from being history's humiliations to becoming its most renowned and uplifted achievements</w:t>
      </w:r>
      <w:r>
        <w:rPr>
          <w:sz w:val="20"/>
          <w:szCs w:val="20"/>
        </w:rPr>
        <w:t>. No longer would they be "bodies animated only by others' calculated investment in their physical capaci- ties." They would become minds energized by institutional measurements of their intellectual attributes. With the emergence of excellence, minori- tized life would be subjected to presumably more affirming judgments, assessments that might allow that life to break free from its days of debase- ment. "</w:t>
      </w:r>
      <w:r>
        <w:rPr>
          <w:b/>
          <w:sz w:val="20"/>
          <w:szCs w:val="20"/>
          <w:u w:val="single"/>
        </w:rPr>
        <w:t>Excellence" signaled that long-awaited morning about which lib- erals and radicals dreamed-when the past could finally be sloughed off and the day would totally begin anew. Yet, while "excellence" may have promised to install a new tomorrow, that ideal could not help but betray its kinship to prior and emerging regimes of calculation and alienation.</w:t>
      </w:r>
      <w:r>
        <w:rPr>
          <w:sz w:val="20"/>
          <w:szCs w:val="20"/>
        </w:rPr>
        <w:t xml:space="preserve"> </w:t>
      </w:r>
      <w:r>
        <w:rPr>
          <w:sz w:val="18"/>
          <w:szCs w:val="18"/>
        </w:rPr>
        <w:t xml:space="preserve">As </w:t>
      </w:r>
      <w:r>
        <w:rPr>
          <w:sz w:val="20"/>
          <w:szCs w:val="20"/>
        </w:rPr>
        <w:t xml:space="preserve">Jordan indicates, </w:t>
      </w:r>
      <w:r>
        <w:rPr>
          <w:sz w:val="20"/>
          <w:szCs w:val="20"/>
          <w:u w:val="single"/>
        </w:rPr>
        <w:t>one of the ways in which the category did so was through its "endorsement" of that moment's devastations.</w:t>
      </w:r>
      <w:r>
        <w:rPr>
          <w:sz w:val="20"/>
          <w:szCs w:val="20"/>
        </w:rPr>
        <w:t xml:space="preserve"> </w:t>
      </w:r>
      <w:r>
        <w:rPr>
          <w:b/>
          <w:sz w:val="20"/>
          <w:szCs w:val="20"/>
          <w:u w:val="single"/>
        </w:rPr>
        <w:t>In an apparent reference to the Vietnam War, she notes, "Today, the whole world sits, as quietly scared as it can sit, afraid that, tomorrow, America may direct its efficiency and competence toward another forest for defoliation, or clean-cut laser-beam extermination.</w:t>
      </w:r>
      <w:r>
        <w:rPr>
          <w:sz w:val="14"/>
          <w:szCs w:val="14"/>
        </w:rPr>
        <w:t xml:space="preserve">"29 </w:t>
      </w:r>
    </w:p>
    <w:p xmlns:wp14="http://schemas.microsoft.com/office/word/2010/wordml" w:rsidR="00054398" w:rsidP="00054398" w:rsidRDefault="00054398" w14:paraId="797E50C6" wp14:textId="77777777">
      <w:pPr>
        <w:rPr>
          <w:sz w:val="20"/>
          <w:szCs w:val="20"/>
        </w:rPr>
      </w:pPr>
    </w:p>
    <w:p xmlns:wp14="http://schemas.microsoft.com/office/word/2010/wordml" w:rsidR="00054398" w:rsidP="00054398" w:rsidRDefault="00054398" w14:paraId="7B04FA47" wp14:textId="77777777">
      <w:pPr>
        <w:rPr>
          <w:sz w:val="20"/>
          <w:szCs w:val="20"/>
        </w:rPr>
      </w:pPr>
    </w:p>
    <w:p xmlns:wp14="http://schemas.microsoft.com/office/word/2010/wordml" w:rsidR="00054398" w:rsidP="00054398" w:rsidRDefault="00054398" w14:paraId="568C698B" wp14:textId="77777777">
      <w:pPr>
        <w:rPr>
          <w:sz w:val="20"/>
          <w:szCs w:val="20"/>
        </w:rPr>
      </w:pPr>
    </w:p>
    <w:p xmlns:wp14="http://schemas.microsoft.com/office/word/2010/wordml" w:rsidR="00054398" w:rsidP="00054398" w:rsidRDefault="00054398" w14:paraId="1A939487" wp14:textId="77777777">
      <w:pPr>
        <w:rPr>
          <w:sz w:val="20"/>
          <w:szCs w:val="20"/>
        </w:rPr>
      </w:pPr>
    </w:p>
    <w:p xmlns:wp14="http://schemas.microsoft.com/office/word/2010/wordml" w:rsidR="00054398" w:rsidP="00054398" w:rsidRDefault="00054398" w14:paraId="43689134" wp14:textId="77777777">
      <w:pPr>
        <w:pStyle w:val="Heading3"/>
      </w:pPr>
      <w:r>
        <w:lastRenderedPageBreak/>
        <w:t>L: Multicultural Inclusion--Generic</w:t>
      </w:r>
    </w:p>
    <w:p xmlns:wp14="http://schemas.microsoft.com/office/word/2010/wordml" w:rsidR="00054398" w:rsidP="00054398" w:rsidRDefault="00054398" w14:paraId="600CE302" wp14:textId="77777777">
      <w:pPr>
        <w:pStyle w:val="Heading4"/>
        <w:rPr>
          <w:rFonts w:eastAsia="Calibri"/>
        </w:rPr>
      </w:pPr>
      <w:r>
        <w:rPr>
          <w:rFonts w:eastAsia="Calibri"/>
        </w:rPr>
        <w:t xml:space="preserve">Culturally nationalistic models that repudiate US imperialism merely replicate the nation-state in insidious forms all around the globe, creating a </w:t>
      </w:r>
      <w:r>
        <w:rPr>
          <w:rFonts w:eastAsia="Calibri"/>
          <w:u w:val="single"/>
        </w:rPr>
        <w:t>compradore elite</w:t>
      </w:r>
      <w:r>
        <w:rPr>
          <w:rFonts w:eastAsia="Calibri"/>
        </w:rPr>
        <w:t xml:space="preserve"> that benefits from entrance into academy and capital at the same time that it gains social capital from its vision of itself as a revolutionary vanguard.</w:t>
      </w:r>
    </w:p>
    <w:p xmlns:wp14="http://schemas.microsoft.com/office/word/2010/wordml" w:rsidR="00054398" w:rsidP="00054398" w:rsidRDefault="00054398" w14:paraId="7464F0C4" wp14:textId="77777777">
      <w:pPr>
        <w:rPr>
          <w:rFonts w:ascii="Calibri" w:hAnsi="Calibri" w:eastAsia="Calibri" w:cs="Calibri"/>
          <w:sz w:val="20"/>
          <w:szCs w:val="20"/>
        </w:rPr>
      </w:pPr>
      <w:r w:rsidRPr="001710C3">
        <w:rPr>
          <w:rStyle w:val="Style13ptBold"/>
        </w:rPr>
        <w:t>Ferguson 12</w:t>
      </w:r>
      <w:r>
        <w:rPr>
          <w:rFonts w:ascii="Calibri" w:hAnsi="Calibri" w:eastAsia="Calibri" w:cs="Calibri"/>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128]</w:t>
      </w:r>
      <w:r>
        <w:rPr>
          <w:rFonts w:ascii="Calibri" w:hAnsi="Calibri" w:eastAsia="Calibri" w:cs="Calibri"/>
          <w:sz w:val="20"/>
          <w:szCs w:val="20"/>
        </w:rPr>
        <w:tab/>
      </w:r>
      <w:r>
        <w:rPr>
          <w:rFonts w:ascii="Calibri" w:hAnsi="Calibri" w:eastAsia="Calibri" w:cs="Calibri"/>
          <w:sz w:val="20"/>
          <w:szCs w:val="20"/>
        </w:rPr>
        <w:tab/>
      </w:r>
      <w:r>
        <w:rPr>
          <w:rFonts w:ascii="Calibri" w:hAnsi="Calibri" w:eastAsia="Calibri" w:cs="Calibri"/>
          <w:sz w:val="20"/>
          <w:szCs w:val="20"/>
        </w:rPr>
        <w:tab/>
      </w:r>
      <w:r>
        <w:rPr>
          <w:rFonts w:ascii="Calibri" w:hAnsi="Calibri" w:eastAsia="Calibri" w:cs="Calibri"/>
          <w:sz w:val="20"/>
          <w:szCs w:val="20"/>
        </w:rPr>
        <w:tab/>
      </w:r>
    </w:p>
    <w:p xmlns:wp14="http://schemas.microsoft.com/office/word/2010/wordml" w:rsidR="00054398" w:rsidP="00054398" w:rsidRDefault="00054398" w14:paraId="0E11839A" wp14:textId="77777777">
      <w:pPr>
        <w:rPr>
          <w:rFonts w:ascii="Calibri" w:hAnsi="Calibri" w:eastAsia="Calibri" w:cs="Calibri"/>
          <w:sz w:val="20"/>
          <w:szCs w:val="20"/>
          <w:highlight w:val="cyan"/>
          <w:u w:val="single"/>
        </w:rPr>
      </w:pPr>
      <w:r>
        <w:rPr>
          <w:rFonts w:ascii="Calibri" w:hAnsi="Calibri" w:eastAsia="Calibri" w:cs="Calibri"/>
          <w:sz w:val="16"/>
          <w:szCs w:val="16"/>
        </w:rPr>
        <w:t xml:space="preserve">In those days of the student movements, good intentions made their way on breezes. Stuart Hall recalls those times. In an interview, Colin McCabe asks him, "You must have been at that period [after World War </w:t>
      </w:r>
      <w:r>
        <w:rPr>
          <w:rFonts w:ascii="Calibri" w:hAnsi="Calibri" w:eastAsia="Calibri" w:cs="Calibri"/>
          <w:b/>
          <w:sz w:val="16"/>
          <w:szCs w:val="16"/>
        </w:rPr>
        <w:t xml:space="preserve">II] </w:t>
      </w:r>
      <w:r>
        <w:rPr>
          <w:rFonts w:ascii="Calibri" w:hAnsi="Calibri" w:eastAsia="Calibri" w:cs="Calibri"/>
          <w:sz w:val="16"/>
          <w:szCs w:val="16"/>
        </w:rPr>
        <w:t xml:space="preserve">a totally enthusiastic backer of national liberation struggles in the third world. "38 Hall responds that he was indeed enthusiastic and recalls a dinner to celebrate the defeat of the French in Indochina. He goes on to say that </w:t>
      </w:r>
      <w:r>
        <w:rPr>
          <w:rFonts w:ascii="Calibri" w:hAnsi="Calibri" w:eastAsia="Calibri" w:cs="Calibri"/>
          <w:sz w:val="20"/>
          <w:szCs w:val="20"/>
          <w:highlight w:val="cyan"/>
          <w:u w:val="single"/>
        </w:rPr>
        <w:t>with the 1950 election of the Marxist government led by Cheddi Jagan in Guyana, Kenya's independence from Britain in 1961, and Malaysia's rise from British rule in 1963, he "knew that the end of empire was a huge thing that was happening right before his eyes"</w:t>
      </w:r>
      <w:r>
        <w:rPr>
          <w:rFonts w:ascii="Calibri" w:hAnsi="Calibri" w:eastAsia="Calibri" w:cs="Calibri"/>
          <w:sz w:val="16"/>
          <w:szCs w:val="16"/>
          <w:highlight w:val="cyan"/>
        </w:rPr>
        <w:t xml:space="preserve"> </w:t>
      </w:r>
      <w:r>
        <w:rPr>
          <w:rFonts w:ascii="Calibri" w:hAnsi="Calibri" w:eastAsia="Calibri" w:cs="Calibri"/>
          <w:sz w:val="16"/>
          <w:szCs w:val="16"/>
        </w:rPr>
        <w:t xml:space="preserve">(15). </w:t>
      </w:r>
      <w:r>
        <w:rPr>
          <w:rFonts w:ascii="Calibri" w:hAnsi="Calibri" w:eastAsia="Calibri" w:cs="Calibri"/>
          <w:sz w:val="20"/>
          <w:szCs w:val="20"/>
          <w:highlight w:val="cyan"/>
          <w:u w:val="single"/>
        </w:rPr>
        <w:t>There was, he says, "a belief in the beyond of colonialism," a belief and confidence in decolonization as the utopia that lay beyond the borders of colonial repression</w:t>
      </w:r>
      <w:r>
        <w:rPr>
          <w:rFonts w:ascii="Calibri" w:hAnsi="Calibri" w:eastAsia="Calibri" w:cs="Calibri"/>
          <w:sz w:val="16"/>
          <w:szCs w:val="16"/>
        </w:rPr>
        <w:t xml:space="preserve"> (17). </w:t>
      </w:r>
      <w:r>
        <w:rPr>
          <w:rFonts w:ascii="Calibri" w:hAnsi="Calibri" w:eastAsia="Calibri" w:cs="Calibri"/>
          <w:b/>
          <w:sz w:val="20"/>
          <w:szCs w:val="20"/>
          <w:highlight w:val="cyan"/>
          <w:u w:val="single"/>
        </w:rPr>
        <w:t>This was the emotional tenor of a decolonizing time, one that inspired faith in the nation form</w:t>
      </w:r>
      <w:r>
        <w:rPr>
          <w:rFonts w:ascii="Calibri" w:hAnsi="Calibri" w:eastAsia="Calibri" w:cs="Calibri"/>
          <w:sz w:val="16"/>
          <w:szCs w:val="16"/>
          <w:highlight w:val="cyan"/>
        </w:rPr>
        <w:t>.</w:t>
      </w:r>
      <w:r>
        <w:rPr>
          <w:rFonts w:ascii="Calibri" w:hAnsi="Calibri" w:eastAsia="Calibri" w:cs="Calibri"/>
          <w:sz w:val="16"/>
          <w:szCs w:val="16"/>
        </w:rPr>
        <w:t xml:space="preserve"> </w:t>
      </w:r>
      <w:r>
        <w:rPr>
          <w:rFonts w:ascii="Calibri" w:hAnsi="Calibri" w:eastAsia="Calibri" w:cs="Calibri"/>
          <w:sz w:val="20"/>
          <w:szCs w:val="20"/>
          <w:u w:val="single"/>
        </w:rPr>
        <w:t>According to this faith, the nation could be liberated from the viola- tions of liberal democracy and Western imperialism and put to radical ends. But the malignancies of colonialism, which worked their way into postcolonial nations, undermined that confidence.</w:t>
      </w:r>
      <w:r>
        <w:rPr>
          <w:rFonts w:ascii="Calibri" w:hAnsi="Calibri" w:eastAsia="Calibri" w:cs="Calibri"/>
          <w:sz w:val="16"/>
          <w:szCs w:val="16"/>
        </w:rPr>
        <w:t xml:space="preserve"> Hall states that "</w:t>
      </w:r>
      <w:r>
        <w:rPr>
          <w:rFonts w:ascii="Calibri" w:hAnsi="Calibri" w:eastAsia="Calibri" w:cs="Calibri"/>
          <w:b/>
          <w:sz w:val="20"/>
          <w:szCs w:val="20"/>
          <w:highlight w:val="cyan"/>
          <w:u w:val="single"/>
        </w:rPr>
        <w:t>[the] moment of decolonisation was a moment when the deformations of colonialism had not been deeply interrupted. There'd been a shift of political power and domination. But, take the Caribbean. It remained a poor, one- crop, economically dependent region</w:t>
      </w:r>
      <w:r>
        <w:rPr>
          <w:rFonts w:ascii="Calibri" w:hAnsi="Calibri" w:eastAsia="Calibri" w:cs="Calibri"/>
          <w:sz w:val="16"/>
          <w:szCs w:val="16"/>
          <w:highlight w:val="cyan"/>
        </w:rPr>
        <w:t>"</w:t>
      </w:r>
      <w:r>
        <w:rPr>
          <w:rFonts w:ascii="Calibri" w:hAnsi="Calibri" w:eastAsia="Calibri" w:cs="Calibri"/>
          <w:sz w:val="16"/>
          <w:szCs w:val="16"/>
        </w:rPr>
        <w:t xml:space="preserve"> (16). Hall describes here </w:t>
      </w:r>
      <w:r>
        <w:rPr>
          <w:rFonts w:ascii="Calibri" w:hAnsi="Calibri" w:eastAsia="Calibri" w:cs="Calibri"/>
          <w:b/>
          <w:sz w:val="20"/>
          <w:szCs w:val="20"/>
          <w:highlight w:val="cyan"/>
          <w:u w:val="single"/>
        </w:rPr>
        <w:t>the realities of neocolonialism, the fact that the dismantling of the colonizer's ensigns might ordain a new hegemony.</w:t>
      </w:r>
      <w:r>
        <w:rPr>
          <w:rFonts w:ascii="Calibri" w:hAnsi="Calibri" w:eastAsia="Calibri" w:cs="Calibri"/>
          <w:sz w:val="16"/>
          <w:szCs w:val="16"/>
          <w:highlight w:val="cyan"/>
        </w:rPr>
        <w:t xml:space="preserve"> T</w:t>
      </w:r>
      <w:r>
        <w:rPr>
          <w:rFonts w:ascii="Calibri" w:hAnsi="Calibri" w:eastAsia="Calibri" w:cs="Calibri"/>
          <w:sz w:val="16"/>
          <w:szCs w:val="16"/>
        </w:rPr>
        <w:t xml:space="preserve">his shift, in Hall's words, would "show why Fanon was right. </w:t>
      </w:r>
      <w:r>
        <w:rPr>
          <w:rFonts w:ascii="Calibri" w:hAnsi="Calibri" w:eastAsia="Calibri" w:cs="Calibri"/>
          <w:b/>
          <w:sz w:val="20"/>
          <w:szCs w:val="20"/>
          <w:highlight w:val="cyan"/>
          <w:u w:val="single"/>
        </w:rPr>
        <w:t>You have to have your nationalist moment. But the nationalist moment can never be enough. It can never be enough</w:t>
      </w:r>
      <w:r>
        <w:rPr>
          <w:rFonts w:ascii="Calibri" w:hAnsi="Calibri" w:eastAsia="Calibri" w:cs="Calibri"/>
          <w:sz w:val="16"/>
          <w:szCs w:val="16"/>
        </w:rPr>
        <w:t>" (ibid.). Similar to Ranciere's critique of the unity promoted by republican roman- ticism and Bambara's critique about the presumptions and functions of grass roots, Hall elaborates his interpretation of Fanon, stating, "</w:t>
      </w:r>
      <w:r>
        <w:rPr>
          <w:rFonts w:ascii="Calibri" w:hAnsi="Calibri" w:eastAsia="Calibri" w:cs="Calibri"/>
          <w:sz w:val="20"/>
          <w:szCs w:val="20"/>
          <w:highlight w:val="cyan"/>
          <w:u w:val="single"/>
        </w:rPr>
        <w:t>The attempt to build a unity for developing the nation leads to the emergence of single figures or one-party states. No contradictions, no place in the ideology for opposition</w:t>
      </w:r>
      <w:r>
        <w:rPr>
          <w:rFonts w:ascii="Calibri" w:hAnsi="Calibri" w:eastAsia="Calibri" w:cs="Calibri"/>
          <w:sz w:val="16"/>
          <w:szCs w:val="16"/>
          <w:highlight w:val="cyan"/>
        </w:rPr>
        <w:t>"</w:t>
      </w:r>
      <w:r>
        <w:rPr>
          <w:rFonts w:ascii="Calibri" w:hAnsi="Calibri" w:eastAsia="Calibri" w:cs="Calibri"/>
          <w:sz w:val="16"/>
          <w:szCs w:val="16"/>
        </w:rPr>
        <w:t xml:space="preserve"> (ibid.). Hall indicates, here, that </w:t>
      </w:r>
      <w:r>
        <w:rPr>
          <w:rFonts w:ascii="Calibri" w:hAnsi="Calibri" w:eastAsia="Calibri" w:cs="Calibri"/>
          <w:sz w:val="20"/>
          <w:szCs w:val="20"/>
          <w:u w:val="single"/>
        </w:rPr>
        <w:t xml:space="preserve">as the nation form became the goal and end point of liberation, </w:t>
      </w:r>
      <w:r>
        <w:rPr>
          <w:rFonts w:ascii="Calibri" w:hAnsi="Calibri" w:eastAsia="Calibri" w:cs="Calibri"/>
          <w:sz w:val="20"/>
          <w:szCs w:val="20"/>
          <w:highlight w:val="cyan"/>
          <w:u w:val="single"/>
        </w:rPr>
        <w:t xml:space="preserve">the autocracies of the colonial era would take hold of anticolonialism's epic experiment. </w:t>
      </w:r>
    </w:p>
    <w:p xmlns:wp14="http://schemas.microsoft.com/office/word/2010/wordml" w:rsidR="00054398" w:rsidP="00054398" w:rsidRDefault="00054398" w14:paraId="6AA258D8" wp14:textId="77777777">
      <w:pPr>
        <w:rPr>
          <w:sz w:val="20"/>
          <w:szCs w:val="20"/>
        </w:rPr>
      </w:pPr>
    </w:p>
    <w:p xmlns:wp14="http://schemas.microsoft.com/office/word/2010/wordml" w:rsidR="00054398" w:rsidP="00054398" w:rsidRDefault="00054398" w14:paraId="4F9F2D1A" wp14:textId="77777777">
      <w:pPr>
        <w:pStyle w:val="Heading4"/>
      </w:pPr>
      <w:r>
        <w:t>The inclusion of immigrants into US institutions is not cause for celebration-- multicultural inclusion has demanded the production of new disciplinary forms that refortify the state as a protector of rights in order to privatize the social individual. This produces new and insidious forms of xenophobic, multicultural fetishism and turns the aff.</w:t>
      </w:r>
    </w:p>
    <w:p xmlns:wp14="http://schemas.microsoft.com/office/word/2010/wordml" w:rsidR="00054398" w:rsidP="00054398" w:rsidRDefault="00054398" w14:paraId="3A25996D" wp14:textId="77777777">
      <w:pPr>
        <w:rPr>
          <w:sz w:val="20"/>
          <w:szCs w:val="20"/>
        </w:rPr>
      </w:pPr>
      <w:r w:rsidRPr="001710C3">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169-172]</w:t>
      </w:r>
      <w:r>
        <w:rPr>
          <w:sz w:val="20"/>
          <w:szCs w:val="20"/>
        </w:rPr>
        <w:tab/>
      </w:r>
      <w:r>
        <w:rPr>
          <w:sz w:val="20"/>
          <w:szCs w:val="20"/>
        </w:rPr>
        <w:t xml:space="preserve"> </w:t>
      </w:r>
      <w:r>
        <w:rPr>
          <w:sz w:val="20"/>
          <w:szCs w:val="20"/>
        </w:rPr>
        <w:tab/>
      </w:r>
      <w:r>
        <w:rPr>
          <w:sz w:val="20"/>
          <w:szCs w:val="20"/>
        </w:rPr>
        <w:t xml:space="preserve"> </w:t>
      </w:r>
      <w:r>
        <w:rPr>
          <w:sz w:val="20"/>
          <w:szCs w:val="20"/>
        </w:rPr>
        <w:tab/>
      </w:r>
      <w:r>
        <w:rPr>
          <w:sz w:val="20"/>
          <w:szCs w:val="20"/>
        </w:rPr>
        <w:t xml:space="preserve"> </w:t>
      </w:r>
      <w:r>
        <w:rPr>
          <w:sz w:val="20"/>
          <w:szCs w:val="20"/>
        </w:rPr>
        <w:tab/>
      </w:r>
      <w:r>
        <w:rPr>
          <w:sz w:val="20"/>
          <w:szCs w:val="20"/>
        </w:rPr>
        <w:tab/>
      </w:r>
    </w:p>
    <w:p xmlns:wp14="http://schemas.microsoft.com/office/word/2010/wordml" w:rsidR="00054398" w:rsidP="00054398" w:rsidRDefault="00054398" w14:paraId="6FFBD3EC" wp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Pr="00E11F0B" w:rsidR="00054398" w:rsidP="00054398" w:rsidRDefault="00054398" w14:paraId="050BB7CE" wp14:textId="77777777">
      <w:pPr>
        <w:rPr>
          <w:sz w:val="16"/>
          <w:szCs w:val="20"/>
        </w:rPr>
      </w:pPr>
      <w:r w:rsidRPr="00E11F0B">
        <w:rPr>
          <w:sz w:val="16"/>
          <w:szCs w:val="18"/>
        </w:rPr>
        <w:t xml:space="preserve">We </w:t>
      </w:r>
      <w:r w:rsidRPr="00E11F0B">
        <w:rPr>
          <w:sz w:val="16"/>
          <w:szCs w:val="20"/>
        </w:rPr>
        <w:t xml:space="preserve">might think of the scene in the courthouse as an allegory of minori- tized subjects appealing to the state for recognition and redress, recalling that part of the civil rights struggle, for instance, that engaged the state as the domain of political emancipation. Theorizing the civil rights move- ment's relationship to that mode of emancipation, Lisa Lowe writes, "In focusing the struggle in the </w:t>
      </w:r>
      <w:r w:rsidRPr="00E11F0B">
        <w:rPr>
          <w:sz w:val="16"/>
          <w:szCs w:val="20"/>
        </w:rPr>
        <w:lastRenderedPageBreak/>
        <w:t xml:space="preserve">political domain, the civil rights project ex- tended the opportunities of some segments of minority communities and made substantial gains. </w:t>
      </w:r>
      <w:r w:rsidRPr="00E11F0B">
        <w:rPr>
          <w:sz w:val="16"/>
          <w:szCs w:val="18"/>
        </w:rPr>
        <w:t xml:space="preserve">"43 </w:t>
      </w:r>
      <w:r w:rsidRPr="00E11F0B">
        <w:rPr>
          <w:sz w:val="16"/>
          <w:szCs w:val="20"/>
        </w:rPr>
        <w:t>Michael Omi and Howard Winant add that the state became the "chief movement target" because the state had "histor- ically maintained and organized racial practices" and because the state "was traversed by the same antagonisms which penetrated the entire soci-</w:t>
      </w:r>
      <w:r w:rsidRPr="00E11F0B">
        <w:rPr>
          <w:sz w:val="16"/>
          <w:szCs w:val="18"/>
        </w:rPr>
        <w:t xml:space="preserve">ety."44 </w:t>
      </w:r>
      <w:r w:rsidRPr="00E11F0B">
        <w:rPr>
          <w:sz w:val="16"/>
          <w:szCs w:val="20"/>
        </w:rPr>
        <w:t xml:space="preserve">But, as Lowe contends, </w:t>
      </w:r>
      <w:r>
        <w:rPr>
          <w:b/>
          <w:sz w:val="20"/>
          <w:szCs w:val="20"/>
          <w:u w:val="single"/>
        </w:rPr>
        <w:t xml:space="preserve">focusing on political emancipation-as the mode of freedom and recognition offered by the state-was not without significant limitations: "the civil rights project confronts its limits where the pursuit of enfranchisement coincides with a refortification of the state </w:t>
      </w:r>
      <w:r>
        <w:rPr>
          <w:b/>
          <w:sz w:val="18"/>
          <w:szCs w:val="18"/>
          <w:u w:val="single"/>
        </w:rPr>
        <w:t xml:space="preserve">as </w:t>
      </w:r>
      <w:r>
        <w:rPr>
          <w:b/>
          <w:sz w:val="20"/>
          <w:szCs w:val="20"/>
          <w:u w:val="single"/>
        </w:rPr>
        <w:t xml:space="preserve">the guarantor of rights and precludes the necessary critique of the state </w:t>
      </w:r>
      <w:r>
        <w:rPr>
          <w:b/>
          <w:sz w:val="18"/>
          <w:szCs w:val="18"/>
          <w:u w:val="single"/>
        </w:rPr>
        <w:t xml:space="preserve">as </w:t>
      </w:r>
      <w:r>
        <w:rPr>
          <w:b/>
          <w:sz w:val="20"/>
          <w:szCs w:val="20"/>
          <w:u w:val="single"/>
        </w:rPr>
        <w:t xml:space="preserve">the protector of liberal capitalism, steadily dividing the racialized labor forces it continues to exclude from those rights. </w:t>
      </w:r>
      <w:r w:rsidRPr="00E11F0B">
        <w:rPr>
          <w:sz w:val="16"/>
          <w:szCs w:val="18"/>
        </w:rPr>
        <w:t xml:space="preserve">"45 </w:t>
      </w:r>
      <w:r w:rsidRPr="00E11F0B">
        <w:rPr>
          <w:sz w:val="16"/>
          <w:szCs w:val="20"/>
        </w:rPr>
        <w:t xml:space="preserve">Here, Lowe identifies </w:t>
      </w:r>
      <w:r>
        <w:rPr>
          <w:b/>
          <w:sz w:val="20"/>
          <w:szCs w:val="20"/>
          <w:u w:val="single"/>
        </w:rPr>
        <w:t>a powerful and genealogical instance in which minority emancipation corresponds with the state's own protocols.</w:t>
      </w:r>
      <w:r w:rsidRPr="00E11F0B">
        <w:rPr>
          <w:sz w:val="16"/>
          <w:szCs w:val="20"/>
        </w:rPr>
        <w:t xml:space="preserve"> Indeed, we can look at Gogol's day in court as part of that genealogical moment inasmuch as he too encounters the state as the certifier of his identity and the guarantor of his right to it. But </w:t>
      </w:r>
      <w:r>
        <w:rPr>
          <w:b/>
          <w:sz w:val="20"/>
          <w:szCs w:val="20"/>
          <w:u w:val="single"/>
        </w:rPr>
        <w:t>the state's status as the certifier and guarantor of minority rights and identity is untrustworthy ground,</w:t>
      </w:r>
      <w:r w:rsidRPr="00E11F0B">
        <w:rPr>
          <w:sz w:val="16"/>
          <w:szCs w:val="20"/>
        </w:rPr>
        <w:t xml:space="preserve"> to say the least. As Lowe argues, </w:t>
      </w:r>
      <w:r>
        <w:rPr>
          <w:b/>
          <w:sz w:val="20"/>
          <w:szCs w:val="20"/>
          <w:u w:val="single"/>
        </w:rPr>
        <w:t>the state guarantees liberal capitalism and, therefore, the racialized exclusions on which it depends, assuring that there will be widespread exploitation in the midst of opportunity.</w:t>
      </w:r>
      <w:r w:rsidRPr="00E11F0B">
        <w:rPr>
          <w:sz w:val="16"/>
          <w:szCs w:val="20"/>
        </w:rPr>
        <w:t xml:space="preserve"> Hence, the letdown that Gogol experiences in the latter part of the scene is a metaphor of the eventual impotency of political emancipation. As such, the scene challenges the idea that the state is the ideal supporter of and audience for minority identity and recogni- tion.</w:t>
      </w:r>
      <w:r w:rsidRPr="00E11F0B">
        <w:rPr>
          <w:sz w:val="16"/>
          <w:szCs w:val="12"/>
        </w:rPr>
        <w:t xml:space="preserve">46 </w:t>
      </w:r>
      <w:r w:rsidRPr="00E11F0B">
        <w:rPr>
          <w:sz w:val="16"/>
          <w:szCs w:val="20"/>
        </w:rPr>
        <w:t xml:space="preserve">While the kiss promised a form of acknowledgment that would be endless in its pleasure, </w:t>
      </w:r>
      <w:r>
        <w:rPr>
          <w:sz w:val="20"/>
          <w:szCs w:val="20"/>
          <w:u w:val="single"/>
        </w:rPr>
        <w:t>the courthouse granted a recognition that was anemic and frustrated in its consummation</w:t>
      </w:r>
      <w:r w:rsidRPr="00E11F0B">
        <w:rPr>
          <w:sz w:val="16"/>
          <w:szCs w:val="20"/>
        </w:rPr>
        <w:t xml:space="preserve">. Locating this anemia and frustration within the state's absorption of civil rights struggles, critical race theorists </w:t>
      </w:r>
      <w:r>
        <w:rPr>
          <w:b/>
          <w:sz w:val="20"/>
          <w:szCs w:val="20"/>
          <w:u w:val="single"/>
        </w:rPr>
        <w:t xml:space="preserve">Kimberle Crenshaw, Neil Gotanda, Gary Peller, and Kendall Thomas note that "the reigning contemporary American ideologies about race" were organized around an "implicit social compact" in the sixties and seventies that promoted racism as exceptional rather than systemic and that thereby "excluded radical or fundamental challenges </w:t>
      </w:r>
      <w:r>
        <w:rPr>
          <w:b/>
          <w:sz w:val="18"/>
          <w:szCs w:val="18"/>
          <w:u w:val="single"/>
        </w:rPr>
        <w:t xml:space="preserve">to </w:t>
      </w:r>
      <w:r>
        <w:rPr>
          <w:b/>
          <w:sz w:val="20"/>
          <w:szCs w:val="20"/>
          <w:u w:val="single"/>
        </w:rPr>
        <w:t>the status quo.</w:t>
      </w:r>
      <w:r w:rsidRPr="00E11F0B">
        <w:rPr>
          <w:sz w:val="16"/>
          <w:szCs w:val="14"/>
        </w:rPr>
        <w:t xml:space="preserve">"47 </w:t>
      </w:r>
      <w:r w:rsidRPr="00E11F0B">
        <w:rPr>
          <w:sz w:val="16"/>
          <w:szCs w:val="20"/>
        </w:rPr>
        <w:t xml:space="preserve">Part of the implicit social compact between the state and the antiracist movements of the fifties and sixties was over the issue of identity. Discussing how iden- tity shaped powerful segments of the race-based movements of those two decades, Omi and Winant explain that the "enduring legacy of the racial minority movements" was the "forging of new collective racial identities." </w:t>
      </w:r>
      <w:r>
        <w:rPr>
          <w:b/>
          <w:sz w:val="20"/>
          <w:szCs w:val="20"/>
          <w:u w:val="single"/>
        </w:rPr>
        <w:t>While civil rights gains were being retrenched, "the persistence of the new racial identities developed during this period stands out as the single truly formidable obstacle to the consolidation of a newly repressive order.</w:t>
      </w:r>
      <w:r w:rsidRPr="00E11F0B">
        <w:rPr>
          <w:sz w:val="16"/>
          <w:szCs w:val="20"/>
        </w:rPr>
        <w:t xml:space="preserve"> </w:t>
      </w:r>
      <w:r w:rsidRPr="00E11F0B">
        <w:rPr>
          <w:sz w:val="16"/>
          <w:szCs w:val="14"/>
        </w:rPr>
        <w:t xml:space="preserve">"48 </w:t>
      </w:r>
      <w:r w:rsidRPr="00E11F0B">
        <w:rPr>
          <w:sz w:val="16"/>
          <w:szCs w:val="20"/>
        </w:rPr>
        <w:t xml:space="preserve">Yet, </w:t>
      </w:r>
      <w:r>
        <w:rPr>
          <w:b/>
          <w:sz w:val="20"/>
          <w:szCs w:val="20"/>
          <w:u w:val="single"/>
        </w:rPr>
        <w:t>contrary to movement claims, if political emancipation during that period was executed through the state's support for minority recognition and formal representation, then identity was not by definition antithetical to that emancipation offered by the state in the 1960s and afterwards but fundamental</w:t>
      </w:r>
      <w:r w:rsidRPr="00E11F0B">
        <w:rPr>
          <w:sz w:val="16"/>
          <w:szCs w:val="20"/>
        </w:rPr>
        <w:t xml:space="preserve"> to that emancipation. </w:t>
      </w:r>
      <w:r w:rsidRPr="00E11F0B">
        <w:rPr>
          <w:sz w:val="16"/>
          <w:szCs w:val="18"/>
        </w:rPr>
        <w:t xml:space="preserve">As </w:t>
      </w:r>
      <w:r w:rsidRPr="00E11F0B">
        <w:rPr>
          <w:sz w:val="16"/>
          <w:szCs w:val="20"/>
        </w:rPr>
        <w:t xml:space="preserve">Crenshaw, Gotanda, Peller, and Thomas note, "the mere recognition of race" and the promotion of diver- sity without ensuring equal opportunity were strategies by which the state withdrew from antiracist redistribution. </w:t>
      </w:r>
      <w:r>
        <w:rPr>
          <w:b/>
          <w:sz w:val="20"/>
          <w:szCs w:val="20"/>
          <w:u w:val="single"/>
        </w:rPr>
        <w:t>For the modern nation-state, recognizing identity as a way to circumvent redistribution is not a phenomenon that arose in the moments after the student movements.</w:t>
      </w:r>
      <w:r w:rsidRPr="00E11F0B">
        <w:rPr>
          <w:sz w:val="16"/>
          <w:szCs w:val="20"/>
        </w:rPr>
        <w:t xml:space="preserve"> Indeed, its genealogy lies in the liberal-capitalist United States. </w:t>
      </w:r>
      <w:r w:rsidRPr="00E11F0B">
        <w:rPr>
          <w:b/>
          <w:sz w:val="16"/>
          <w:szCs w:val="18"/>
        </w:rPr>
        <w:t xml:space="preserve">In </w:t>
      </w:r>
      <w:r w:rsidRPr="00E11F0B">
        <w:rPr>
          <w:sz w:val="16"/>
          <w:szCs w:val="20"/>
        </w:rPr>
        <w:t xml:space="preserve">fact, Marx's 1843 article "On the Jewish Question" is, in many ways, about the modern nation-state's relationship to identity and redistribution. The essay is, in part, a rebuttal to the German philosopher Bruno Bauer's assertion that Jewish emancipation </w:t>
      </w:r>
      <w:r w:rsidRPr="00E11F0B">
        <w:rPr>
          <w:sz w:val="16"/>
          <w:szCs w:val="18"/>
        </w:rPr>
        <w:t xml:space="preserve">is </w:t>
      </w:r>
      <w:r w:rsidRPr="00E11F0B">
        <w:rPr>
          <w:sz w:val="16"/>
          <w:szCs w:val="20"/>
        </w:rPr>
        <w:t xml:space="preserve">inconsistent with state emancipation, an assertion based on Bauer's assumption that the Jew has no right to demand political emancipation as defined by a Christian state. Marx counters Bauer's assertion by arguing that the modern nation-state </w:t>
      </w:r>
      <w:r w:rsidRPr="00E11F0B">
        <w:rPr>
          <w:sz w:val="16"/>
          <w:szCs w:val="18"/>
        </w:rPr>
        <w:t xml:space="preserve">is </w:t>
      </w:r>
      <w:r w:rsidRPr="00E11F0B">
        <w:rPr>
          <w:sz w:val="16"/>
          <w:szCs w:val="20"/>
        </w:rPr>
        <w:t xml:space="preserve">not Christian but secular and best exemplified by the Union states in the secular United States. According to Marx, the secular nation-state engages the question of religious diversity not as a religious issue but as a social one and-in the spirit of political emancipation-demonstrates a certain open- ness to religious diversity: "[What] </w:t>
      </w:r>
      <w:r w:rsidRPr="00E11F0B">
        <w:rPr>
          <w:sz w:val="16"/>
          <w:szCs w:val="18"/>
        </w:rPr>
        <w:t xml:space="preserve">is </w:t>
      </w:r>
      <w:r w:rsidRPr="00E11F0B">
        <w:rPr>
          <w:sz w:val="16"/>
          <w:szCs w:val="20"/>
        </w:rPr>
        <w:t xml:space="preserve">the relation between complete polit- ical emancipation and religion? </w:t>
      </w:r>
      <w:r w:rsidRPr="00E11F0B">
        <w:rPr>
          <w:sz w:val="16"/>
        </w:rPr>
        <w:t xml:space="preserve">If </w:t>
      </w:r>
      <w:r w:rsidRPr="00E11F0B">
        <w:rPr>
          <w:sz w:val="16"/>
          <w:szCs w:val="20"/>
        </w:rPr>
        <w:t xml:space="preserve">we find in the country that has attained full political emancipation, that religion not only continues to exist but </w:t>
      </w:r>
      <w:r w:rsidRPr="00E11F0B">
        <w:rPr>
          <w:sz w:val="16"/>
          <w:szCs w:val="18"/>
        </w:rPr>
        <w:t xml:space="preserve">is </w:t>
      </w:r>
      <w:r w:rsidRPr="00E11F0B">
        <w:rPr>
          <w:sz w:val="16"/>
          <w:szCs w:val="20"/>
        </w:rPr>
        <w:t xml:space="preserve">fresh and vigorous, this </w:t>
      </w:r>
      <w:r w:rsidRPr="00E11F0B">
        <w:rPr>
          <w:sz w:val="16"/>
          <w:szCs w:val="18"/>
        </w:rPr>
        <w:t xml:space="preserve">is </w:t>
      </w:r>
      <w:r w:rsidRPr="00E11F0B">
        <w:rPr>
          <w:sz w:val="16"/>
          <w:szCs w:val="20"/>
        </w:rPr>
        <w:t>proof that the existence of religion is not at all opposed to the perfection of the state.</w:t>
      </w:r>
      <w:r w:rsidRPr="00E11F0B">
        <w:rPr>
          <w:sz w:val="16"/>
          <w:szCs w:val="14"/>
        </w:rPr>
        <w:t xml:space="preserve">"49 </w:t>
      </w:r>
      <w:r w:rsidRPr="00E11F0B">
        <w:rPr>
          <w:sz w:val="16"/>
          <w:szCs w:val="20"/>
        </w:rPr>
        <w:t xml:space="preserve">According to Marx, religion is not opposed to the state's perfection or to political emancipation because in the secular state religion becomes part of the "general presuppositions" and "elements" of the state, taking its place alongside private property, birth, rank, and education. As they become part of the state, these "effec- tive differences" are not abolished but are allowed to act "after their own fashion" and "particular nature," as the very items that the state archives in the terrain of civil society and that the state recognizes as part of civil society. In such a configuration, the state, for Marx, acts as the intermediary between man and his liberties and emerges as the entity that will allow man to have access to the freedoms of religion, property, education, occupation, rank, and birth: "[By] emancipating himself politically, man emancipates himself in a devious way, through an intermediary, however necessary this intermediary may be </w:t>
      </w:r>
      <w:r w:rsidRPr="00E11F0B">
        <w:rPr>
          <w:sz w:val="16"/>
          <w:szCs w:val="24"/>
        </w:rPr>
        <w:t xml:space="preserve">... </w:t>
      </w:r>
      <w:r w:rsidRPr="00E11F0B">
        <w:rPr>
          <w:sz w:val="16"/>
          <w:szCs w:val="20"/>
        </w:rPr>
        <w:t xml:space="preserve">The state is the intermediary between man and human liberty."5o The state thus becomes the condition of those freedoms and positivities that man takes as fundamental to his various identities. Seen in this light, </w:t>
      </w:r>
      <w:r>
        <w:rPr>
          <w:b/>
          <w:sz w:val="20"/>
          <w:szCs w:val="20"/>
          <w:u w:val="single"/>
        </w:rPr>
        <w:t>political emancipation through the modern nation-state has always been a way to manage diversity-indeed, to mediate the subject's relationship to diversity</w:t>
      </w:r>
      <w:r w:rsidRPr="00E11F0B">
        <w:rPr>
          <w:sz w:val="16"/>
          <w:szCs w:val="20"/>
        </w:rPr>
        <w:t>. Said differently,</w:t>
      </w:r>
      <w:r>
        <w:rPr>
          <w:b/>
          <w:sz w:val="20"/>
          <w:szCs w:val="20"/>
          <w:u w:val="single"/>
        </w:rPr>
        <w:t xml:space="preserve"> political emancipation defines the processes by which the state conceives and domiciles identity</w:t>
      </w:r>
      <w:r w:rsidRPr="00E11F0B">
        <w:rPr>
          <w:sz w:val="16"/>
          <w:szCs w:val="20"/>
        </w:rPr>
        <w:t xml:space="preserve">. </w:t>
      </w:r>
      <w:r>
        <w:rPr>
          <w:b/>
          <w:sz w:val="18"/>
          <w:szCs w:val="18"/>
          <w:u w:val="single"/>
        </w:rPr>
        <w:t xml:space="preserve">By </w:t>
      </w:r>
      <w:r>
        <w:rPr>
          <w:b/>
          <w:sz w:val="20"/>
          <w:szCs w:val="20"/>
          <w:u w:val="single"/>
        </w:rPr>
        <w:t xml:space="preserve">archiving modes of difference in the halls of civil society, the state manages diversity through political emancipation </w:t>
      </w:r>
      <w:r>
        <w:rPr>
          <w:b/>
          <w:sz w:val="20"/>
          <w:szCs w:val="20"/>
          <w:u w:val="single"/>
        </w:rPr>
        <w:lastRenderedPageBreak/>
        <w:t>and in doing so, narrows the breadth of that diversity.</w:t>
      </w:r>
      <w:r w:rsidRPr="00E11F0B">
        <w:rPr>
          <w:sz w:val="16"/>
          <w:szCs w:val="20"/>
        </w:rPr>
        <w:t xml:space="preserve"> In his discussion of religion's own emancipation as a private identity, for instance, Marx says, "Religion no longer appears as the basis, but as the manifestation of secular narrowness."51 </w:t>
      </w:r>
      <w:r>
        <w:rPr>
          <w:b/>
          <w:sz w:val="20"/>
          <w:szCs w:val="20"/>
          <w:u w:val="single"/>
        </w:rPr>
        <w:t>The state "narrows" the elements and presuppositions of civil society by relegating them to that terrain, turning them into freedoms only secured through the state, and then making them alibis for the privatization of the individual</w:t>
      </w:r>
      <w:r w:rsidRPr="00E11F0B">
        <w:rPr>
          <w:sz w:val="16"/>
          <w:szCs w:val="20"/>
        </w:rPr>
        <w:t xml:space="preserve">: "But liberty as a right of man </w:t>
      </w:r>
      <w:r w:rsidRPr="00E11F0B">
        <w:rPr>
          <w:sz w:val="16"/>
          <w:szCs w:val="18"/>
        </w:rPr>
        <w:t xml:space="preserve">is </w:t>
      </w:r>
      <w:r w:rsidRPr="00E11F0B">
        <w:rPr>
          <w:sz w:val="16"/>
          <w:szCs w:val="20"/>
        </w:rPr>
        <w:t xml:space="preserve">not founded upon the relations between man and man, but rather upon the separation of man from man. It </w:t>
      </w:r>
      <w:r w:rsidRPr="00E11F0B">
        <w:rPr>
          <w:sz w:val="16"/>
          <w:szCs w:val="18"/>
        </w:rPr>
        <w:t xml:space="preserve">is </w:t>
      </w:r>
      <w:r w:rsidRPr="00E11F0B">
        <w:rPr>
          <w:sz w:val="16"/>
          <w:szCs w:val="20"/>
        </w:rPr>
        <w:t xml:space="preserve">the right of such separation. The right of the circumscribed individual, with- drawn unto himself."52 Politically emancipating the various items of civil society, for Marx, means using those elements to further the economic mode of private property, "narrowing" items for the good of an economic mode. </w:t>
      </w:r>
      <w:r>
        <w:rPr>
          <w:b/>
          <w:sz w:val="20"/>
          <w:szCs w:val="20"/>
          <w:u w:val="single"/>
        </w:rPr>
        <w:t>Because of the antiracist movements of the fifties and sixties, the U.S. nation-state would achieve new levels of freedom and secularity. Indeed, the transformations that took place on campus yards would help to make the rearticulations of minority difference into the general presuppositions and elements of U.S. liberal capitalism, but these presuppositions would not sit and wither on the vine of the private sphere but would change the identities of academy, state and capital, making them the intermediaries between minoritized subjects and minority difference.</w:t>
      </w:r>
      <w:r w:rsidRPr="00E11F0B">
        <w:rPr>
          <w:sz w:val="16"/>
          <w:szCs w:val="20"/>
        </w:rPr>
        <w:t xml:space="preserve"> </w:t>
      </w:r>
    </w:p>
    <w:p xmlns:wp14="http://schemas.microsoft.com/office/word/2010/wordml" w:rsidR="00054398" w:rsidP="00054398" w:rsidRDefault="00054398" w14:paraId="30DCCCAD" wp14:textId="77777777">
      <w:pPr>
        <w:rPr>
          <w:sz w:val="20"/>
          <w:szCs w:val="20"/>
        </w:rPr>
      </w:pPr>
    </w:p>
    <w:p xmlns:wp14="http://schemas.microsoft.com/office/word/2010/wordml" w:rsidR="00054398" w:rsidP="00054398" w:rsidRDefault="00054398" w14:paraId="1B94B54C" wp14:textId="77777777">
      <w:pPr>
        <w:pStyle w:val="Heading4"/>
      </w:pPr>
      <w:r>
        <w:t xml:space="preserve">US global engagement with anticolonial nationalisms would affect US social institutions and force them to become inclusive in order to manage minority difference via aesthetic and political culture-- the 1ac is one in a long line of many liberal multicultural moves that effectively enabled US institutions to anesthetize their imbrication in violence because minorities had gained representation. </w:t>
      </w:r>
    </w:p>
    <w:p xmlns:wp14="http://schemas.microsoft.com/office/word/2010/wordml" w:rsidR="00054398" w:rsidP="00054398" w:rsidRDefault="00054398" w14:paraId="2ADFFDD0" wp14:textId="77777777">
      <w:pPr>
        <w:rPr>
          <w:sz w:val="20"/>
          <w:szCs w:val="20"/>
        </w:rPr>
      </w:pPr>
      <w:r w:rsidRPr="001710C3">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188-189]</w:t>
      </w:r>
      <w:r>
        <w:rPr>
          <w:sz w:val="20"/>
          <w:szCs w:val="20"/>
        </w:rPr>
        <w:tab/>
      </w:r>
      <w:r>
        <w:rPr>
          <w:sz w:val="20"/>
          <w:szCs w:val="20"/>
        </w:rPr>
        <w:t xml:space="preserve"> </w:t>
      </w:r>
      <w:r>
        <w:rPr>
          <w:sz w:val="20"/>
          <w:szCs w:val="20"/>
        </w:rPr>
        <w:tab/>
      </w:r>
      <w:r>
        <w:rPr>
          <w:sz w:val="20"/>
          <w:szCs w:val="20"/>
        </w:rPr>
        <w:t xml:space="preserve"> </w:t>
      </w:r>
      <w:r>
        <w:rPr>
          <w:sz w:val="20"/>
          <w:szCs w:val="20"/>
        </w:rPr>
        <w:tab/>
      </w:r>
      <w:r>
        <w:rPr>
          <w:sz w:val="20"/>
          <w:szCs w:val="20"/>
        </w:rPr>
        <w:t xml:space="preserve"> </w:t>
      </w:r>
      <w:r>
        <w:rPr>
          <w:sz w:val="20"/>
          <w:szCs w:val="20"/>
        </w:rPr>
        <w:tab/>
      </w:r>
      <w:r>
        <w:rPr>
          <w:sz w:val="20"/>
          <w:szCs w:val="20"/>
        </w:rPr>
        <w:tab/>
      </w:r>
    </w:p>
    <w:p xmlns:wp14="http://schemas.microsoft.com/office/word/2010/wordml" w:rsidR="00054398" w:rsidP="00054398" w:rsidRDefault="00054398" w14:paraId="36AF6883" wp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5A695E05" wp14:textId="77777777">
      <w:pPr>
        <w:rPr>
          <w:sz w:val="20"/>
          <w:szCs w:val="20"/>
        </w:rPr>
      </w:pPr>
      <w:r>
        <w:rPr>
          <w:sz w:val="20"/>
          <w:szCs w:val="20"/>
        </w:rPr>
        <w:t xml:space="preserve">This </w:t>
      </w:r>
      <w:r>
        <w:rPr>
          <w:b/>
          <w:sz w:val="20"/>
          <w:szCs w:val="20"/>
          <w:u w:val="single"/>
        </w:rPr>
        <w:t>global engagement with the cultures of anticolonial nationalism would also shape the responses that U.S. social institutions had toward minority difference</w:t>
      </w:r>
      <w:r>
        <w:rPr>
          <w:sz w:val="20"/>
          <w:szCs w:val="20"/>
        </w:rPr>
        <w:t xml:space="preserve">. As Cynthia Tolentino indicates, professional classes of intellectuals of color emerged during the Cold War period not as "represen- tative subjects" or "exceptional classes" but as formations that helped to illuminate"[shifts] in the concept of </w:t>
      </w:r>
      <w:r>
        <w:rPr>
          <w:sz w:val="26"/>
          <w:szCs w:val="26"/>
        </w:rPr>
        <w:t xml:space="preserve">u.s. </w:t>
      </w:r>
      <w:r>
        <w:rPr>
          <w:sz w:val="20"/>
          <w:szCs w:val="20"/>
        </w:rPr>
        <w:t>global power.</w:t>
      </w:r>
      <w:r>
        <w:rPr>
          <w:sz w:val="14"/>
          <w:szCs w:val="14"/>
        </w:rPr>
        <w:t xml:space="preserve">"22 </w:t>
      </w:r>
      <w:r>
        <w:rPr>
          <w:sz w:val="20"/>
          <w:szCs w:val="20"/>
        </w:rPr>
        <w:t xml:space="preserve">She argues that race began its "cultural moment" in the United States through sociological discourses that professionalized the study of race and encouraged African Americans and Asian Americans in particular to become race profession- als. </w:t>
      </w:r>
      <w:r>
        <w:rPr>
          <w:b/>
          <w:sz w:val="20"/>
          <w:szCs w:val="20"/>
          <w:u w:val="single"/>
        </w:rPr>
        <w:t xml:space="preserve">For many in the United States, the production of the intellectual of color became evidence of the state's investment in antiracist work and its rebuttal </w:t>
      </w:r>
      <w:r>
        <w:rPr>
          <w:b/>
          <w:sz w:val="16"/>
          <w:szCs w:val="16"/>
          <w:u w:val="single"/>
        </w:rPr>
        <w:t xml:space="preserve">to </w:t>
      </w:r>
      <w:r>
        <w:rPr>
          <w:b/>
          <w:sz w:val="20"/>
          <w:szCs w:val="20"/>
          <w:u w:val="single"/>
        </w:rPr>
        <w:t>Soviet charges of American hypocrisy and government-supported white supremacy.</w:t>
      </w:r>
      <w:r>
        <w:rPr>
          <w:sz w:val="20"/>
          <w:szCs w:val="20"/>
        </w:rPr>
        <w:t xml:space="preserve"> </w:t>
      </w:r>
      <w:r>
        <w:rPr>
          <w:b/>
          <w:sz w:val="20"/>
          <w:szCs w:val="20"/>
          <w:u w:val="single"/>
        </w:rPr>
        <w:t>The professionalization of intellectuals of color as researchers and informants would also allow the United States to anesthetize critiques of its own imperial history in regions like the Philippines</w:t>
      </w:r>
      <w:r>
        <w:rPr>
          <w:sz w:val="20"/>
          <w:szCs w:val="20"/>
        </w:rPr>
        <w:t xml:space="preserve">. The springtime of American universities would dovetail with the rise of decolonization, producing the conditions whereby minority social and cultural formations would become contradictory sites for both critique and reconciliation. Because of the student movements, political, economic, and academic institutions would have to confront charges of material inequal- ity and exclusion, responding to those charges by representing minority interests. Hence, in the mid-to-late twentieth century, </w:t>
      </w:r>
      <w:r>
        <w:rPr>
          <w:sz w:val="20"/>
          <w:szCs w:val="20"/>
          <w:u w:val="single"/>
        </w:rPr>
        <w:t xml:space="preserve">the university arose </w:t>
      </w:r>
      <w:r>
        <w:rPr>
          <w:sz w:val="18"/>
          <w:szCs w:val="18"/>
          <w:u w:val="single"/>
        </w:rPr>
        <w:t xml:space="preserve">as </w:t>
      </w:r>
      <w:r>
        <w:rPr>
          <w:sz w:val="20"/>
          <w:szCs w:val="20"/>
          <w:u w:val="single"/>
        </w:rPr>
        <w:t>a prominent site of minority reconciliation.</w:t>
      </w:r>
      <w:r>
        <w:rPr>
          <w:sz w:val="20"/>
          <w:szCs w:val="20"/>
        </w:rPr>
        <w:t xml:space="preserve"> In fact, the American acad- emy was in a favorable position to refine the procedures of democratic representation. </w:t>
      </w:r>
      <w:r>
        <w:rPr>
          <w:b/>
          <w:sz w:val="20"/>
          <w:szCs w:val="20"/>
          <w:u w:val="single"/>
        </w:rPr>
        <w:t xml:space="preserve">It was responsible not only for incorporating racial, gen- </w:t>
      </w:r>
      <w:r>
        <w:rPr>
          <w:b/>
          <w:sz w:val="18"/>
          <w:szCs w:val="18"/>
          <w:u w:val="single"/>
        </w:rPr>
        <w:t xml:space="preserve">der, </w:t>
      </w:r>
      <w:r>
        <w:rPr>
          <w:b/>
          <w:sz w:val="20"/>
          <w:szCs w:val="20"/>
          <w:u w:val="single"/>
        </w:rPr>
        <w:t xml:space="preserve">and ethnic minorities but also for giving the world a language for how </w:t>
      </w:r>
      <w:r>
        <w:rPr>
          <w:b/>
          <w:sz w:val="18"/>
          <w:szCs w:val="18"/>
          <w:u w:val="single"/>
        </w:rPr>
        <w:t xml:space="preserve">to </w:t>
      </w:r>
      <w:r>
        <w:rPr>
          <w:b/>
          <w:sz w:val="20"/>
          <w:szCs w:val="20"/>
          <w:u w:val="single"/>
        </w:rPr>
        <w:t>engage and tolerate the respective differences of those minorities.</w:t>
      </w:r>
      <w:r>
        <w:rPr>
          <w:sz w:val="20"/>
          <w:szCs w:val="20"/>
        </w:rPr>
        <w:t xml:space="preserve"> </w:t>
      </w:r>
      <w:r>
        <w:rPr>
          <w:b/>
          <w:sz w:val="18"/>
          <w:szCs w:val="18"/>
          <w:u w:val="single"/>
        </w:rPr>
        <w:t xml:space="preserve">As </w:t>
      </w:r>
      <w:r>
        <w:rPr>
          <w:b/>
          <w:sz w:val="20"/>
          <w:szCs w:val="20"/>
          <w:u w:val="single"/>
        </w:rPr>
        <w:t xml:space="preserve">anticolonial movements put certain pressures on Western man as a viable standard for modern civilization, the student movements disabled certain claims about what counted as major and </w:t>
      </w:r>
      <w:r>
        <w:rPr>
          <w:b/>
          <w:sz w:val="20"/>
          <w:szCs w:val="20"/>
          <w:u w:val="single"/>
        </w:rPr>
        <w:lastRenderedPageBreak/>
        <w:t xml:space="preserve">minor cultural forms and practices, disrupting the reigning cultural and epistemological hierarchies </w:t>
      </w:r>
      <w:r>
        <w:rPr>
          <w:b/>
          <w:sz w:val="18"/>
          <w:szCs w:val="18"/>
          <w:u w:val="single"/>
        </w:rPr>
        <w:t xml:space="preserve">in </w:t>
      </w:r>
      <w:r>
        <w:rPr>
          <w:b/>
          <w:sz w:val="20"/>
          <w:szCs w:val="20"/>
          <w:u w:val="single"/>
        </w:rPr>
        <w:t>the process.</w:t>
      </w:r>
      <w:r>
        <w:rPr>
          <w:sz w:val="20"/>
          <w:szCs w:val="20"/>
        </w:rPr>
        <w:t xml:space="preserve"> </w:t>
      </w:r>
      <w:r>
        <w:rPr>
          <w:sz w:val="20"/>
          <w:szCs w:val="20"/>
          <w:u w:val="single"/>
        </w:rPr>
        <w:t>In response to U.S. insurgencies and in an attempt at rec- onciliation, the American academy had to reorder the canon's capacities for identification</w:t>
      </w:r>
      <w:r>
        <w:rPr>
          <w:sz w:val="20"/>
          <w:szCs w:val="20"/>
        </w:rPr>
        <w:t xml:space="preserve">. </w:t>
      </w:r>
      <w:r>
        <w:rPr>
          <w:b/>
          <w:sz w:val="20"/>
          <w:szCs w:val="20"/>
          <w:u w:val="single"/>
        </w:rPr>
        <w:t>Aesthetic culture had to become a space of possibles for minoritized subjects rather than the simple terrain of exclusion for minor- ity development</w:t>
      </w:r>
      <w:r>
        <w:rPr>
          <w:sz w:val="20"/>
          <w:szCs w:val="20"/>
        </w:rPr>
        <w:t xml:space="preserve">. </w:t>
      </w:r>
      <w:r>
        <w:rPr>
          <w:sz w:val="18"/>
          <w:szCs w:val="18"/>
        </w:rPr>
        <w:t xml:space="preserve">As </w:t>
      </w:r>
      <w:r>
        <w:rPr>
          <w:sz w:val="20"/>
          <w:szCs w:val="20"/>
        </w:rPr>
        <w:t xml:space="preserve">the U.S. nation-state responded to those insurgencies by wrestling over the incorporation of minorities into American society, American col- </w:t>
      </w:r>
      <w:r>
        <w:rPr>
          <w:sz w:val="18"/>
          <w:szCs w:val="18"/>
        </w:rPr>
        <w:t xml:space="preserve">leges </w:t>
      </w:r>
      <w:r>
        <w:rPr>
          <w:sz w:val="20"/>
          <w:szCs w:val="20"/>
        </w:rPr>
        <w:t>and universities would become the places that might educate minori- tized subjects into the political identities and protocols of the nation</w:t>
      </w:r>
      <w:r>
        <w:t xml:space="preserve">-this </w:t>
      </w:r>
      <w:r>
        <w:rPr>
          <w:sz w:val="20"/>
          <w:szCs w:val="20"/>
        </w:rPr>
        <w:t xml:space="preserve">time with a revised canon in hand. </w:t>
      </w:r>
      <w:r>
        <w:rPr>
          <w:b/>
          <w:sz w:val="20"/>
          <w:szCs w:val="20"/>
          <w:u w:val="single"/>
        </w:rPr>
        <w:t>With the incorporation of minoritized subjects, the academy would bring together political theory's interest in the development of the citizen and aesthetic culture's role in the cultiva- tion of the cosmopolite like never before</w:t>
      </w:r>
      <w:r>
        <w:rPr>
          <w:sz w:val="20"/>
          <w:szCs w:val="20"/>
        </w:rPr>
        <w:t xml:space="preserve">. And yet the minorities that en- gaged American institutions would be different from the minorities that Mill worried over. The racial, gender, sexual, and class differences of U.S. minorities would stretch the academy and the state's capacities for identi- fication in ways that Mill would never have dreamed of. </w:t>
      </w:r>
    </w:p>
    <w:p xmlns:wp14="http://schemas.microsoft.com/office/word/2010/wordml" w:rsidR="00054398" w:rsidP="00054398" w:rsidRDefault="00054398" w14:paraId="54C529ED" wp14:textId="77777777">
      <w:pPr>
        <w:rPr>
          <w:sz w:val="20"/>
          <w:szCs w:val="20"/>
        </w:rPr>
      </w:pPr>
    </w:p>
    <w:p xmlns:wp14="http://schemas.microsoft.com/office/word/2010/wordml" w:rsidR="00054398" w:rsidP="00054398" w:rsidRDefault="00054398" w14:paraId="3013BA38" wp14:textId="77777777">
      <w:pPr>
        <w:pStyle w:val="Heading4"/>
      </w:pPr>
      <w:r>
        <w:t>The aff’s attempt to include minoritized subjects or represent them within existing institutional frames is a state strategy that builds upon Enlightenment liberalism and the concepts of achievement and capacity in order to regulate and discipline minoritized subjects on the terms of institutional frameworks. The 1ac is a series of many evaluative discourses for minority participation that preserves the binary between inclusion and exclusion that preserves the hegemony of Man.</w:t>
      </w:r>
    </w:p>
    <w:p xmlns:wp14="http://schemas.microsoft.com/office/word/2010/wordml" w:rsidR="00054398" w:rsidP="00054398" w:rsidRDefault="00054398" w14:paraId="1E2981A8" wp14:textId="77777777">
      <w:pPr>
        <w:rPr>
          <w:sz w:val="20"/>
          <w:szCs w:val="20"/>
        </w:rPr>
      </w:pPr>
      <w:r w:rsidRPr="001710C3">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197-199]</w:t>
      </w:r>
    </w:p>
    <w:p xmlns:wp14="http://schemas.microsoft.com/office/word/2010/wordml" w:rsidR="00054398" w:rsidP="00054398" w:rsidRDefault="00054398" w14:paraId="1C0157D6" wp14:textId="77777777">
      <w:pPr>
        <w:rPr>
          <w:sz w:val="20"/>
          <w:szCs w:val="20"/>
        </w:rPr>
      </w:pPr>
    </w:p>
    <w:p xmlns:wp14="http://schemas.microsoft.com/office/word/2010/wordml" w:rsidR="00054398" w:rsidP="00054398" w:rsidRDefault="00054398" w14:paraId="27C5B56A" wp14:textId="77777777">
      <w:pPr>
        <w:rPr>
          <w:b/>
          <w:sz w:val="20"/>
          <w:szCs w:val="20"/>
          <w:u w:val="single"/>
        </w:rPr>
      </w:pPr>
      <w:r>
        <w:rPr>
          <w:sz w:val="18"/>
          <w:szCs w:val="18"/>
          <w:u w:val="single"/>
        </w:rPr>
        <w:t xml:space="preserve">We </w:t>
      </w:r>
      <w:r>
        <w:rPr>
          <w:sz w:val="20"/>
          <w:szCs w:val="20"/>
          <w:u w:val="single"/>
        </w:rPr>
        <w:t>might frame the social transformations wrought by the radical move- ments of the 1960s as contradictory occurrences that, on the one hand, ushered in a new dawn of minority culture and difference and, on the other hand, shipped "new" forms of racial hegemony onto shore</w:t>
      </w:r>
      <w:r>
        <w:rPr>
          <w:sz w:val="20"/>
          <w:szCs w:val="20"/>
        </w:rPr>
        <w:t xml:space="preserve">. This contra- diction would account for </w:t>
      </w:r>
      <w:r>
        <w:rPr>
          <w:b/>
          <w:sz w:val="20"/>
          <w:szCs w:val="20"/>
          <w:u w:val="single"/>
        </w:rPr>
        <w:t>the new character of U.S. institutions</w:t>
      </w:r>
      <w:r>
        <w:rPr>
          <w:sz w:val="20"/>
          <w:szCs w:val="20"/>
        </w:rPr>
        <w:t>, one that</w:t>
      </w:r>
      <w:r>
        <w:rPr>
          <w:b/>
          <w:sz w:val="20"/>
          <w:szCs w:val="20"/>
          <w:u w:val="single"/>
        </w:rPr>
        <w:t xml:space="preserve"> would solicit, regulate, and exclude minorities all at the same time.</w:t>
      </w:r>
      <w:r>
        <w:rPr>
          <w:sz w:val="20"/>
          <w:szCs w:val="20"/>
        </w:rPr>
        <w:t xml:space="preserve"> In the divergent circumstances of minority difference, </w:t>
      </w:r>
      <w:r>
        <w:rPr>
          <w:b/>
          <w:sz w:val="20"/>
          <w:szCs w:val="20"/>
          <w:u w:val="single"/>
        </w:rPr>
        <w:t xml:space="preserve">the hegemonic foundations of aesthetic culture would rear their audacious heads and take minorities </w:t>
      </w:r>
      <w:r>
        <w:rPr>
          <w:b/>
          <w:sz w:val="18"/>
          <w:szCs w:val="18"/>
          <w:u w:val="single"/>
        </w:rPr>
        <w:t xml:space="preserve">as </w:t>
      </w:r>
      <w:r>
        <w:rPr>
          <w:b/>
          <w:sz w:val="20"/>
          <w:szCs w:val="20"/>
          <w:u w:val="single"/>
        </w:rPr>
        <w:t>objects for whom institutional preparedness would need to be determined.</w:t>
      </w:r>
      <w:r>
        <w:rPr>
          <w:sz w:val="20"/>
          <w:szCs w:val="20"/>
        </w:rPr>
        <w:t xml:space="preserve"> With the </w:t>
      </w:r>
      <w:r>
        <w:rPr>
          <w:sz w:val="18"/>
          <w:szCs w:val="18"/>
        </w:rPr>
        <w:t xml:space="preserve">rise </w:t>
      </w:r>
      <w:r>
        <w:rPr>
          <w:sz w:val="20"/>
          <w:szCs w:val="20"/>
        </w:rPr>
        <w:t xml:space="preserve">of this new historical contradiction, </w:t>
      </w:r>
      <w:r>
        <w:rPr>
          <w:b/>
          <w:sz w:val="20"/>
          <w:szCs w:val="20"/>
          <w:u w:val="single"/>
        </w:rPr>
        <w:t>evaluative systems would emerge that would compromise and prevent various modes of redistribution geared toward the supplying of material resources, the transformation of discursive arrangements, and the reorganization of social relations and formations.</w:t>
      </w:r>
      <w:r>
        <w:rPr>
          <w:sz w:val="20"/>
          <w:szCs w:val="20"/>
        </w:rPr>
        <w:t xml:space="preserve"> In this tragedy of redistribution and non-redistribution, the contradic- tory elements that inhere within the concept of the "minority" would shine </w:t>
      </w:r>
      <w:r>
        <w:rPr>
          <w:sz w:val="18"/>
          <w:szCs w:val="18"/>
        </w:rPr>
        <w:t xml:space="preserve">as </w:t>
      </w:r>
      <w:r>
        <w:rPr>
          <w:sz w:val="20"/>
          <w:szCs w:val="20"/>
        </w:rPr>
        <w:t xml:space="preserve">never before. </w:t>
      </w:r>
      <w:r>
        <w:rPr>
          <w:b/>
          <w:sz w:val="20"/>
          <w:szCs w:val="20"/>
          <w:u w:val="single"/>
        </w:rPr>
        <w:t>Because the minority is founded in notions of development, suppression, and exclusion, the category makes institutional access not simply a question of admission and privilege but one of discipline and exclusion as well</w:t>
      </w:r>
      <w:r>
        <w:rPr>
          <w:sz w:val="20"/>
          <w:szCs w:val="20"/>
        </w:rPr>
        <w:t xml:space="preserve">. When we leave the sphere of institutional admittance, we observe that minoritized subjects and knowledges risk a bale of measurements and limitations. </w:t>
      </w:r>
      <w:r>
        <w:rPr>
          <w:sz w:val="20"/>
          <w:szCs w:val="20"/>
          <w:u w:val="single"/>
        </w:rPr>
        <w:t xml:space="preserve">In the years following the civil rights movement, the question of how minorities were made into theoretical, political, and cultural categories would begin to share space with the question of how minorities were discursively constituted as </w:t>
      </w:r>
      <w:r>
        <w:rPr>
          <w:i/>
          <w:sz w:val="20"/>
          <w:szCs w:val="20"/>
          <w:u w:val="single"/>
        </w:rPr>
        <w:t xml:space="preserve">institutional </w:t>
      </w:r>
      <w:r>
        <w:rPr>
          <w:sz w:val="20"/>
          <w:szCs w:val="20"/>
          <w:u w:val="single"/>
        </w:rPr>
        <w:t>categories, simultaneously fit for and excluded from a whole host of social institutions</w:t>
      </w:r>
      <w:r>
        <w:rPr>
          <w:sz w:val="20"/>
          <w:szCs w:val="20"/>
        </w:rPr>
        <w:t xml:space="preserve">. </w:t>
      </w:r>
      <w:r>
        <w:rPr>
          <w:b/>
          <w:sz w:val="20"/>
          <w:szCs w:val="20"/>
          <w:u w:val="single"/>
        </w:rPr>
        <w:t xml:space="preserve">The entrance of minoritized subjects into the dominant institutions of U.S. society provided the conditions for the reassertion of evaluative </w:t>
      </w:r>
      <w:r>
        <w:rPr>
          <w:b/>
          <w:sz w:val="18"/>
          <w:szCs w:val="18"/>
          <w:u w:val="single"/>
        </w:rPr>
        <w:t xml:space="preserve">dis- </w:t>
      </w:r>
      <w:r>
        <w:rPr>
          <w:b/>
          <w:sz w:val="20"/>
          <w:szCs w:val="20"/>
          <w:u w:val="single"/>
        </w:rPr>
        <w:t>courses.</w:t>
      </w:r>
      <w:r>
        <w:rPr>
          <w:sz w:val="20"/>
          <w:szCs w:val="20"/>
        </w:rPr>
        <w:t xml:space="preserve"> Crenshaw, Gotanda, Peller, and Thomas discuss how those dis- courses resulted from a narrowing of the civil rights movement's vision for social reorganization: </w:t>
      </w:r>
      <w:r>
        <w:rPr>
          <w:sz w:val="20"/>
          <w:szCs w:val="20"/>
          <w:u w:val="single"/>
        </w:rPr>
        <w:t xml:space="preserve">In institution after </w:t>
      </w:r>
      <w:r>
        <w:rPr>
          <w:sz w:val="20"/>
          <w:szCs w:val="20"/>
          <w:u w:val="single"/>
        </w:rPr>
        <w:lastRenderedPageBreak/>
        <w:t xml:space="preserve">institution, progressive reformers found themselves struggling over the implementation of integrationist policy with the </w:t>
      </w:r>
      <w:r>
        <w:rPr>
          <w:sz w:val="18"/>
          <w:szCs w:val="18"/>
          <w:u w:val="single"/>
        </w:rPr>
        <w:t>for</w:t>
      </w:r>
      <w:r>
        <w:rPr>
          <w:sz w:val="20"/>
          <w:szCs w:val="20"/>
          <w:u w:val="single"/>
        </w:rPr>
        <w:t xml:space="preserve">mer administrators of segregation who soon regrouped </w:t>
      </w:r>
      <w:r>
        <w:rPr>
          <w:sz w:val="18"/>
          <w:szCs w:val="18"/>
          <w:u w:val="single"/>
        </w:rPr>
        <w:t xml:space="preserve">as </w:t>
      </w:r>
      <w:r>
        <w:rPr>
          <w:sz w:val="20"/>
          <w:szCs w:val="20"/>
          <w:u w:val="single"/>
        </w:rPr>
        <w:t>an old guard "concerned" over the deterioration of standards</w:t>
      </w:r>
      <w:r>
        <w:rPr>
          <w:sz w:val="20"/>
          <w:szCs w:val="20"/>
        </w:rPr>
        <w:t xml:space="preserve"> </w:t>
      </w:r>
      <w:r>
        <w:rPr>
          <w:sz w:val="24"/>
          <w:szCs w:val="24"/>
        </w:rPr>
        <w:t xml:space="preserve">. . . </w:t>
      </w:r>
      <w:r>
        <w:rPr>
          <w:sz w:val="20"/>
          <w:szCs w:val="20"/>
        </w:rPr>
        <w:t xml:space="preserve">Even more dra- matic, </w:t>
      </w:r>
      <w:r>
        <w:rPr>
          <w:sz w:val="20"/>
          <w:szCs w:val="20"/>
          <w:u w:val="single"/>
        </w:rPr>
        <w:t xml:space="preserve">the same criteria for defining "qualifications" and "merit" used during the period of explicit racial exclusion continued to </w:t>
      </w:r>
      <w:r>
        <w:rPr>
          <w:sz w:val="18"/>
          <w:szCs w:val="18"/>
          <w:u w:val="single"/>
        </w:rPr>
        <w:t xml:space="preserve">be </w:t>
      </w:r>
      <w:r>
        <w:rPr>
          <w:sz w:val="20"/>
          <w:szCs w:val="20"/>
          <w:u w:val="single"/>
        </w:rPr>
        <w:t xml:space="preserve">used, </w:t>
      </w:r>
      <w:r>
        <w:rPr>
          <w:sz w:val="18"/>
          <w:szCs w:val="18"/>
          <w:u w:val="single"/>
        </w:rPr>
        <w:t xml:space="preserve">so </w:t>
      </w:r>
      <w:r>
        <w:rPr>
          <w:sz w:val="20"/>
          <w:szCs w:val="20"/>
          <w:u w:val="single"/>
        </w:rPr>
        <w:t xml:space="preserve">long </w:t>
      </w:r>
      <w:r>
        <w:rPr>
          <w:sz w:val="18"/>
          <w:szCs w:val="18"/>
          <w:u w:val="single"/>
        </w:rPr>
        <w:t xml:space="preserve">as </w:t>
      </w:r>
      <w:r>
        <w:rPr>
          <w:sz w:val="20"/>
          <w:szCs w:val="20"/>
          <w:u w:val="single"/>
        </w:rPr>
        <w:t xml:space="preserve">they were not directly "racial. </w:t>
      </w:r>
      <w:r>
        <w:rPr>
          <w:sz w:val="18"/>
          <w:szCs w:val="18"/>
        </w:rPr>
        <w:t xml:space="preserve">"41 </w:t>
      </w:r>
      <w:r>
        <w:rPr>
          <w:sz w:val="20"/>
          <w:szCs w:val="20"/>
        </w:rPr>
        <w:t>As the authors suggest, e</w:t>
      </w:r>
      <w:r>
        <w:rPr>
          <w:b/>
          <w:sz w:val="20"/>
          <w:szCs w:val="20"/>
          <w:u w:val="single"/>
        </w:rPr>
        <w:t>valuative ideals like "qualifications" and "merit" bridged the racial state organized around segregation to a racial state orga- nized around racial reform. Those ideals would mediate between the in- clusion and exclusion of the minority, arbitrating between the disciplining of those that were included and the exclusion of those that were not.</w:t>
      </w:r>
      <w:r>
        <w:rPr>
          <w:sz w:val="20"/>
          <w:szCs w:val="20"/>
        </w:rPr>
        <w:t xml:space="preserve"> </w:t>
      </w:r>
      <w:r>
        <w:rPr>
          <w:sz w:val="18"/>
          <w:szCs w:val="18"/>
        </w:rPr>
        <w:t xml:space="preserve">As </w:t>
      </w:r>
      <w:r>
        <w:rPr>
          <w:sz w:val="20"/>
          <w:szCs w:val="20"/>
        </w:rPr>
        <w:t xml:space="preserve">the question of the political and cultural constitution of minorities neces- sitated thinking through the genealogy of state and capitalist formations, so the question of the institutional constitution of minorities requires a similar genealogical move. </w:t>
      </w:r>
      <w:r>
        <w:rPr>
          <w:sz w:val="20"/>
          <w:szCs w:val="20"/>
          <w:u w:val="single"/>
        </w:rPr>
        <w:t>Because of its constant practices of evaluation and certification, the academy arose as a testing ground and model for the disciplines and exclu- sions that would attend institutional discourses and protocols for inclusion.</w:t>
      </w:r>
      <w:r>
        <w:rPr>
          <w:sz w:val="20"/>
          <w:szCs w:val="20"/>
        </w:rPr>
        <w:t xml:space="preserve"> In the context of the post-civil rights academy, certain models of ethical development have been produced as the condition for admission. In her essay "An Affirmative View," Judith Butler, for example, argues that in the period of the dismantling of affirmative action, a "morally sanctified individualism" counters analyses of institutional discrimination that "once supported the rationale for affirmative action." </w:t>
      </w:r>
      <w:r>
        <w:rPr>
          <w:sz w:val="18"/>
          <w:szCs w:val="18"/>
        </w:rPr>
        <w:t xml:space="preserve">As </w:t>
      </w:r>
      <w:r>
        <w:rPr>
          <w:sz w:val="20"/>
          <w:szCs w:val="20"/>
        </w:rPr>
        <w:t xml:space="preserve">a result, "The drama of the heroic individual </w:t>
      </w:r>
      <w:r>
        <w:rPr>
          <w:sz w:val="18"/>
          <w:szCs w:val="18"/>
        </w:rPr>
        <w:t xml:space="preserve">is </w:t>
      </w:r>
      <w:r>
        <w:rPr>
          <w:sz w:val="20"/>
          <w:szCs w:val="20"/>
        </w:rPr>
        <w:t xml:space="preserve">reaffirmed as the proper replacement for affirma- </w:t>
      </w:r>
      <w:r>
        <w:rPr>
          <w:sz w:val="18"/>
          <w:szCs w:val="18"/>
        </w:rPr>
        <w:t xml:space="preserve">tive </w:t>
      </w:r>
      <w:r>
        <w:rPr>
          <w:sz w:val="20"/>
          <w:szCs w:val="20"/>
        </w:rPr>
        <w:t>action policies, where the latter are understood as remedial actions.</w:t>
      </w:r>
      <w:r>
        <w:rPr>
          <w:sz w:val="18"/>
          <w:szCs w:val="18"/>
        </w:rPr>
        <w:t xml:space="preserve">"42 </w:t>
      </w:r>
      <w:r>
        <w:rPr>
          <w:sz w:val="20"/>
          <w:szCs w:val="20"/>
        </w:rPr>
        <w:t xml:space="preserve">Not surprisingly, the figure of the heroic individual recenters the hegemonic authority of academic institutions to articulate minority life: "The institu- tion </w:t>
      </w:r>
      <w:r>
        <w:rPr>
          <w:sz w:val="18"/>
          <w:szCs w:val="18"/>
        </w:rPr>
        <w:t xml:space="preserve">is </w:t>
      </w:r>
      <w:r>
        <w:rPr>
          <w:sz w:val="20"/>
          <w:szCs w:val="20"/>
        </w:rPr>
        <w:t xml:space="preserve">under no obligation to give special consideration to those who have suffered discrimination; on the contrary, the institution will now reward those who have overcome their adverse circumstances with the resources of individual character. </w:t>
      </w:r>
      <w:r>
        <w:rPr>
          <w:sz w:val="18"/>
          <w:szCs w:val="18"/>
        </w:rPr>
        <w:t xml:space="preserve">"43 </w:t>
      </w:r>
      <w:r>
        <w:rPr>
          <w:sz w:val="20"/>
          <w:szCs w:val="20"/>
        </w:rPr>
        <w:t xml:space="preserve">If we read Butler's comments about affirmative action alongside David Lloyd's theorizations about minorities and representative democracy, we see that </w:t>
      </w:r>
      <w:r>
        <w:rPr>
          <w:b/>
          <w:sz w:val="20"/>
          <w:szCs w:val="20"/>
          <w:u w:val="single"/>
        </w:rPr>
        <w:t>the American academy derived much of its grammar for institutional representation from theorizations of representative democracy, making the ethical development of the abstract individual into the measurement of achievement and capacity.</w:t>
      </w:r>
      <w:r>
        <w:rPr>
          <w:sz w:val="20"/>
          <w:szCs w:val="20"/>
        </w:rPr>
        <w:t xml:space="preserve"> The academy also inherited and revised representative democracy's regulatory engagement with and construction of minoritized subjects. </w:t>
      </w:r>
      <w:r>
        <w:rPr>
          <w:b/>
          <w:sz w:val="20"/>
          <w:szCs w:val="20"/>
          <w:u w:val="single"/>
        </w:rPr>
        <w:t xml:space="preserve">As the academy engaged the modern nation-state's understanding of representative democracy, perfecting that understanding </w:t>
      </w:r>
      <w:r>
        <w:rPr>
          <w:b/>
          <w:sz w:val="18"/>
          <w:szCs w:val="18"/>
          <w:u w:val="single"/>
        </w:rPr>
        <w:t xml:space="preserve">in </w:t>
      </w:r>
      <w:r>
        <w:rPr>
          <w:b/>
          <w:sz w:val="20"/>
          <w:szCs w:val="20"/>
          <w:u w:val="single"/>
        </w:rPr>
        <w:t xml:space="preserve">relation to racial and gender minorities, it also offered the minority as the embodiment of a permanent inadequacy whose development </w:t>
      </w:r>
      <w:r>
        <w:rPr>
          <w:b/>
          <w:sz w:val="18"/>
          <w:szCs w:val="18"/>
          <w:u w:val="single"/>
        </w:rPr>
        <w:t xml:space="preserve">is </w:t>
      </w:r>
      <w:r>
        <w:rPr>
          <w:b/>
          <w:sz w:val="20"/>
          <w:szCs w:val="20"/>
          <w:u w:val="single"/>
        </w:rPr>
        <w:t>precar- ious at worst and uneven at best.</w:t>
      </w:r>
      <w:r>
        <w:rPr>
          <w:sz w:val="20"/>
          <w:szCs w:val="20"/>
        </w:rPr>
        <w:t xml:space="preserve"> In addition to narrowing the transfor- mative potential of the civil rights movement by shirking a "broad scale inquiry into why jobs, wealth, education, and power are distributed as they are,"44 </w:t>
      </w:r>
      <w:r>
        <w:rPr>
          <w:b/>
          <w:sz w:val="20"/>
          <w:szCs w:val="20"/>
          <w:u w:val="single"/>
        </w:rPr>
        <w:t xml:space="preserve">the academy, along with other social institutions, narrowed the potential of those transformations by continuing to articulate the liberal individual as the horizon of cultural value and development, and in doing </w:t>
      </w:r>
      <w:r>
        <w:rPr>
          <w:b/>
          <w:sz w:val="18"/>
          <w:szCs w:val="18"/>
          <w:u w:val="single"/>
        </w:rPr>
        <w:t xml:space="preserve">so </w:t>
      </w:r>
      <w:r>
        <w:rPr>
          <w:b/>
          <w:sz w:val="20"/>
          <w:szCs w:val="20"/>
          <w:u w:val="single"/>
        </w:rPr>
        <w:t xml:space="preserve">refortified rather than displaced Western man. </w:t>
      </w:r>
    </w:p>
    <w:p xmlns:wp14="http://schemas.microsoft.com/office/word/2010/wordml" w:rsidR="00054398" w:rsidP="00054398" w:rsidRDefault="00054398" w14:paraId="3691E7B2" wp14:textId="77777777">
      <w:pPr>
        <w:rPr>
          <w:b/>
          <w:sz w:val="20"/>
          <w:szCs w:val="20"/>
          <w:u w:val="single"/>
        </w:rPr>
      </w:pPr>
    </w:p>
    <w:p xmlns:wp14="http://schemas.microsoft.com/office/word/2010/wordml" w:rsidR="00054398" w:rsidP="00054398" w:rsidRDefault="00054398" w14:paraId="55FA2E65" wp14:textId="77777777">
      <w:pPr>
        <w:pStyle w:val="Heading4"/>
      </w:pPr>
      <w:r>
        <w:t>The academy functions off of both inclusion and exclusion in order to reconcile moments of social upheaval-- at the same time as increasing minoritized representation, it offers opportunities for identifications with power that can render insurgent social movements completely impotent. This turns the aff.</w:t>
      </w:r>
    </w:p>
    <w:p xmlns:wp14="http://schemas.microsoft.com/office/word/2010/wordml" w:rsidR="00054398" w:rsidP="00054398" w:rsidRDefault="00054398" w14:paraId="526770CE" wp14:textId="77777777">
      <w:pPr>
        <w:rPr>
          <w:sz w:val="20"/>
          <w:szCs w:val="20"/>
        </w:rPr>
      </w:pPr>
    </w:p>
    <w:p xmlns:wp14="http://schemas.microsoft.com/office/word/2010/wordml" w:rsidR="00054398" w:rsidP="00054398" w:rsidRDefault="00054398" w14:paraId="46A120D7" wp14:textId="77777777">
      <w:pPr>
        <w:rPr>
          <w:sz w:val="20"/>
          <w:szCs w:val="20"/>
        </w:rPr>
      </w:pPr>
      <w:r w:rsidRPr="001710C3">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200-201] </w:t>
      </w:r>
      <w:r>
        <w:rPr>
          <w:sz w:val="20"/>
          <w:szCs w:val="20"/>
        </w:rPr>
        <w:tab/>
      </w:r>
      <w:r>
        <w:rPr>
          <w:sz w:val="20"/>
          <w:szCs w:val="20"/>
        </w:rPr>
        <w:t xml:space="preserve"> </w:t>
      </w:r>
      <w:r>
        <w:rPr>
          <w:sz w:val="20"/>
          <w:szCs w:val="20"/>
        </w:rPr>
        <w:tab/>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7CBEED82" wp14:textId="77777777">
      <w:pPr>
        <w:rPr>
          <w:sz w:val="20"/>
          <w:szCs w:val="20"/>
        </w:rPr>
      </w:pPr>
      <w:r>
        <w:rPr>
          <w:sz w:val="20"/>
          <w:szCs w:val="20"/>
        </w:rPr>
        <w:lastRenderedPageBreak/>
        <w:tab/>
      </w: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0F415F39" wp14:textId="77777777">
      <w:pPr>
        <w:rPr>
          <w:b/>
          <w:sz w:val="20"/>
          <w:szCs w:val="20"/>
          <w:u w:val="single"/>
        </w:rPr>
      </w:pPr>
      <w:r>
        <w:rPr>
          <w:b/>
          <w:sz w:val="20"/>
          <w:szCs w:val="20"/>
          <w:u w:val="single"/>
        </w:rPr>
        <w:t>The category "minority" implies that procedures of inclusion are not transparent and wholly benign. To be a minority means that procedures of incorporation are hegemonic ones as well.</w:t>
      </w:r>
      <w:r>
        <w:rPr>
          <w:sz w:val="20"/>
          <w:szCs w:val="20"/>
        </w:rPr>
        <w:t xml:space="preserve"> In fact, </w:t>
      </w:r>
      <w:r>
        <w:rPr>
          <w:b/>
          <w:sz w:val="20"/>
          <w:szCs w:val="20"/>
          <w:u w:val="single"/>
        </w:rPr>
        <w:t xml:space="preserve">the regulatory regimes that constitute representative democracy and the discourse of the minority mean that we must determine the ways in which inclusion </w:t>
      </w:r>
      <w:r>
        <w:rPr>
          <w:b/>
          <w:sz w:val="18"/>
          <w:szCs w:val="18"/>
          <w:u w:val="single"/>
        </w:rPr>
        <w:t xml:space="preserve">is </w:t>
      </w:r>
      <w:r>
        <w:rPr>
          <w:b/>
          <w:sz w:val="20"/>
          <w:szCs w:val="20"/>
          <w:u w:val="single"/>
        </w:rPr>
        <w:t>also an oper-ation of power.</w:t>
      </w:r>
      <w:r>
        <w:rPr>
          <w:sz w:val="20"/>
          <w:szCs w:val="20"/>
        </w:rPr>
        <w:t xml:space="preserve"> In relation to the institutional transformations inspired by the civil rights movement, </w:t>
      </w:r>
      <w:r>
        <w:rPr>
          <w:sz w:val="20"/>
          <w:szCs w:val="20"/>
          <w:u w:val="single"/>
        </w:rPr>
        <w:t>the post-civil rights moment suggests historic formations that prove the inseparability of inclusion and exclusion, under- mining the presumption that they are diametrical opposites</w:t>
      </w:r>
      <w:r>
        <w:rPr>
          <w:sz w:val="20"/>
          <w:szCs w:val="20"/>
        </w:rPr>
        <w:t xml:space="preserve">. </w:t>
      </w:r>
      <w:r>
        <w:rPr>
          <w:b/>
          <w:sz w:val="20"/>
          <w:szCs w:val="20"/>
          <w:u w:val="single"/>
        </w:rPr>
        <w:t xml:space="preserve">As an institu- tion that helped </w:t>
      </w:r>
      <w:r>
        <w:rPr>
          <w:b/>
          <w:sz w:val="18"/>
          <w:szCs w:val="18"/>
          <w:u w:val="single"/>
        </w:rPr>
        <w:t xml:space="preserve">to </w:t>
      </w:r>
      <w:r>
        <w:rPr>
          <w:b/>
          <w:sz w:val="20"/>
          <w:szCs w:val="20"/>
          <w:u w:val="single"/>
        </w:rPr>
        <w:t>reconcile inclusion with exclusion and regulation, the post-civil rights academy simultaneously ascribed primitiveness and ad-vancement to minoritized subjects,</w:t>
      </w:r>
      <w:r>
        <w:rPr>
          <w:sz w:val="20"/>
          <w:szCs w:val="20"/>
        </w:rPr>
        <w:t xml:space="preserve"> particularly to people of color. </w:t>
      </w:r>
      <w:r>
        <w:rPr>
          <w:b/>
          <w:sz w:val="20"/>
          <w:szCs w:val="20"/>
          <w:u w:val="single"/>
        </w:rPr>
        <w:t>This discursive horizon that intertwined inclusion with exclusion neces- sitated that ideals of excellence, merit, and standards would be etched not only on institutional structures but on subjective formations as well.</w:t>
      </w:r>
      <w:r>
        <w:rPr>
          <w:sz w:val="20"/>
          <w:szCs w:val="20"/>
        </w:rPr>
        <w:t xml:space="preserve"> </w:t>
      </w:r>
      <w:r>
        <w:rPr>
          <w:b/>
          <w:sz w:val="20"/>
          <w:szCs w:val="20"/>
          <w:u w:val="single"/>
        </w:rPr>
        <w:t xml:space="preserve">Turn- ing institutionalization into a mode of subject formation was established very early on. </w:t>
      </w:r>
      <w:r>
        <w:rPr>
          <w:sz w:val="20"/>
          <w:szCs w:val="20"/>
        </w:rPr>
        <w:t xml:space="preserve">For example, Wilhelm von Humboldt said that institution- alization in the academy had to take place as an "inward development" </w:t>
      </w:r>
      <w:r>
        <w:rPr>
          <w:sz w:val="18"/>
          <w:szCs w:val="18"/>
        </w:rPr>
        <w:t xml:space="preserve">as </w:t>
      </w:r>
      <w:r>
        <w:rPr>
          <w:sz w:val="20"/>
          <w:szCs w:val="20"/>
        </w:rPr>
        <w:t xml:space="preserve">well as an external one: The means which are legislatively applied to promote the moral edu- cation of citizens are appropriate and useful only the degree to which they favor the inward development of people's capacities and inclina- tions. For all educational development has its sole origin in the inner psychological development of human beings, and can only </w:t>
      </w:r>
      <w:r>
        <w:rPr>
          <w:sz w:val="18"/>
          <w:szCs w:val="18"/>
        </w:rPr>
        <w:t xml:space="preserve">be </w:t>
      </w:r>
      <w:r>
        <w:rPr>
          <w:sz w:val="20"/>
          <w:szCs w:val="20"/>
        </w:rPr>
        <w:t xml:space="preserve">stimu- lated, never produced by external institutions. Here, Humboldt identifies institutionalization as a psychic enterprise as well as an external one. To this end, </w:t>
      </w:r>
      <w:r>
        <w:rPr>
          <w:b/>
          <w:sz w:val="20"/>
          <w:szCs w:val="20"/>
          <w:u w:val="single"/>
        </w:rPr>
        <w:t xml:space="preserve">the university </w:t>
      </w:r>
      <w:r>
        <w:rPr>
          <w:b/>
          <w:sz w:val="18"/>
          <w:szCs w:val="18"/>
          <w:u w:val="single"/>
        </w:rPr>
        <w:t xml:space="preserve">is </w:t>
      </w:r>
      <w:r>
        <w:rPr>
          <w:b/>
          <w:sz w:val="20"/>
          <w:szCs w:val="20"/>
          <w:u w:val="single"/>
        </w:rPr>
        <w:t xml:space="preserve">not just a structural insti- tution but a psychic and hermeneutic one as well, a social formation that constitutes subjectivity and interpretation, an entity that </w:t>
      </w:r>
      <w:r>
        <w:rPr>
          <w:b/>
          <w:sz w:val="18"/>
          <w:szCs w:val="18"/>
          <w:u w:val="single"/>
        </w:rPr>
        <w:t xml:space="preserve">is </w:t>
      </w:r>
      <w:r>
        <w:rPr>
          <w:b/>
          <w:sz w:val="20"/>
          <w:szCs w:val="20"/>
          <w:u w:val="single"/>
        </w:rPr>
        <w:t>both a mate- rial and psychic mode of power.</w:t>
      </w:r>
      <w:r>
        <w:rPr>
          <w:sz w:val="20"/>
          <w:szCs w:val="20"/>
        </w:rPr>
        <w:t xml:space="preserve"> After the civil rights years, </w:t>
      </w:r>
      <w:r>
        <w:rPr>
          <w:b/>
          <w:sz w:val="20"/>
          <w:szCs w:val="20"/>
          <w:u w:val="single"/>
        </w:rPr>
        <w:t>the American academy would not only increase the possibilities for minority enrollment but expand the capacities for minority identification with power as well, an identification that would discipline knowledge and subjects within the academy and reconstitute hegemony in new racialized, gendered, classed, and sexualized arrangements.</w:t>
      </w:r>
    </w:p>
    <w:p xmlns:wp14="http://schemas.microsoft.com/office/word/2010/wordml" w:rsidR="00054398" w:rsidP="00054398" w:rsidRDefault="00054398" w14:paraId="6E36661F" wp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38645DC7" wp14:textId="77777777">
      <w:pPr>
        <w:rPr>
          <w:sz w:val="20"/>
          <w:szCs w:val="20"/>
        </w:rPr>
      </w:pPr>
    </w:p>
    <w:p xmlns:wp14="http://schemas.microsoft.com/office/word/2010/wordml" w:rsidR="00054398" w:rsidP="00054398" w:rsidRDefault="00054398" w14:paraId="135E58C4" wp14:textId="77777777">
      <w:pPr>
        <w:rPr>
          <w:sz w:val="20"/>
          <w:szCs w:val="20"/>
        </w:rPr>
      </w:pPr>
    </w:p>
    <w:p xmlns:wp14="http://schemas.microsoft.com/office/word/2010/wordml" w:rsidR="00054398" w:rsidP="00054398" w:rsidRDefault="00054398" w14:paraId="62EBF9A1" wp14:textId="77777777">
      <w:pPr>
        <w:rPr>
          <w:sz w:val="20"/>
          <w:szCs w:val="20"/>
        </w:rPr>
      </w:pPr>
    </w:p>
    <w:p xmlns:wp14="http://schemas.microsoft.com/office/word/2010/wordml" w:rsidR="00054398" w:rsidP="00054398" w:rsidRDefault="00054398" w14:paraId="0C6C2CD5" wp14:textId="77777777">
      <w:pPr>
        <w:rPr>
          <w:sz w:val="20"/>
          <w:szCs w:val="20"/>
        </w:rPr>
      </w:pPr>
    </w:p>
    <w:p xmlns:wp14="http://schemas.microsoft.com/office/word/2010/wordml" w:rsidR="00054398" w:rsidP="00054398" w:rsidRDefault="00054398" w14:paraId="709E88E4" wp14:textId="77777777">
      <w:pPr>
        <w:rPr>
          <w:sz w:val="20"/>
          <w:szCs w:val="20"/>
        </w:rPr>
      </w:pPr>
    </w:p>
    <w:p xmlns:wp14="http://schemas.microsoft.com/office/word/2010/wordml" w:rsidR="00054398" w:rsidP="00054398" w:rsidRDefault="00054398" w14:paraId="508C98E9" wp14:textId="77777777">
      <w:pPr>
        <w:rPr>
          <w:sz w:val="20"/>
          <w:szCs w:val="20"/>
        </w:rPr>
      </w:pPr>
    </w:p>
    <w:p xmlns:wp14="http://schemas.microsoft.com/office/word/2010/wordml" w:rsidR="00054398" w:rsidP="00054398" w:rsidRDefault="00054398" w14:paraId="779F8E76" wp14:textId="77777777">
      <w:pPr>
        <w:rPr>
          <w:sz w:val="20"/>
          <w:szCs w:val="20"/>
        </w:rPr>
      </w:pPr>
    </w:p>
    <w:p xmlns:wp14="http://schemas.microsoft.com/office/word/2010/wordml" w:rsidR="00054398" w:rsidP="00054398" w:rsidRDefault="00054398" w14:paraId="7818863E" wp14:textId="77777777">
      <w:pPr>
        <w:rPr>
          <w:sz w:val="20"/>
          <w:szCs w:val="20"/>
        </w:rPr>
      </w:pPr>
    </w:p>
    <w:p xmlns:wp14="http://schemas.microsoft.com/office/word/2010/wordml" w:rsidR="00054398" w:rsidP="00054398" w:rsidRDefault="00054398" w14:paraId="44F69B9A" wp14:textId="77777777">
      <w:pPr>
        <w:rPr>
          <w:sz w:val="20"/>
          <w:szCs w:val="20"/>
        </w:rPr>
      </w:pPr>
    </w:p>
    <w:p xmlns:wp14="http://schemas.microsoft.com/office/word/2010/wordml" w:rsidR="00054398" w:rsidP="00054398" w:rsidRDefault="00054398" w14:paraId="5F07D11E" wp14:textId="77777777">
      <w:pPr>
        <w:rPr>
          <w:sz w:val="20"/>
          <w:szCs w:val="20"/>
        </w:rPr>
      </w:pPr>
    </w:p>
    <w:p xmlns:wp14="http://schemas.microsoft.com/office/word/2010/wordml" w:rsidR="00054398" w:rsidP="00054398" w:rsidRDefault="00054398" w14:paraId="41508A3C" wp14:textId="77777777">
      <w:pPr>
        <w:rPr>
          <w:sz w:val="20"/>
          <w:szCs w:val="20"/>
        </w:rPr>
      </w:pPr>
    </w:p>
    <w:p xmlns:wp14="http://schemas.microsoft.com/office/word/2010/wordml" w:rsidR="00054398" w:rsidP="00054398" w:rsidRDefault="00054398" w14:paraId="43D6B1D6" wp14:textId="77777777">
      <w:pPr>
        <w:rPr>
          <w:sz w:val="20"/>
          <w:szCs w:val="20"/>
        </w:rPr>
      </w:pPr>
    </w:p>
    <w:p xmlns:wp14="http://schemas.microsoft.com/office/word/2010/wordml" w:rsidR="00054398" w:rsidP="00054398" w:rsidRDefault="00054398" w14:paraId="17DBC151" wp14:textId="77777777">
      <w:pPr>
        <w:rPr>
          <w:sz w:val="20"/>
          <w:szCs w:val="20"/>
        </w:rPr>
      </w:pPr>
    </w:p>
    <w:p xmlns:wp14="http://schemas.microsoft.com/office/word/2010/wordml" w:rsidR="00054398" w:rsidP="00054398" w:rsidRDefault="00054398" w14:paraId="6F8BD81B" wp14:textId="77777777">
      <w:pPr>
        <w:rPr>
          <w:sz w:val="20"/>
          <w:szCs w:val="20"/>
        </w:rPr>
      </w:pPr>
    </w:p>
    <w:p xmlns:wp14="http://schemas.microsoft.com/office/word/2010/wordml" w:rsidR="00054398" w:rsidP="00054398" w:rsidRDefault="00054398" w14:paraId="2613E9C1" wp14:textId="77777777">
      <w:pPr>
        <w:rPr>
          <w:sz w:val="20"/>
          <w:szCs w:val="20"/>
        </w:rPr>
      </w:pPr>
    </w:p>
    <w:p xmlns:wp14="http://schemas.microsoft.com/office/word/2010/wordml" w:rsidR="00054398" w:rsidP="00054398" w:rsidRDefault="00054398" w14:paraId="1037B8A3" wp14:textId="77777777">
      <w:pPr>
        <w:rPr>
          <w:sz w:val="20"/>
          <w:szCs w:val="20"/>
        </w:rPr>
      </w:pPr>
    </w:p>
    <w:p xmlns:wp14="http://schemas.microsoft.com/office/word/2010/wordml" w:rsidR="00054398" w:rsidP="00054398" w:rsidRDefault="00054398" w14:paraId="687C6DE0" wp14:textId="77777777">
      <w:pPr>
        <w:rPr>
          <w:sz w:val="20"/>
          <w:szCs w:val="20"/>
        </w:rPr>
      </w:pPr>
    </w:p>
    <w:p xmlns:wp14="http://schemas.microsoft.com/office/word/2010/wordml" w:rsidR="00054398" w:rsidP="00054398" w:rsidRDefault="00054398" w14:paraId="5B2F9378" wp14:textId="77777777">
      <w:pPr>
        <w:rPr>
          <w:sz w:val="20"/>
          <w:szCs w:val="20"/>
        </w:rPr>
      </w:pPr>
    </w:p>
    <w:p xmlns:wp14="http://schemas.microsoft.com/office/word/2010/wordml" w:rsidR="00054398" w:rsidP="00054398" w:rsidRDefault="00054398" w14:paraId="58E6DD4E" wp14:textId="77777777">
      <w:pPr>
        <w:rPr>
          <w:sz w:val="20"/>
          <w:szCs w:val="20"/>
        </w:rPr>
      </w:pPr>
    </w:p>
    <w:p xmlns:wp14="http://schemas.microsoft.com/office/word/2010/wordml" w:rsidR="00054398" w:rsidP="00054398" w:rsidRDefault="00054398" w14:paraId="7D3BEE8F" wp14:textId="77777777">
      <w:pPr>
        <w:rPr>
          <w:sz w:val="20"/>
          <w:szCs w:val="20"/>
        </w:rPr>
      </w:pPr>
    </w:p>
    <w:p xmlns:wp14="http://schemas.microsoft.com/office/word/2010/wordml" w:rsidR="00054398" w:rsidP="00054398" w:rsidRDefault="00054398" w14:paraId="3B88899E" wp14:textId="77777777">
      <w:pPr>
        <w:rPr>
          <w:sz w:val="20"/>
          <w:szCs w:val="20"/>
        </w:rPr>
      </w:pPr>
    </w:p>
    <w:p xmlns:wp14="http://schemas.microsoft.com/office/word/2010/wordml" w:rsidR="00054398" w:rsidP="00054398" w:rsidRDefault="00054398" w14:paraId="7491D05B" wp14:textId="77777777">
      <w:pPr>
        <w:pStyle w:val="Heading3"/>
        <w:rPr>
          <w:rFonts w:eastAsia="Calibri"/>
        </w:rPr>
      </w:pPr>
      <w:r>
        <w:rPr>
          <w:rFonts w:eastAsia="Calibri"/>
        </w:rPr>
        <w:lastRenderedPageBreak/>
        <w:t>L: Policy</w:t>
      </w:r>
    </w:p>
    <w:p xmlns:wp14="http://schemas.microsoft.com/office/word/2010/wordml" w:rsidR="00054398" w:rsidP="00054398" w:rsidRDefault="00054398" w14:paraId="1AC7C75E" wp14:textId="77777777">
      <w:r w:rsidRPr="001710C3">
        <w:rPr>
          <w:rStyle w:val="Heading4Char"/>
        </w:rPr>
        <w:t>The aff’s investment in policy is a deputized counterinsurgent strategy-- they attempt to fix those who need fixing, those who want to plan instead of make policy, those planners who will always be wrong. The result is a classed attempt to assert dominance in the post-fordist economy and demonstrate contingency as a militant strategy against the precarity of the undercommons</w:t>
      </w:r>
      <w:r>
        <w:t xml:space="preserve">. </w:t>
      </w:r>
    </w:p>
    <w:p xmlns:wp14="http://schemas.microsoft.com/office/word/2010/wordml" w:rsidR="00054398" w:rsidP="00054398" w:rsidRDefault="00054398" w14:paraId="2ADDCEB1" wp14:textId="77777777">
      <w:r w:rsidRPr="001710C3">
        <w:rPr>
          <w:rStyle w:val="Style13ptBold"/>
        </w:rPr>
        <w:t>Harney and Moten 13</w:t>
      </w:r>
      <w:r>
        <w:t xml:space="preserve"> [</w:t>
      </w:r>
      <w:r>
        <w:rPr>
          <w:rFonts w:ascii="Calibri" w:hAnsi="Calibri" w:eastAsia="Calibri" w:cs="Calibri"/>
        </w:rPr>
        <w:t xml:space="preserve">Fred Moten is a poet and scholar at NYU’s Performance Studies whose work explores critical theory, black studies, and performance studies. Stefano Harney is Professor of Strategic Management Education at Singapore Management University. He is the author of State Work: Public Administration and Mass Intellectuality (2002) and The Ends of Management (forthcoming). In this series of essays, Fred Moten and Stefano Harney draw on the theory and practice of the black radical tradition as it supports, inspires, and extends contemporary social and political thought and aesthetic critique. </w:t>
      </w:r>
      <w:r>
        <w:t>The Undercommons: Fugitive Planning and Black Study, Minor Compositions, p 76-79 //tjb]</w:t>
      </w:r>
    </w:p>
    <w:p xmlns:wp14="http://schemas.microsoft.com/office/word/2010/wordml" w:rsidR="00054398" w:rsidP="00054398" w:rsidRDefault="00054398" w14:paraId="69E2BB2B" wp14:textId="77777777">
      <w:r>
        <w:tab/>
      </w:r>
      <w:r>
        <w:tab/>
      </w:r>
      <w:r>
        <w:tab/>
      </w:r>
      <w:r>
        <w:tab/>
      </w:r>
      <w:r>
        <w:tab/>
      </w:r>
    </w:p>
    <w:p xmlns:wp14="http://schemas.microsoft.com/office/word/2010/wordml" w:rsidRPr="00E11F0B" w:rsidR="00054398" w:rsidP="00054398" w:rsidRDefault="00054398" w14:paraId="75AFF0B8" wp14:textId="77777777">
      <w:pPr>
        <w:rPr>
          <w:rStyle w:val="StyleUnderline"/>
        </w:rPr>
      </w:pPr>
      <w:r>
        <w:rPr>
          <w:b/>
          <w:u w:val="single"/>
        </w:rPr>
        <w:t>As resistance from above, policy is a new class phenomenon because the act of making policy for others, of pronouncing others as incorrect, is at the same time an audition for a post-fordist economy that deputies believe rewards those who embrace change but which, in reality, arrests them in contingency, exibility, and that administered precarity that imagines itself to be immune from</w:t>
      </w:r>
      <w:r>
        <w:t xml:space="preserve"> what Judith Butler might call our </w:t>
      </w:r>
      <w:r>
        <w:rPr>
          <w:b/>
          <w:u w:val="single"/>
        </w:rPr>
        <w:t>undercommon precariousness.</w:t>
      </w:r>
      <w:r>
        <w:t xml:space="preserve"> This economy is pow- ered by constant and automatic insistence upon the externalisation of risk, the placement at an externally imposed risk of all life, so that work against risk can be harvested without end. </w:t>
      </w:r>
      <w:r>
        <w:rPr>
          <w:b/>
          <w:u w:val="single"/>
        </w:rPr>
        <w:t>Policy is the form that opportunism takes in this environment</w:t>
      </w:r>
      <w:r>
        <w:t xml:space="preserve">, as the embrace of the radically extra-economic, political character of com- mand today. </w:t>
      </w:r>
      <w:r w:rsidRPr="00E11F0B">
        <w:rPr>
          <w:rStyle w:val="StyleUnderline"/>
        </w:rPr>
        <w:t>It is a demonstration of the will to contingency, the willingness to be made contingent and to make contingent all around you.</w:t>
      </w:r>
      <w:r>
        <w:t xml:space="preserve"> </w:t>
      </w:r>
      <w:r>
        <w:rPr>
          <w:b/>
          <w:u w:val="single"/>
        </w:rPr>
        <w:t>It is a demonstration designed to separate you from others, in the interest of a universality reduced to private property that is not yours, that is the fiction of your own advantage</w:t>
      </w:r>
      <w:r>
        <w:t xml:space="preserve">. </w:t>
      </w:r>
      <w:r>
        <w:rPr>
          <w:b/>
          <w:u w:val="single"/>
        </w:rPr>
        <w:t>Opportunism sees no other way, has no alternative, but separates itself by its own vision, its ability to see the future of its own survival in this turmoil against those who cannot imagine surviving in this turmoil (even if they must do so all the time)</w:t>
      </w:r>
      <w:r>
        <w:t xml:space="preserve">. The ones who survive the brutality of mere survival are said by policy to lack vision, to be stuck in an essentialist way of life, and, in the most extreme cases, to be without interests, on the one hand, and incapable of disinterestedness, on the other. </w:t>
      </w:r>
      <w:r>
        <w:rPr>
          <w:b/>
          <w:u w:val="single"/>
        </w:rPr>
        <w:t xml:space="preserve">Every utterance of policy, no matter its intent or content, is first and foremost a demonstration of one’s ability to be close to the top in the hierarchy of the post-fordist economy. </w:t>
      </w:r>
      <w:r w:rsidRPr="00E11F0B">
        <w:rPr>
          <w:rStyle w:val="StyleUnderline"/>
        </w:rPr>
        <w:t xml:space="preserve">As an operation from above designed to break up the means of social reproduction and make them directly productive for capital, policy must rst deal with the fact that the multitude is already productive for itself. This productive imagination is its genius, its impossible, and nevertheless material, collective head. </w:t>
      </w:r>
      <w:r>
        <w:t xml:space="preserve">And this is a problem because plans are afoot, black operations are in e ect, and in the undercom- mons all the organizing is done. </w:t>
      </w:r>
      <w:r>
        <w:rPr>
          <w:b/>
          <w:u w:val="single"/>
        </w:rPr>
        <w:t xml:space="preserve">The multitude uses every quiet moment, every sundown, every moment of militant preservation, to plan together, to launch, to compose (in) its surreal </w:t>
      </w:r>
      <w:r>
        <w:rPr>
          <w:b/>
          <w:u w:val="single"/>
        </w:rPr>
        <w:lastRenderedPageBreak/>
        <w:t>time.</w:t>
      </w:r>
      <w:r>
        <w:t xml:space="preserve"> </w:t>
      </w:r>
      <w:r>
        <w:rPr>
          <w:b/>
          <w:u w:val="single"/>
        </w:rPr>
        <w:t>It is difficult for policy to deny these plans directly, to ignore these operations, to pre- tend that those who stay in motion need to stop and get a vision, to contend that base communities for escape need to believe in escape</w:t>
      </w:r>
      <w:r>
        <w:t xml:space="preserve">. And if this is difficult for policy then so too is the next and crucial step, instilling the value of radical contingency, instructing participa- tion in change from above. Of course, some plans can be dismissed by policy – plans hatched darker than blue, on the criminal side, out of love. But most will instead require another approach to command. So how does policy attempt to break this means, this militant preser- vation, all this planning? </w:t>
      </w:r>
      <w:r>
        <w:rPr>
          <w:b/>
          <w:u w:val="single"/>
        </w:rPr>
        <w:t>After the diagnosis that something is deeply wrong with the planners comes the prescription: help and correction. Policy will help. Policy will help with the plan and, even more, policy will correct the planners. Policy will discover what is not yet theorized, what is not yet fully contingent, and most importantly what is not yet legible</w:t>
      </w:r>
      <w:r>
        <w:t xml:space="preserve">. </w:t>
      </w:r>
      <w:r>
        <w:rPr>
          <w:b/>
          <w:u w:val="single"/>
        </w:rPr>
        <w:t>Policy is correction, forcing itself with mechanical violence upon the incorrect, the uncorrected, the ones who do not know to seek their own correction.</w:t>
      </w:r>
      <w:r>
        <w:t xml:space="preserve"> Policy distinguishes itself from planning by distinguishing those who dwell in policy and x things from those who dwell in planning and must be fixed. </w:t>
      </w:r>
      <w:r>
        <w:rPr>
          <w:b/>
          <w:u w:val="single"/>
        </w:rPr>
        <w:t>This is the first rule of policy. It fixes others</w:t>
      </w:r>
      <w:r>
        <w:t xml:space="preserve">. In an extension of Michel Foucault’s work we might say of this first rule that its accompanying concern is with good gov- ernment, with how to fix others in a position of equilibrium, even if today this requires constant recalibration. </w:t>
      </w:r>
      <w:r>
        <w:rPr>
          <w:b/>
          <w:u w:val="single"/>
        </w:rPr>
        <w:t>But the objects of this constant adjustment provoke this attention because they just don’t want to govern, let alone be governed, at all.</w:t>
      </w:r>
      <w:r>
        <w:t xml:space="preserve"> To break these means of plan- ning, and so to determine them in recombined and privatized ways, is the necessary goal and instrumentality of </w:t>
      </w:r>
      <w:r>
        <w:rPr>
          <w:b/>
          <w:u w:val="single"/>
        </w:rPr>
        <w:t>policy</w:t>
      </w:r>
      <w:r>
        <w:t xml:space="preserve"> as command. It w</w:t>
      </w:r>
      <w:r>
        <w:rPr>
          <w:b/>
          <w:u w:val="single"/>
        </w:rPr>
        <w:t>ants to smash all forms of militant preservation, to break the movement of social rest – in which the next plan always remains potential – with a dream of settled potency.</w:t>
      </w:r>
      <w:r>
        <w:t xml:space="preserve"> </w:t>
      </w:r>
      <w:r w:rsidRPr="00E11F0B">
        <w:rPr>
          <w:rStyle w:val="StyleUnderline"/>
        </w:rPr>
        <w:t>This is now what change means, what policy is for, as it invades the social reproductive realm where</w:t>
      </w:r>
      <w:r>
        <w:t xml:space="preserve">, as Leopaldina Fortunati noted three decades ago, </w:t>
      </w:r>
      <w:r w:rsidRPr="00E11F0B">
        <w:rPr>
          <w:rStyle w:val="StyleUnderline"/>
        </w:rPr>
        <w:t xml:space="preserve">the struggle rages. </w:t>
      </w:r>
      <w:r>
        <w:t xml:space="preserve">And because such policy emerges materially from post-fordist op- portunism, policy must optimally allow for </w:t>
      </w:r>
      <w:r>
        <w:rPr>
          <w:b/>
          <w:u w:val="single"/>
        </w:rPr>
        <w:t>each policy deputy to take advantage of his opportunity and fix others as others, as those who have not just made an error in planning (or indeed an error by planning) but who are themselves in error</w:t>
      </w:r>
      <w:r>
        <w:t xml:space="preserve">. And from the perspective of policy, of this post-fordist opportunism, there is indeed something wrong with those who plan together. They are out of joint – instead of constantly positing their position in contingency, they seek solidity in a mobile place from which to plan, some hold in which to imagine, some love on which to count. Again, </w:t>
      </w:r>
      <w:r>
        <w:rPr>
          <w:b/>
          <w:u w:val="single"/>
        </w:rPr>
        <w:t xml:space="preserve">this is not just a political problem from the point of view of policy, but an ontological one. </w:t>
      </w:r>
      <w:r w:rsidRPr="00E11F0B">
        <w:rPr>
          <w:rStyle w:val="StyleUnderline"/>
        </w:rPr>
        <w:t xml:space="preserve">Brushing the ground beneath their feet, nding anti- and ante-contingent flight in putting their feet on the ground, differences escape into their own outer depths signalling the problematic essentialism of those who think and act like they are something in particular, although at the same time that something is, from the perspective of policy, what- ever they say it is, which is nothing in particular. </w:t>
      </w:r>
    </w:p>
    <w:p xmlns:wp14="http://schemas.microsoft.com/office/word/2010/wordml" w:rsidR="00054398" w:rsidP="00054398" w:rsidRDefault="00054398" w14:paraId="57C0D796" wp14:textId="77777777">
      <w:r>
        <w:tab/>
      </w:r>
      <w:r>
        <w:tab/>
      </w:r>
      <w:r>
        <w:tab/>
      </w:r>
      <w:r>
        <w:tab/>
      </w:r>
    </w:p>
    <w:p xmlns:wp14="http://schemas.microsoft.com/office/word/2010/wordml" w:rsidR="00054398" w:rsidP="00054398" w:rsidRDefault="00054398" w14:paraId="667F6253" wp14:textId="77777777">
      <w:pPr>
        <w:pStyle w:val="Heading4"/>
      </w:pPr>
      <w:r>
        <w:t>Policy forecloses planning in its attempted regulation and extension of governance.</w:t>
      </w:r>
    </w:p>
    <w:p xmlns:wp14="http://schemas.microsoft.com/office/word/2010/wordml" w:rsidR="00054398" w:rsidP="00054398" w:rsidRDefault="00054398" w14:paraId="167C9AD7" wp14:textId="77777777">
      <w:r w:rsidRPr="001710C3">
        <w:rPr>
          <w:rStyle w:val="Style13ptBold"/>
        </w:rPr>
        <w:t>Harney and Moten 13</w:t>
      </w:r>
      <w:r>
        <w:t xml:space="preserve"> [</w:t>
      </w:r>
      <w:r>
        <w:rPr>
          <w:rFonts w:ascii="Calibri" w:hAnsi="Calibri" w:eastAsia="Calibri" w:cs="Calibri"/>
        </w:rPr>
        <w:t xml:space="preserve">Fred Moten is a poet and scholar at NYU’s Performance Studies whose work explores critical theory, black studies, and performance studies. Stefano Harney is Professor of Strategic Management Education at Singapore Management University. He is the author of State Work: Public Administration and Mass Intellectuality (2002) and The Ends of Management (forthcoming). In </w:t>
      </w:r>
      <w:r>
        <w:rPr>
          <w:rFonts w:ascii="Calibri" w:hAnsi="Calibri" w:eastAsia="Calibri" w:cs="Calibri"/>
        </w:rPr>
        <w:lastRenderedPageBreak/>
        <w:t xml:space="preserve">this series of essays, Fred Moten and Stefano Harney draw on the theory and practice of the black radical tradition as it supports, inspires, and extends contemporary social and political thought and aesthetic critique. </w:t>
      </w:r>
      <w:r>
        <w:t>The Undercommons: Fugitive Planning and Black Study, Minor Compositions, p 79-81 //tjb]</w:t>
      </w:r>
    </w:p>
    <w:p xmlns:wp14="http://schemas.microsoft.com/office/word/2010/wordml" w:rsidR="00054398" w:rsidP="00054398" w:rsidRDefault="00054398" w14:paraId="0D142F6F" wp14:textId="77777777">
      <w:r>
        <w:tab/>
      </w:r>
      <w:r>
        <w:tab/>
      </w:r>
    </w:p>
    <w:p xmlns:wp14="http://schemas.microsoft.com/office/word/2010/wordml" w:rsidR="00054398" w:rsidP="00054398" w:rsidRDefault="00054398" w14:paraId="3B77C992" wp14:textId="77777777">
      <w:pPr>
        <w:rPr>
          <w:b/>
          <w:u w:val="single"/>
        </w:rPr>
      </w:pPr>
      <w:r>
        <w:t xml:space="preserve">To get these </w:t>
      </w:r>
      <w:r>
        <w:rPr>
          <w:b/>
          <w:u w:val="single"/>
        </w:rPr>
        <w:t>planners</w:t>
      </w:r>
      <w:r>
        <w:t xml:space="preserve"> out of this problem of essentialism, this choreo- graphic fixity and repose, this security and base and bass-lined curve, they </w:t>
      </w:r>
      <w:r>
        <w:rPr>
          <w:b/>
          <w:u w:val="single"/>
        </w:rPr>
        <w:t>must come to imagine they can be more, they can do more, they can change, they can be changed</w:t>
      </w:r>
      <w:r>
        <w:t xml:space="preserve">. After all, they keep making plans and plans fail as a matter of policy. </w:t>
      </w:r>
      <w:r>
        <w:rPr>
          <w:b/>
          <w:u w:val="single"/>
        </w:rPr>
        <w:t>Plans must fail because planners must fail. Planners are static, essential, just surviving.</w:t>
      </w:r>
      <w:r>
        <w:t xml:space="preserve"> They do not see clearly. They hear things. </w:t>
      </w:r>
      <w:r>
        <w:rPr>
          <w:b/>
          <w:u w:val="single"/>
        </w:rPr>
        <w:t xml:space="preserve">They lack perspective. They fail to see the complexity. To the deputies, planners have no vision, no real hope for the future, just a plan here and now, an actually existing plan. </w:t>
      </w:r>
      <w:r>
        <w:t xml:space="preserve">They need hope. They need vision. They need to have their sights lift- ed above the furtive plans and night launches of their despairing lives. They need vision. Because from the perspective of policy it is too dark in there, in the black heart of the undercommons, to see. You can hear something, can feel something present at its own making. But </w:t>
      </w:r>
      <w:r>
        <w:rPr>
          <w:b/>
          <w:u w:val="single"/>
        </w:rPr>
        <w:t>the deputies can bring hope, and hope can lift planners and their plans, the means of social reproduction, above ground into the light</w:t>
      </w:r>
      <w:r>
        <w:t xml:space="preserve">, out of the shadows, away from these dark senses. </w:t>
      </w:r>
      <w:r>
        <w:rPr>
          <w:b/>
          <w:u w:val="single"/>
        </w:rPr>
        <w:t>Deputies fix others, not in an imposition upon but in the imposition of selves, as objects of control and command, whether one is posited as being capable of self- hood or not.</w:t>
      </w:r>
      <w:r>
        <w:t xml:space="preserve"> Whether they lack consciousness or politics, utopianism or common sense, hope has arrived. </w:t>
      </w:r>
      <w:r w:rsidRPr="00E11F0B">
        <w:rPr>
          <w:rStyle w:val="StyleUnderline"/>
        </w:rPr>
        <w:t xml:space="preserve">Having been brought to light and into their own new vision, planners will become participants. And participants will be taught to reject essence for contingency, as if planning and improvisation, exibil- ity and xity, and complexity and simplicity, were opposed within an imposition there is no choice but to inhabit, as some exilic home where policy sequesters its own imagination, so they can be safe from one another. </w:t>
      </w:r>
      <w:r>
        <w:rPr>
          <w:b/>
          <w:u w:val="single"/>
        </w:rPr>
        <w:t>It is crucial that planners choose to participate. Policy is a mass effort.</w:t>
      </w:r>
      <w:r>
        <w:t xml:space="preserve"> Intellectuals will write articles in the newspapers, philosophers will hold conferences on new utopias, bloggers will de- bate, and politicians will compromise here, where change is policy’s only constant. </w:t>
      </w:r>
      <w:r>
        <w:rPr>
          <w:b/>
          <w:u w:val="single"/>
        </w:rPr>
        <w:t>Participating in change is the second rule of policy. Now hope is an orientation toward this participation in change, this participation as change. This is the hope policy rolls like tear gas into the undercommons.</w:t>
      </w:r>
      <w:r>
        <w:t xml:space="preserve"> Policy not only tries to impose this hope, but also enacts it. Those who dwell in policy do so not just by invoking contin- gency but by riding it, and so, in a sense, proving it. </w:t>
      </w:r>
      <w:r>
        <w:rPr>
          <w:b/>
          <w:u w:val="single"/>
        </w:rPr>
        <w:t>Those who dwell in policy are prepared. They are legible to change, liable to change, lendable to change</w:t>
      </w:r>
      <w:r>
        <w:t xml:space="preserve">. Policy is not so much a position as a disposition, a disposition toward display. This is why </w:t>
      </w:r>
      <w:r>
        <w:rPr>
          <w:b/>
          <w:u w:val="single"/>
        </w:rPr>
        <w:t>policy’s chief manifestation is governance</w:t>
      </w:r>
      <w:r>
        <w:t xml:space="preserve">. Governance should not be confused with government or governmen- tality. </w:t>
      </w:r>
      <w:r>
        <w:rPr>
          <w:b/>
          <w:u w:val="single"/>
        </w:rPr>
        <w:t>Governance</w:t>
      </w:r>
      <w:r>
        <w:t xml:space="preserve"> is most importantly a new form of expropriation. It </w:t>
      </w:r>
      <w:r>
        <w:rPr>
          <w:b/>
          <w:u w:val="single"/>
        </w:rPr>
        <w:t>is the provocation of a certain kind of display, a display of interests as disinterestedness, a display of convertibility, a display of legibility.</w:t>
      </w:r>
      <w:r>
        <w:t xml:space="preserve"> </w:t>
      </w:r>
      <w:r>
        <w:rPr>
          <w:b/>
          <w:u w:val="single"/>
        </w:rPr>
        <w:t>Governance is an instrumentalisation of policy, a set of protocols of deputisation, where one simultaneously auctions and bids on oneself, where the public and the private submit themselves to post-fordist production</w:t>
      </w:r>
      <w:r>
        <w:t xml:space="preserve">. </w:t>
      </w:r>
      <w:r w:rsidRPr="00E11F0B">
        <w:rPr>
          <w:rStyle w:val="StyleUnderline"/>
        </w:rPr>
        <w:t>Governance is the harvesting of the means of social re- production but it appears as the acts of will, and therefore as the death drive, of the harvested</w:t>
      </w:r>
      <w:r>
        <w:t xml:space="preserve">. As </w:t>
      </w:r>
      <w:r w:rsidRPr="00E11F0B">
        <w:rPr>
          <w:rStyle w:val="StyleUnderline"/>
        </w:rPr>
        <w:t>capital</w:t>
      </w:r>
      <w:r>
        <w:t xml:space="preserve"> cannot know directly the affect, thought, sociality, and imagination that make up the undercommon means of social reproduction, it </w:t>
      </w:r>
      <w:r w:rsidRPr="00E11F0B">
        <w:rPr>
          <w:rStyle w:val="StyleUnderline"/>
        </w:rPr>
        <w:t>must instead prospect for these in order to extract and abstract them as labor.</w:t>
      </w:r>
      <w:r>
        <w:t xml:space="preserve"> That prospecting, which is the real bio-</w:t>
      </w:r>
      <w:r>
        <w:lastRenderedPageBreak/>
        <w:t xml:space="preserve">prospecting, </w:t>
      </w:r>
      <w:r w:rsidRPr="00E11F0B">
        <w:rPr>
          <w:rStyle w:val="StyleUnderline"/>
        </w:rPr>
        <w:t>seeks to break an integrity that has been militantly preserved</w:t>
      </w:r>
      <w:r>
        <w:t xml:space="preserve">. Governance, the voluntary but dissociative of- fering up of interests, willing participation in the general privacy and public privation, grants capital this knowledge, this wealth-making capacity. Policy emits this offering, violently manifest as a moral prov- ocation. </w:t>
      </w:r>
      <w:r>
        <w:rPr>
          <w:b/>
          <w:u w:val="single"/>
        </w:rPr>
        <w:t>The ones who would correct and the ones who would be corrected converge around this imperative of submission that is played out constantly not only in that range of correctional facilities that Foucault analysed – the prisons, the hospitals, the asylums – but also in corporations, universities and NGOs.</w:t>
      </w:r>
      <w:r>
        <w:t xml:space="preserve"> That </w:t>
      </w:r>
      <w:r>
        <w:rPr>
          <w:b/>
          <w:u w:val="single"/>
        </w:rPr>
        <w:t xml:space="preserve">convergence is given not only in the structures and affects of endless war but also in the brutal processes and perpetual processing of peace. </w:t>
      </w:r>
      <w:r w:rsidRPr="00E11F0B">
        <w:rPr>
          <w:rStyle w:val="StyleUnderline"/>
        </w:rPr>
        <w:t>Governance, despite its own hopes for a universality of exclusion, is for the inducted, for those who know how to articulate interests disinter- estedly, those who vote and know why they vote (not because someone is black or female but because he or she is smart), who have opinions and want to be taken seriously by serious people.</w:t>
      </w:r>
      <w:r>
        <w:t xml:space="preserve"> In the mean time, pol- icy must still pursue the quotidian sphere of open secret plans. Policy posits curriculum against study, child development against play, human capital against work. It posits having a voice against hearing voices, net- worked friending against contactual friendship. </w:t>
      </w:r>
      <w:r>
        <w:rPr>
          <w:b/>
          <w:u w:val="single"/>
        </w:rPr>
        <w:t>Policy posits the public sphere, or the counter-public sphere, or the black public sphere, against the illegal occupation of the illegitimately privatized</w:t>
      </w:r>
      <w:r>
        <w:t xml:space="preserve">. </w:t>
      </w:r>
      <w:r>
        <w:rPr>
          <w:b/>
          <w:u w:val="single"/>
        </w:rPr>
        <w:t>Policy is not the one against the many, the cynical against the roman- tic, or the pragmatic against the principled. It is simply baseless vision, woven into settler’s fabric</w:t>
      </w:r>
      <w:r>
        <w:t xml:space="preserve">. </w:t>
      </w:r>
      <w:r>
        <w:rPr>
          <w:b/>
          <w:u w:val="single"/>
        </w:rPr>
        <w:t>It is against all conservation, all rest, all gathering, cooking, drinking and smoking if they lead to marronage.</w:t>
      </w:r>
      <w:r>
        <w:t xml:space="preserve"> </w:t>
      </w:r>
      <w:r w:rsidRPr="00E11F0B">
        <w:rPr>
          <w:rStyle w:val="StyleUnderline"/>
        </w:rPr>
        <w:t>Policy’s vision is to break it up then fix it, move it along by fixing it, manufacture ambition and give it to your children. Policy’s hope is that there will be more policy, more participation, more change.</w:t>
      </w:r>
      <w:r>
        <w:rPr>
          <w:b/>
          <w:u w:val="single"/>
        </w:rPr>
        <w:t xml:space="preserve"> But there is also a danger in all this participation, a danger of crisis. </w:t>
      </w:r>
    </w:p>
    <w:p xmlns:wp14="http://schemas.microsoft.com/office/word/2010/wordml" w:rsidR="00054398" w:rsidP="00054398" w:rsidRDefault="00054398" w14:paraId="4475AD14" wp14:textId="77777777">
      <w:r>
        <w:tab/>
      </w:r>
      <w:r>
        <w:tab/>
      </w:r>
      <w:r>
        <w:tab/>
      </w:r>
      <w:r>
        <w:tab/>
      </w:r>
    </w:p>
    <w:p xmlns:wp14="http://schemas.microsoft.com/office/word/2010/wordml" w:rsidR="00054398" w:rsidP="00054398" w:rsidRDefault="00054398" w14:paraId="068B0BEE" wp14:textId="77777777">
      <w:pPr>
        <w:pStyle w:val="Heading4"/>
        <w:rPr>
          <w:rFonts w:eastAsia="Calibri"/>
        </w:rPr>
      </w:pPr>
      <w:bookmarkStart w:name="_bo0nqkczpar2" w:colFirst="0" w:colLast="0" w:id="7"/>
      <w:bookmarkEnd w:id="7"/>
      <w:r>
        <w:rPr>
          <w:rFonts w:eastAsia="Calibri"/>
        </w:rPr>
        <w:t>The aff’s recourse to politics turns us away from the self-defense of the surround, towards the discourse of self-possession which poses a danger to the undercommons because it licenses us as critical counter-insurgents.</w:t>
      </w:r>
    </w:p>
    <w:p xmlns:wp14="http://schemas.microsoft.com/office/word/2010/wordml" w:rsidR="00054398" w:rsidP="00054398" w:rsidRDefault="00054398" w14:paraId="3602C088" wp14:textId="77777777">
      <w:pPr>
        <w:rPr>
          <w:rFonts w:ascii="Calibri" w:hAnsi="Calibri" w:eastAsia="Calibri" w:cs="Calibri"/>
        </w:rPr>
      </w:pPr>
      <w:r w:rsidRPr="001710C3">
        <w:rPr>
          <w:rStyle w:val="Style13ptBold"/>
        </w:rPr>
        <w:t>Moten and Harney 13</w:t>
      </w:r>
      <w:r w:rsidRPr="00E11F0B">
        <w:t xml:space="preserve"> </w:t>
      </w:r>
      <w:r>
        <w:t>[</w:t>
      </w:r>
      <w:r>
        <w:rPr>
          <w:rFonts w:ascii="Calibri" w:hAnsi="Calibri" w:eastAsia="Calibri" w:cs="Calibri"/>
        </w:rPr>
        <w:t>Fred Moten is a poet and scholar whose work explores critical theory, black studies, and performance studies. Stefano Harney is Professor of Strategic Management Education at Singapore Management University. He is the author of State Work: Public Administration and Mass Intellectuality (2002) and The Ends of Management (forthcoming). In this series of essays, Fred Moten and Stefano Harney draw on the theory and practice of the black radical tradition as it supports, inspires, and extends contemporary social and political thought and aesthetic critique “Politics Surrounded.” The Undercommons: Fugitive Planning &amp; Black Study, by Stefano Harney and Fred Moten, Minor Compositions, 2013, pp. 17–20. // #CS)</w:t>
      </w:r>
    </w:p>
    <w:p xmlns:wp14="http://schemas.microsoft.com/office/word/2010/wordml" w:rsidR="00054398" w:rsidP="00054398" w:rsidRDefault="00054398" w14:paraId="40EB87DD" wp14:textId="77777777">
      <w:pPr>
        <w:rPr>
          <w:rFonts w:ascii="Calibri" w:hAnsi="Calibri" w:eastAsia="Calibri" w:cs="Calibri"/>
          <w:b/>
          <w:highlight w:val="cyan"/>
          <w:u w:val="single"/>
        </w:rPr>
      </w:pPr>
      <w:r>
        <w:rPr>
          <w:rFonts w:ascii="Calibri" w:hAnsi="Calibri" w:eastAsia="Calibri" w:cs="Calibri"/>
          <w:b/>
          <w:highlight w:val="cyan"/>
          <w:u w:val="single"/>
        </w:rPr>
        <w:t>Our task is the self-defense of the surround in the face of repeated, targeted dispossessions through the settler’s armed incursion. And while acquisitive violence occasions this self-defense, it is recourse to self-possession in the face of dispossession (recourse, in other words, to politics) that represents the real danger</w:t>
      </w:r>
      <w:r>
        <w:rPr>
          <w:rFonts w:ascii="Calibri" w:hAnsi="Calibri" w:eastAsia="Calibri" w:cs="Calibri"/>
          <w:b/>
          <w:u w:val="single"/>
        </w:rPr>
        <w:t>.</w:t>
      </w:r>
      <w:r>
        <w:rPr>
          <w:rFonts w:ascii="Calibri" w:hAnsi="Calibri" w:eastAsia="Calibri" w:cs="Calibri"/>
        </w:rPr>
        <w:t xml:space="preserve"> Politics is an ongoing attack on the common – the general and generative antagonism – from within the surround</w:t>
      </w:r>
      <w:r>
        <w:rPr>
          <w:rFonts w:ascii="Calibri" w:hAnsi="Calibri" w:eastAsia="Calibri" w:cs="Calibri"/>
          <w:b/>
          <w:u w:val="single"/>
        </w:rPr>
        <w:t xml:space="preserve">. Consider </w:t>
      </w:r>
      <w:r>
        <w:rPr>
          <w:rFonts w:ascii="Calibri" w:hAnsi="Calibri" w:eastAsia="Calibri" w:cs="Calibri"/>
          <w:b/>
          <w:highlight w:val="cyan"/>
          <w:u w:val="single"/>
        </w:rPr>
        <w:t>the Black Panther Party for Self-Defense, first theorists of the revolution of the surround, the black before and before, the already and the forthcoming.</w:t>
      </w:r>
      <w:r>
        <w:rPr>
          <w:rFonts w:ascii="Calibri" w:hAnsi="Calibri" w:eastAsia="Calibri" w:cs="Calibri"/>
          <w:b/>
          <w:u w:val="single"/>
        </w:rPr>
        <w:t xml:space="preserve"> </w:t>
      </w:r>
      <w:r>
        <w:rPr>
          <w:rFonts w:ascii="Calibri" w:hAnsi="Calibri" w:eastAsia="Calibri" w:cs="Calibri"/>
          <w:b/>
          <w:highlight w:val="cyan"/>
          <w:u w:val="single"/>
        </w:rPr>
        <w:t>Their twinned commitment to revolution and self-defense emerged from the recognition that the preservation of black social life is articulated in and with the violence of innovation</w:t>
      </w:r>
      <w:r>
        <w:rPr>
          <w:rFonts w:ascii="Calibri" w:hAnsi="Calibri" w:eastAsia="Calibri" w:cs="Calibri"/>
        </w:rPr>
        <w:t xml:space="preserve">. This is not a </w:t>
      </w:r>
      <w:r>
        <w:rPr>
          <w:rFonts w:ascii="Calibri" w:hAnsi="Calibri" w:eastAsia="Calibri" w:cs="Calibri"/>
        </w:rPr>
        <w:lastRenderedPageBreak/>
        <w:t xml:space="preserve">contradiction if the new thing, always calling for itself, already lives around and below the forts, the police stations, the patrolled highways and the prison towers. </w:t>
      </w:r>
      <w:r>
        <w:rPr>
          <w:rFonts w:ascii="Calibri" w:hAnsi="Calibri" w:eastAsia="Calibri" w:cs="Calibri"/>
          <w:u w:val="single"/>
        </w:rPr>
        <w:t xml:space="preserve">The Panthers theorized revolution without politics, which is to say </w:t>
      </w:r>
      <w:r>
        <w:rPr>
          <w:rFonts w:ascii="Calibri" w:hAnsi="Calibri" w:eastAsia="Calibri" w:cs="Calibri"/>
          <w:highlight w:val="cyan"/>
          <w:u w:val="single"/>
        </w:rPr>
        <w:t>revolution with neither a subject nor a principle of decision. Against the law because they were generating law, they practiced an ongoing planning to be possessed, hopelessly and optimistically and incessantly indebted, given to unfinished, contrapuntal study of, and in, the common wealth, poverty and the blackness of the surround</w:t>
      </w:r>
      <w:r>
        <w:rPr>
          <w:rFonts w:ascii="Calibri" w:hAnsi="Calibri" w:eastAsia="Calibri" w:cs="Calibri"/>
          <w:u w:val="single"/>
        </w:rPr>
        <w:t xml:space="preserve">. </w:t>
      </w:r>
      <w:r>
        <w:rPr>
          <w:rFonts w:ascii="Calibri" w:hAnsi="Calibri" w:eastAsia="Calibri" w:cs="Calibri"/>
        </w:rPr>
        <w:t>The self-defense of revolution is confronted not only by the brutalities but also by the false image of enclosure</w:t>
      </w:r>
      <w:r>
        <w:rPr>
          <w:rFonts w:ascii="Calibri" w:hAnsi="Calibri" w:eastAsia="Calibri" w:cs="Calibri"/>
          <w:u w:val="single"/>
        </w:rPr>
        <w:t xml:space="preserve">. </w:t>
      </w:r>
      <w:r>
        <w:rPr>
          <w:rFonts w:ascii="Calibri" w:hAnsi="Calibri" w:eastAsia="Calibri" w:cs="Calibri"/>
          <w:highlight w:val="cyan"/>
          <w:u w:val="single"/>
        </w:rPr>
        <w:t>The hard materiality of the unreal convinces us</w:t>
      </w:r>
      <w:r>
        <w:rPr>
          <w:rFonts w:ascii="Calibri" w:hAnsi="Calibri" w:eastAsia="Calibri" w:cs="Calibri"/>
          <w:u w:val="single"/>
        </w:rPr>
        <w:t xml:space="preserve"> that we are surrounded, </w:t>
      </w:r>
      <w:r>
        <w:rPr>
          <w:rFonts w:ascii="Calibri" w:hAnsi="Calibri" w:eastAsia="Calibri" w:cs="Calibri"/>
          <w:b/>
          <w:highlight w:val="cyan"/>
          <w:u w:val="single"/>
        </w:rPr>
        <w:t>that we must take possession of ourselves, correct ourselves, remain in the emergency, on a permanent footing, settled, determined, protecting nothing but an illusory right to what we do not have, which the settler takes for and as the commons</w:t>
      </w:r>
      <w:r>
        <w:rPr>
          <w:rFonts w:ascii="Calibri" w:hAnsi="Calibri" w:eastAsia="Calibri" w:cs="Calibri"/>
          <w:u w:val="single"/>
        </w:rPr>
        <w:t xml:space="preserve">. </w:t>
      </w:r>
      <w:r>
        <w:rPr>
          <w:rFonts w:ascii="Calibri" w:hAnsi="Calibri" w:eastAsia="Calibri" w:cs="Calibri"/>
        </w:rPr>
        <w:t xml:space="preserve">But in the moment of right/s the commons is already gone in the movement to and of the common that surrounds it and its enclosure. What’s left is politics but even </w:t>
      </w:r>
      <w:r>
        <w:rPr>
          <w:rFonts w:ascii="Calibri" w:hAnsi="Calibri" w:eastAsia="Calibri" w:cs="Calibri"/>
          <w:u w:val="single"/>
        </w:rPr>
        <w:t>the politics of the commons, of the resistance to enclosure, can only be a politics of ends, a rectitude aimed at the regulatory end of the common</w:t>
      </w:r>
      <w:r>
        <w:rPr>
          <w:rFonts w:ascii="Calibri" w:hAnsi="Calibri" w:eastAsia="Calibri" w:cs="Calibri"/>
        </w:rPr>
        <w:t xml:space="preserve">. And even when the election that was won turns out to have been lost, and the bomb detonates and/or fails to detonate, the common perseveres as if a kind of elsewhere, here, around, on the ground, surrounding hallucinogenic facts. Meanwhile, </w:t>
      </w:r>
      <w:r>
        <w:rPr>
          <w:rFonts w:ascii="Calibri" w:hAnsi="Calibri" w:eastAsia="Calibri" w:cs="Calibri"/>
          <w:b/>
          <w:highlight w:val="cyan"/>
          <w:u w:val="single"/>
        </w:rPr>
        <w:t>politics soldiers on, claiming to defend what it has not enclosed, enclosing what it cannot defend but only endanger.</w:t>
      </w:r>
    </w:p>
    <w:p xmlns:wp14="http://schemas.microsoft.com/office/word/2010/wordml" w:rsidR="00054398" w:rsidP="00054398" w:rsidRDefault="00054398" w14:paraId="2BB32070" wp14:textId="77777777">
      <w:pPr>
        <w:pStyle w:val="Heading3"/>
        <w:rPr>
          <w:rFonts w:eastAsia="Calibri"/>
        </w:rPr>
      </w:pPr>
      <w:bookmarkStart w:name="_ebpdrsr7lzv9" w:colFirst="0" w:colLast="0" w:id="8"/>
      <w:bookmarkStart w:name="_1vjah1rbsfpn" w:colFirst="0" w:colLast="0" w:id="9"/>
      <w:bookmarkEnd w:id="8"/>
      <w:bookmarkEnd w:id="9"/>
      <w:r>
        <w:rPr>
          <w:rFonts w:eastAsia="Calibri"/>
        </w:rPr>
        <w:lastRenderedPageBreak/>
        <w:t>L: Resilience</w:t>
      </w:r>
    </w:p>
    <w:p xmlns:wp14="http://schemas.microsoft.com/office/word/2010/wordml" w:rsidR="00054398" w:rsidP="00054398" w:rsidRDefault="00054398" w14:paraId="120C4E94" wp14:textId="77777777">
      <w:pPr>
        <w:jc w:val="center"/>
        <w:rPr>
          <w:rFonts w:ascii="Calibri" w:hAnsi="Calibri" w:eastAsia="Calibri" w:cs="Calibri"/>
        </w:rPr>
      </w:pPr>
    </w:p>
    <w:p xmlns:wp14="http://schemas.microsoft.com/office/word/2010/wordml" w:rsidR="00054398" w:rsidP="00054398" w:rsidRDefault="00054398" w14:paraId="48CA6F13" wp14:textId="77777777">
      <w:pPr>
        <w:pStyle w:val="Heading4"/>
        <w:rPr>
          <w:rFonts w:eastAsia="Calibri"/>
        </w:rPr>
      </w:pPr>
      <w:bookmarkStart w:name="_70m0as9vjb2" w:colFirst="0" w:colLast="0" w:id="10"/>
      <w:bookmarkEnd w:id="10"/>
      <w:r>
        <w:rPr>
          <w:rFonts w:eastAsia="Calibri"/>
        </w:rPr>
        <w:t>The 1ac’s claim to solvency is a falsity that continually reproduces the resilient subject capable of bouncing back from trauma. Their affirmation requires that those located at the site of violence continue to be iterated in objectifying ways, normalizing the violence that constitutes them and perpetuating neoliberalism.</w:t>
      </w:r>
    </w:p>
    <w:p xmlns:wp14="http://schemas.microsoft.com/office/word/2010/wordml" w:rsidR="00054398" w:rsidP="00054398" w:rsidRDefault="00054398" w14:paraId="382D904E" wp14:textId="77777777">
      <w:pPr>
        <w:rPr>
          <w:rFonts w:ascii="Calibri" w:hAnsi="Calibri" w:eastAsia="Calibri" w:cs="Calibri"/>
        </w:rPr>
      </w:pPr>
      <w:r w:rsidRPr="001710C3">
        <w:rPr>
          <w:rStyle w:val="Style13ptBold"/>
        </w:rPr>
        <w:t>James 14</w:t>
      </w:r>
      <w:r>
        <w:rPr>
          <w:rFonts w:ascii="Calibri" w:hAnsi="Calibri" w:eastAsia="Calibri" w:cs="Calibri"/>
          <w:sz w:val="28"/>
          <w:szCs w:val="28"/>
        </w:rPr>
        <w:t xml:space="preserve"> </w:t>
      </w:r>
      <w:r>
        <w:rPr>
          <w:rFonts w:ascii="Calibri" w:hAnsi="Calibri" w:eastAsia="Calibri" w:cs="Calibri"/>
        </w:rPr>
        <w:t>[Robin; associate professor of philosophy at the University of North Carolina at Charlotte, Incandescence, Melancholy, and Feminist Bad Vibes: A Response to Ziarek s Feminist Aesthetics and the Politics of Modernism, A Journal of Feminist Cultural Studies, Volume 25, Number 2 pp. 116-129]</w:t>
      </w:r>
    </w:p>
    <w:p xmlns:wp14="http://schemas.microsoft.com/office/word/2010/wordml" w:rsidR="00054398" w:rsidP="00054398" w:rsidRDefault="00054398" w14:paraId="605F4BDC" wp14:textId="77777777">
      <w:pPr>
        <w:rPr>
          <w:rFonts w:ascii="Calibri" w:hAnsi="Calibri" w:eastAsia="Calibri" w:cs="Calibri"/>
          <w:sz w:val="14"/>
          <w:szCs w:val="14"/>
        </w:rPr>
      </w:pPr>
      <w:r>
        <w:rPr>
          <w:rFonts w:ascii="Calibri" w:hAnsi="Calibri" w:eastAsia="Calibri" w:cs="Calibri"/>
          <w:sz w:val="14"/>
          <w:szCs w:val="14"/>
        </w:rPr>
        <w:t xml:space="preserve">Incandescent Resilience A </w:t>
      </w:r>
      <w:r>
        <w:rPr>
          <w:rFonts w:ascii="Calibri" w:hAnsi="Calibri" w:eastAsia="Calibri" w:cs="Calibri"/>
          <w:u w:val="single"/>
        </w:rPr>
        <w:t xml:space="preserve">method for overcoming melancholia (97), </w:t>
      </w:r>
      <w:r>
        <w:rPr>
          <w:rFonts w:ascii="Calibri" w:hAnsi="Calibri" w:eastAsia="Calibri" w:cs="Calibri"/>
          <w:highlight w:val="cyan"/>
          <w:u w:val="single"/>
        </w:rPr>
        <w:t>potentiality is a way of bouncing back from the damage wrought by modern white supremacist patriarchy.</w:t>
      </w:r>
      <w:r>
        <w:rPr>
          <w:rFonts w:ascii="Calibri" w:hAnsi="Calibri" w:eastAsia="Calibri" w:cs="Calibri"/>
          <w:sz w:val="14"/>
          <w:szCs w:val="14"/>
        </w:rPr>
        <w:t xml:space="preserve"> For white men, this damage manifests as what Robert GoodingWilliams calls skeptical melancholy (54), or alienation from embodied receptivity; for women and nonwhites</w:t>
      </w:r>
      <w:r>
        <w:rPr>
          <w:rFonts w:ascii="Calibri" w:hAnsi="Calibri" w:eastAsia="Calibri" w:cs="Calibri"/>
          <w:u w:val="single"/>
        </w:rPr>
        <w:t xml:space="preserve">, </w:t>
      </w:r>
      <w:r>
        <w:rPr>
          <w:rFonts w:ascii="Calibri" w:hAnsi="Calibri" w:eastAsia="Calibri" w:cs="Calibri"/>
          <w:highlight w:val="cyan"/>
          <w:u w:val="single"/>
        </w:rPr>
        <w:t>it manifests as</w:t>
      </w:r>
      <w:r>
        <w:rPr>
          <w:rFonts w:ascii="Calibri" w:hAnsi="Calibri" w:eastAsia="Calibri" w:cs="Calibri"/>
        </w:rPr>
        <w:t xml:space="preserve"> </w:t>
      </w:r>
      <w:r>
        <w:rPr>
          <w:rFonts w:ascii="Calibri" w:hAnsi="Calibri" w:eastAsia="Calibri" w:cs="Calibri"/>
          <w:sz w:val="14"/>
          <w:szCs w:val="14"/>
        </w:rPr>
        <w:t xml:space="preserve">melancholic muteness, </w:t>
      </w:r>
      <w:r>
        <w:rPr>
          <w:rFonts w:ascii="Calibri" w:hAnsi="Calibri" w:eastAsia="Calibri" w:cs="Calibri"/>
          <w:highlight w:val="cyan"/>
          <w:u w:val="single"/>
        </w:rPr>
        <w:t>immanence</w:t>
      </w:r>
      <w:r>
        <w:rPr>
          <w:rFonts w:ascii="Calibri" w:hAnsi="Calibri" w:eastAsia="Calibri" w:cs="Calibri"/>
        </w:rPr>
        <w:t xml:space="preserve"> </w:t>
      </w:r>
      <w:r>
        <w:rPr>
          <w:rFonts w:ascii="Calibri" w:hAnsi="Calibri" w:eastAsia="Calibri" w:cs="Calibri"/>
          <w:sz w:val="14"/>
          <w:szCs w:val="14"/>
        </w:rPr>
        <w:t xml:space="preserve">rather than alienation.8 The women writers Ziarek studies rework this damaging immanence into ecstatic incandescence, effecting an aesthetic transformation of loss into art s own shining possibilities (115). This incandescence is a two-step process: </w:t>
      </w:r>
      <w:r>
        <w:rPr>
          <w:rFonts w:ascii="Calibri" w:hAnsi="Calibri" w:eastAsia="Calibri" w:cs="Calibri"/>
          <w:highlight w:val="cyan"/>
          <w:u w:val="single"/>
        </w:rPr>
        <w:t>the artist first performs her damage</w:t>
      </w:r>
      <w:r>
        <w:rPr>
          <w:rFonts w:ascii="Calibri" w:hAnsi="Calibri" w:eastAsia="Calibri" w:cs="Calibri"/>
          <w:highlight w:val="cyan"/>
        </w:rPr>
        <w:t xml:space="preserve"> </w:t>
      </w:r>
      <w:r>
        <w:rPr>
          <w:rFonts w:ascii="Calibri" w:hAnsi="Calibri" w:eastAsia="Calibri" w:cs="Calibri"/>
          <w:sz w:val="14"/>
          <w:szCs w:val="14"/>
        </w:rPr>
        <w:t>(sparking a fire</w:t>
      </w:r>
      <w:r>
        <w:rPr>
          <w:rFonts w:ascii="Calibri" w:hAnsi="Calibri" w:eastAsia="Calibri" w:cs="Calibri"/>
          <w:u w:val="single"/>
        </w:rPr>
        <w:t xml:space="preserve">) </w:t>
      </w:r>
      <w:r>
        <w:rPr>
          <w:rFonts w:ascii="Calibri" w:hAnsi="Calibri" w:eastAsia="Calibri" w:cs="Calibri"/>
          <w:highlight w:val="cyan"/>
          <w:u w:val="single"/>
        </w:rPr>
        <w:t>so that she can then be seen to overcome it</w:t>
      </w:r>
      <w:r>
        <w:rPr>
          <w:rFonts w:ascii="Calibri" w:hAnsi="Calibri" w:eastAsia="Calibri" w:cs="Calibri"/>
        </w:rPr>
        <w:t xml:space="preserve"> </w:t>
      </w:r>
      <w:r>
        <w:rPr>
          <w:rFonts w:ascii="Calibri" w:hAnsi="Calibri" w:eastAsia="Calibri" w:cs="Calibri"/>
          <w:sz w:val="14"/>
          <w:szCs w:val="14"/>
        </w:rPr>
        <w:t xml:space="preserve">(radiating beyond her past inertia). </w:t>
      </w:r>
      <w:r>
        <w:rPr>
          <w:rFonts w:ascii="Calibri" w:hAnsi="Calibri" w:eastAsia="Calibri" w:cs="Calibri"/>
          <w:highlight w:val="cyan"/>
          <w:u w:val="single"/>
        </w:rPr>
        <w:t>Neoliberalism co-opts this incandescence</w:t>
      </w:r>
      <w:r>
        <w:rPr>
          <w:rFonts w:ascii="Calibri" w:hAnsi="Calibri" w:eastAsia="Calibri" w:cs="Calibri"/>
        </w:rPr>
        <w:t xml:space="preserve"> </w:t>
      </w:r>
      <w:r>
        <w:rPr>
          <w:rFonts w:ascii="Calibri" w:hAnsi="Calibri" w:eastAsia="Calibri" w:cs="Calibri"/>
          <w:sz w:val="14"/>
          <w:szCs w:val="14"/>
        </w:rPr>
        <w:t xml:space="preserve">(or at least the most visible, legible part of its spectrum), </w:t>
      </w:r>
      <w:r>
        <w:rPr>
          <w:rFonts w:ascii="Calibri" w:hAnsi="Calibri" w:eastAsia="Calibri" w:cs="Calibri"/>
          <w:highlight w:val="cyan"/>
          <w:u w:val="single"/>
        </w:rPr>
        <w:t>domesticating its critical force into the means of producing aesthetic pleasure and reproducing social normativity.</w:t>
      </w:r>
      <w:r>
        <w:rPr>
          <w:rFonts w:ascii="Calibri" w:hAnsi="Calibri" w:eastAsia="Calibri" w:cs="Calibri"/>
          <w:sz w:val="14"/>
          <w:szCs w:val="14"/>
        </w:rPr>
        <w:t xml:space="preserve"> </w:t>
      </w:r>
      <w:r>
        <w:rPr>
          <w:rFonts w:ascii="Calibri" w:hAnsi="Calibri" w:eastAsia="Calibri" w:cs="Calibri"/>
        </w:rPr>
        <w:t>Potentiality has been upgraded into resilience</w:t>
      </w:r>
      <w:r>
        <w:rPr>
          <w:rFonts w:ascii="Calibri" w:hAnsi="Calibri" w:eastAsia="Calibri" w:cs="Calibri"/>
          <w:sz w:val="14"/>
          <w:szCs w:val="14"/>
        </w:rPr>
        <w:t xml:space="preserve">.9 </w:t>
      </w:r>
      <w:r>
        <w:rPr>
          <w:rFonts w:ascii="Calibri" w:hAnsi="Calibri" w:eastAsia="Calibri" w:cs="Calibri"/>
        </w:rPr>
        <w:t>In resilient art</w:t>
      </w:r>
      <w:r>
        <w:rPr>
          <w:rFonts w:ascii="Calibri" w:hAnsi="Calibri" w:eastAsia="Calibri" w:cs="Calibri"/>
          <w:sz w:val="14"/>
          <w:szCs w:val="14"/>
        </w:rPr>
        <w:t xml:space="preserve">, formal </w:t>
      </w:r>
      <w:r>
        <w:rPr>
          <w:rFonts w:ascii="Calibri" w:hAnsi="Calibri" w:eastAsia="Calibri" w:cs="Calibri"/>
        </w:rPr>
        <w:t xml:space="preserve">experimentation cultivates, or incites </w:t>
      </w:r>
      <w:r>
        <w:rPr>
          <w:rFonts w:ascii="Calibri" w:hAnsi="Calibri" w:eastAsia="Calibri" w:cs="Calibri"/>
          <w:sz w:val="14"/>
          <w:szCs w:val="14"/>
        </w:rPr>
        <w:t xml:space="preserve">(to use a more Foucaultian term), </w:t>
      </w:r>
      <w:r>
        <w:rPr>
          <w:rFonts w:ascii="Calibri" w:hAnsi="Calibri" w:eastAsia="Calibri" w:cs="Calibri"/>
        </w:rPr>
        <w:t>shocks and feeds the resultant shockwaves back into the system</w:t>
      </w:r>
      <w:r>
        <w:rPr>
          <w:rFonts w:ascii="Calibri" w:hAnsi="Calibri" w:eastAsia="Calibri" w:cs="Calibri"/>
          <w:sz w:val="14"/>
          <w:szCs w:val="14"/>
        </w:rPr>
        <w:t xml:space="preserve">.10 </w:t>
      </w:r>
      <w:r>
        <w:rPr>
          <w:rFonts w:ascii="Calibri" w:hAnsi="Calibri" w:eastAsia="Calibri" w:cs="Calibri"/>
        </w:rPr>
        <w:t>This feedback supports rather than destabilizes hegemonic institutions</w:t>
      </w:r>
      <w:r>
        <w:rPr>
          <w:rFonts w:ascii="Calibri" w:hAnsi="Calibri" w:eastAsia="Calibri" w:cs="Calibri"/>
          <w:sz w:val="14"/>
          <w:szCs w:val="14"/>
        </w:rPr>
        <w:t xml:space="preserve">. The aesthetic damage through which modernist art established its heteronomous/ autonomous position of critique—stuttering, fragmented, degraded, aleatory, dissonant—is now the very medium of normalization.11 </w:t>
      </w:r>
      <w:r>
        <w:rPr>
          <w:rFonts w:ascii="Calibri" w:hAnsi="Calibri" w:eastAsia="Calibri" w:cs="Calibri"/>
          <w:highlight w:val="cyan"/>
          <w:u w:val="single"/>
        </w:rPr>
        <w:t>Neoliberal resilience</w:t>
      </w:r>
      <w:r>
        <w:rPr>
          <w:rFonts w:ascii="Calibri" w:hAnsi="Calibri" w:eastAsia="Calibri" w:cs="Calibri"/>
          <w:sz w:val="14"/>
          <w:szCs w:val="14"/>
          <w:highlight w:val="cyan"/>
        </w:rPr>
        <w:t>,</w:t>
      </w:r>
      <w:r>
        <w:rPr>
          <w:rFonts w:ascii="Calibri" w:hAnsi="Calibri" w:eastAsia="Calibri" w:cs="Calibri"/>
          <w:sz w:val="14"/>
          <w:szCs w:val="14"/>
        </w:rPr>
        <w:t xml:space="preserve"> in other words</w:t>
      </w:r>
      <w:r>
        <w:rPr>
          <w:rFonts w:ascii="Calibri" w:hAnsi="Calibri" w:eastAsia="Calibri" w:cs="Calibri"/>
          <w:u w:val="single"/>
        </w:rPr>
        <w:t xml:space="preserve">, </w:t>
      </w:r>
      <w:r>
        <w:rPr>
          <w:rFonts w:ascii="Calibri" w:hAnsi="Calibri" w:eastAsia="Calibri" w:cs="Calibri"/>
          <w:highlight w:val="cyan"/>
          <w:u w:val="single"/>
        </w:rPr>
        <w:t>is a method or process of recycling modernist damage</w:t>
      </w:r>
      <w:r>
        <w:rPr>
          <w:rFonts w:ascii="Calibri" w:hAnsi="Calibri" w:eastAsia="Calibri" w:cs="Calibri"/>
          <w:u w:val="single"/>
        </w:rPr>
        <w:t>.</w:t>
      </w:r>
      <w:r>
        <w:rPr>
          <w:rFonts w:ascii="Calibri" w:hAnsi="Calibri" w:eastAsia="Calibri" w:cs="Calibri"/>
          <w:sz w:val="14"/>
          <w:szCs w:val="14"/>
        </w:rPr>
        <w:t xml:space="preserve"> For example, if modernist art invested aesthetic pleasure in the objectification of women (what Laura Mulvey famously calls scopophilia), neoliberal art invests aesthetic pleasure in women s spectacular assumption of subjectivity—what Ziarek calls incandescence. If in modernity we liked doing damage to women, we now like to see women overcome that damage.12 This means that </w:t>
      </w:r>
      <w:r>
        <w:rPr>
          <w:rFonts w:ascii="Calibri" w:hAnsi="Calibri" w:eastAsia="Calibri" w:cs="Calibri"/>
        </w:rPr>
        <w:t>we expect women to perform their damage as a baseline from which good women then progress</w:t>
      </w:r>
      <w:r>
        <w:rPr>
          <w:rFonts w:ascii="Calibri" w:hAnsi="Calibri" w:eastAsia="Calibri" w:cs="Calibri"/>
          <w:sz w:val="14"/>
          <w:szCs w:val="14"/>
        </w:rPr>
        <w:t xml:space="preserve">. That damage is the fuel for incandescent fires, so it must be constantly incited and invoked so that there s something for incandescent women to ignite. In this way, </w:t>
      </w:r>
      <w:r>
        <w:rPr>
          <w:rFonts w:ascii="Calibri" w:hAnsi="Calibri" w:eastAsia="Calibri" w:cs="Calibri"/>
          <w:highlight w:val="cyan"/>
          <w:u w:val="single"/>
        </w:rPr>
        <w:t>resilience discourse normalizes traditional patriarchal damage</w:t>
      </w:r>
      <w:r>
        <w:rPr>
          <w:rFonts w:ascii="Calibri" w:hAnsi="Calibri" w:eastAsia="Calibri" w:cs="Calibri"/>
        </w:rPr>
        <w:t xml:space="preserve"> </w:t>
      </w:r>
      <w:r>
        <w:rPr>
          <w:rFonts w:ascii="Calibri" w:hAnsi="Calibri" w:eastAsia="Calibri" w:cs="Calibri"/>
          <w:sz w:val="14"/>
          <w:szCs w:val="14"/>
        </w:rPr>
        <w:t xml:space="preserve">(e.g., the damage of exclusion and objectification) </w:t>
      </w:r>
      <w:r>
        <w:rPr>
          <w:rFonts w:ascii="Calibri" w:hAnsi="Calibri" w:eastAsia="Calibri" w:cs="Calibri"/>
          <w:highlight w:val="cyan"/>
          <w:u w:val="single"/>
        </w:rPr>
        <w:t>as a systemic or background condition that individual women are then responsible for overcoming</w:t>
      </w:r>
      <w:r>
        <w:rPr>
          <w:rFonts w:ascii="Calibri" w:hAnsi="Calibri" w:eastAsia="Calibri" w:cs="Calibri"/>
          <w:u w:val="single"/>
        </w:rPr>
        <w:t>.</w:t>
      </w:r>
      <w:r>
        <w:rPr>
          <w:rFonts w:ascii="Calibri" w:hAnsi="Calibri" w:eastAsia="Calibri" w:cs="Calibri"/>
          <w:sz w:val="14"/>
          <w:szCs w:val="14"/>
        </w:rPr>
        <w:t xml:space="preserve"> Undoing [. . .] feminism while simultaneously appearing to be engaging in a wellinformed and even well-intended response to feminism (McRobbie 1), resilient incandescence is quintessentially postfeminist. We, the audience, use our identification with the resilient heroine as a way to disidentify with and (supposedly) transgress the imperatives of modernist patriarchy. This is why, as Ziarek explains, audiences have a sympathetic identification with subversive femininity, with the mother avenging the murderous sacrifice of her daughter for political ends, rather than with the murderous father/king (104). We enjoy women s spectacular subjectivization (i.e., their overcoming of scopophilic objectification) because this distances us from unfashionable patriarchal formations and tastes (i.e., this latter scopophilia). In postfeminist neoliberalism, </w:t>
      </w:r>
      <w:r>
        <w:rPr>
          <w:rFonts w:ascii="Calibri" w:hAnsi="Calibri" w:eastAsia="Calibri" w:cs="Calibri"/>
        </w:rPr>
        <w:t>bearing witness to both the destruction of women s artistic capacities and women s revolutionary aspirations</w:t>
      </w:r>
      <w:r>
        <w:rPr>
          <w:rFonts w:ascii="Calibri" w:hAnsi="Calibri" w:eastAsia="Calibri" w:cs="Calibri"/>
          <w:sz w:val="14"/>
          <w:szCs w:val="14"/>
        </w:rPr>
        <w:t xml:space="preserve"> (5) </w:t>
      </w:r>
      <w:r>
        <w:rPr>
          <w:rFonts w:ascii="Calibri" w:hAnsi="Calibri" w:eastAsia="Calibri" w:cs="Calibri"/>
        </w:rPr>
        <w:t xml:space="preserve">becomes a source of aesthetic pleasure </w:t>
      </w:r>
      <w:r>
        <w:rPr>
          <w:rFonts w:ascii="Calibri" w:hAnsi="Calibri" w:eastAsia="Calibri" w:cs="Calibri"/>
          <w:sz w:val="14"/>
          <w:szCs w:val="14"/>
        </w:rPr>
        <w:t xml:space="preserve">not because it s revolutionary, </w:t>
      </w:r>
      <w:r>
        <w:rPr>
          <w:rFonts w:ascii="Calibri" w:hAnsi="Calibri" w:eastAsia="Calibri" w:cs="Calibri"/>
        </w:rPr>
        <w:t>but because it s normative</w:t>
      </w:r>
      <w:r>
        <w:rPr>
          <w:rFonts w:ascii="Calibri" w:hAnsi="Calibri" w:eastAsia="Calibri" w:cs="Calibri"/>
          <w:sz w:val="14"/>
          <w:szCs w:val="14"/>
        </w:rPr>
        <w:t xml:space="preserve">. To use Jack Halberstam s term, we like our women to go gaga because this incandescence, this unpredictable feminine (114) methodology allows us to eke even more light out of otherwise exhausted enlightenment modernity. </w:t>
      </w:r>
      <w:r>
        <w:rPr>
          <w:rFonts w:ascii="Calibri" w:hAnsi="Calibri" w:eastAsia="Calibri" w:cs="Calibri"/>
        </w:rPr>
        <w:t>If we ve reached</w:t>
      </w:r>
      <w:r>
        <w:rPr>
          <w:rFonts w:ascii="Calibri" w:hAnsi="Calibri" w:eastAsia="Calibri" w:cs="Calibri"/>
          <w:sz w:val="14"/>
          <w:szCs w:val="14"/>
        </w:rPr>
        <w:t xml:space="preserve">, as Ziarek discusses, </w:t>
      </w:r>
      <w:r>
        <w:rPr>
          <w:rFonts w:ascii="Calibri" w:hAnsi="Calibri" w:eastAsia="Calibri" w:cs="Calibri"/>
        </w:rPr>
        <w:t xml:space="preserve">the so-called end of art and the end of history </w:t>
      </w:r>
      <w:r>
        <w:rPr>
          <w:rFonts w:ascii="Calibri" w:hAnsi="Calibri" w:eastAsia="Calibri" w:cs="Calibri"/>
          <w:sz w:val="14"/>
          <w:szCs w:val="14"/>
        </w:rPr>
        <w:t xml:space="preserve">(and the end of tonality and the end of representation and, well, the end of modernity), </w:t>
      </w:r>
      <w:r>
        <w:rPr>
          <w:rFonts w:ascii="Calibri" w:hAnsi="Calibri" w:eastAsia="Calibri" w:cs="Calibri"/>
        </w:rPr>
        <w:t>then the only way to find more resources is</w:t>
      </w:r>
      <w:r>
        <w:rPr>
          <w:rFonts w:ascii="Calibri" w:hAnsi="Calibri" w:eastAsia="Calibri" w:cs="Calibri"/>
          <w:sz w:val="14"/>
          <w:szCs w:val="14"/>
        </w:rPr>
        <w:t xml:space="preserve">, like Pixar s wall-e, </w:t>
      </w:r>
      <w:r>
        <w:rPr>
          <w:rFonts w:ascii="Calibri" w:hAnsi="Calibri" w:eastAsia="Calibri" w:cs="Calibri"/>
        </w:rPr>
        <w:t>by sifting through our vast piles of waste</w:t>
      </w:r>
      <w:r>
        <w:rPr>
          <w:rFonts w:ascii="Calibri" w:hAnsi="Calibri" w:eastAsia="Calibri" w:cs="Calibri"/>
          <w:sz w:val="14"/>
          <w:szCs w:val="14"/>
        </w:rPr>
        <w:t xml:space="preserve">. And in that waste heap is abject femininity (what musicologist Susan Cook calls the feminized abject popular ). Femininity is abject because its exclusion from patriarchy is what constitutes patriarchy as a coherent system. In both Ziarek s aesthetics of potentiality and in resilience discourse, women artists do the cultural work of remaking abjection or constitutive exclusion into ecstatic radiance.13 In the former case, that work is revolutionary; in the latter case, that work normalizes. </w:t>
      </w:r>
      <w:r>
        <w:rPr>
          <w:rFonts w:ascii="Calibri" w:hAnsi="Calibri" w:eastAsia="Calibri" w:cs="Calibri"/>
          <w:highlight w:val="cyan"/>
          <w:u w:val="single"/>
        </w:rPr>
        <w:t>Resilience discourse transposes</w:t>
      </w:r>
      <w:r>
        <w:rPr>
          <w:rFonts w:ascii="Calibri" w:hAnsi="Calibri" w:eastAsia="Calibri" w:cs="Calibri"/>
        </w:rPr>
        <w:t xml:space="preserve"> </w:t>
      </w:r>
      <w:r>
        <w:rPr>
          <w:rFonts w:ascii="Calibri" w:hAnsi="Calibri" w:eastAsia="Calibri" w:cs="Calibri"/>
          <w:sz w:val="14"/>
          <w:szCs w:val="14"/>
        </w:rPr>
        <w:t xml:space="preserve">feminist </w:t>
      </w:r>
      <w:r>
        <w:rPr>
          <w:rFonts w:ascii="Calibri" w:hAnsi="Calibri" w:eastAsia="Calibri" w:cs="Calibri"/>
          <w:highlight w:val="cyan"/>
          <w:u w:val="single"/>
        </w:rPr>
        <w:t xml:space="preserve">revolution into a nationalist, patriarchal, white supremacist practice. </w:t>
      </w:r>
      <w:r>
        <w:rPr>
          <w:rFonts w:ascii="Calibri" w:hAnsi="Calibri" w:eastAsia="Calibri" w:cs="Calibri"/>
          <w:sz w:val="14"/>
          <w:szCs w:val="14"/>
        </w:rPr>
        <w:t xml:space="preserve">Take, for example, Katy Perry s Firework, in which the lyrics trace the affective journey from dejection to radiant exceptionality. The song begins by asking listeners to identify with feelings of irrelevance, weakness, loneliness, and hopelessness; it posits and affirms damage, suffering, and pain. But then Perry s narrator argues that in spite and perhaps because of this </w:t>
      </w:r>
      <w:r>
        <w:rPr>
          <w:rFonts w:ascii="Calibri" w:hAnsi="Calibri" w:eastAsia="Calibri" w:cs="Calibri"/>
          <w:sz w:val="14"/>
          <w:szCs w:val="14"/>
        </w:rPr>
        <w:lastRenderedPageBreak/>
        <w:t>damage, the listener has precisely the means to connect to others, to make a difference, to have hope: [T]here s a spark in you / You just gotta ignite the light and let it shine. She uses the metaphor of fireworks (and their association with u.s. Independence Day celebrations) to describe the listener s self-transformation from black dust to shining light: you may feel like trash, but if you can just light yourself on fire, that trash will burn with a dazzling radiance that lights up the sky, just as it lights up audiences faces. Here, Perry transforms abjection—feeling like trash, unmoored, socially dead—into incandescent triumph. In the song, the addressee s personal triumph evokes u.s. nationalist narratives of overcoming colonization (i.e., the Declaration of Independence, celebrated on the Fourth of July). Feminine incandescence—</w:t>
      </w:r>
      <w:r>
        <w:rPr>
          <w:rFonts w:ascii="Calibri" w:hAnsi="Calibri" w:eastAsia="Calibri" w:cs="Calibri"/>
          <w:highlight w:val="cyan"/>
          <w:u w:val="single"/>
        </w:rPr>
        <w:t>the transformation of waste and melancholy into glowing potential—is no longer revolutionary</w:t>
      </w:r>
      <w:r>
        <w:rPr>
          <w:rFonts w:ascii="Calibri" w:hAnsi="Calibri" w:eastAsia="Calibri" w:cs="Calibri"/>
          <w:u w:val="single"/>
        </w:rPr>
        <w:t>.</w:t>
      </w:r>
      <w:r>
        <w:rPr>
          <w:rFonts w:ascii="Calibri" w:hAnsi="Calibri" w:eastAsia="Calibri" w:cs="Calibri"/>
          <w:sz w:val="14"/>
          <w:szCs w:val="14"/>
        </w:rPr>
        <w:t xml:space="preserve"> Not only parallel to u.s. nationalism, it is the very means for reproducing normativity. In resilience discourse, wild and crazy femmes—like, say, Ke$ha— reproduce normativity in the same way that deregulatory economic practices do (see Cardenas). Unlike Kant s genius, who gives laws and generates order (i.e., regulation, giving a law) out of unruly materiality, the incandescent, gaga femme amplifies what feels like disorder by resignif[ying] damaged bodies and objects previously expelled from the realm of meaning (6). And to do this, incandescent femme geniuses use a specific type of experimentation, what Ziarek calls a dynamic model of interrelation between literary form and material elements of the work of art (6). This dynamic interaction between large-scale form and material details produces effects that are unpredictable and unforeseeable (Adorno qtd. in Ziarek 114). Experimental methods produce aleatory results.14 Neoliberalism, however, has systematized the aleatory; deregulatory practices are designed to control background conditions so that dynamic interactions between form and material produce a range of superficially random outcomes.15 </w:t>
      </w:r>
      <w:r>
        <w:rPr>
          <w:rFonts w:ascii="Calibri" w:hAnsi="Calibri" w:eastAsia="Calibri" w:cs="Calibri"/>
        </w:rPr>
        <w:t xml:space="preserve">Deregulation turns experimentation into the means of </w:t>
      </w:r>
      <w:r>
        <w:rPr>
          <w:rFonts w:ascii="Calibri" w:hAnsi="Calibri" w:eastAsia="Calibri" w:cs="Calibri"/>
          <w:sz w:val="14"/>
          <w:szCs w:val="14"/>
        </w:rPr>
        <w:t>capitalist/</w:t>
      </w:r>
      <w:r>
        <w:rPr>
          <w:rFonts w:ascii="Calibri" w:hAnsi="Calibri" w:eastAsia="Calibri" w:cs="Calibri"/>
        </w:rPr>
        <w:t>hegemonic production</w:t>
      </w:r>
      <w:r>
        <w:rPr>
          <w:rFonts w:ascii="Calibri" w:hAnsi="Calibri" w:eastAsia="Calibri" w:cs="Calibri"/>
          <w:sz w:val="14"/>
          <w:szCs w:val="14"/>
        </w:rPr>
        <w:t xml:space="preserve">. Brilliant gaga ecstasy is what fuels economic and social reproduction.16 So even though </w:t>
      </w:r>
      <w:r>
        <w:rPr>
          <w:rFonts w:ascii="Calibri" w:hAnsi="Calibri" w:eastAsia="Calibri" w:cs="Calibri"/>
          <w:highlight w:val="cyan"/>
          <w:u w:val="single"/>
        </w:rPr>
        <w:t>incandescent potentiality</w:t>
      </w:r>
      <w:r>
        <w:rPr>
          <w:rFonts w:ascii="Calibri" w:hAnsi="Calibri" w:eastAsia="Calibri" w:cs="Calibri"/>
        </w:rPr>
        <w:t xml:space="preserve"> </w:t>
      </w:r>
      <w:r>
        <w:rPr>
          <w:rFonts w:ascii="Calibri" w:hAnsi="Calibri" w:eastAsia="Calibri" w:cs="Calibri"/>
          <w:sz w:val="14"/>
          <w:szCs w:val="14"/>
        </w:rPr>
        <w:t xml:space="preserve">might be the very opposite of the traffic in women (Ziarek 119) figured as the exchange of commodities (e.g., in Irigaray and Rubin), it </w:t>
      </w:r>
      <w:r>
        <w:rPr>
          <w:rFonts w:ascii="Calibri" w:hAnsi="Calibri" w:eastAsia="Calibri" w:cs="Calibri"/>
          <w:highlight w:val="cyan"/>
          <w:u w:val="single"/>
        </w:rPr>
        <w:t>is quite consistent with neoliberal political and aesthetic economies.</w:t>
      </w:r>
      <w:r>
        <w:rPr>
          <w:rFonts w:ascii="Calibri" w:hAnsi="Calibri" w:eastAsia="Calibri" w:cs="Calibri"/>
          <w:sz w:val="14"/>
          <w:szCs w:val="14"/>
        </w:rPr>
        <w:t xml:space="preserve"> Who radiates with potentiality more than the resilient, entrepreneurial postfeminist woman? In the same way that feminized, blackened receptivity was the solution to modernist anxieties about alienation (e.g., the aforementioned Gooding-Williams), feminized, racially nonwhite </w:t>
      </w:r>
      <w:r>
        <w:rPr>
          <w:rFonts w:ascii="Calibri" w:hAnsi="Calibri" w:eastAsia="Calibri" w:cs="Calibri"/>
        </w:rPr>
        <w:t xml:space="preserve">resilience is taken as a solution to the problem of the end of art. </w:t>
      </w:r>
      <w:r>
        <w:rPr>
          <w:rFonts w:ascii="Calibri" w:hAnsi="Calibri" w:eastAsia="Calibri" w:cs="Calibri"/>
          <w:sz w:val="14"/>
          <w:szCs w:val="14"/>
        </w:rPr>
        <w:t xml:space="preserve">Having transgressed all limits and prohibitions—for example, emancipating dissonance, making music out of noise—modernist art had no means of establishing its opposition to society/social normativity. Similarly, </w:t>
      </w:r>
      <w:r>
        <w:rPr>
          <w:rFonts w:ascii="Calibri" w:hAnsi="Calibri" w:eastAsia="Calibri" w:cs="Calibri"/>
        </w:rPr>
        <w:t>capitalism had colonized the globe, exhausting its ability to profit through simple expansion</w:t>
      </w:r>
      <w:r>
        <w:rPr>
          <w:rFonts w:ascii="Calibri" w:hAnsi="Calibri" w:eastAsia="Calibri" w:cs="Calibri"/>
          <w:sz w:val="14"/>
          <w:szCs w:val="14"/>
        </w:rPr>
        <w:t xml:space="preserve">; </w:t>
      </w:r>
      <w:r>
        <w:rPr>
          <w:rFonts w:ascii="Calibri" w:hAnsi="Calibri" w:eastAsia="Calibri" w:cs="Calibri"/>
        </w:rPr>
        <w:t>with no new markets, with nothing else new to conquer, it needed a new method for generating surplus value</w:t>
      </w:r>
      <w:r>
        <w:rPr>
          <w:rFonts w:ascii="Calibri" w:hAnsi="Calibri" w:eastAsia="Calibri" w:cs="Calibri"/>
          <w:sz w:val="14"/>
          <w:szCs w:val="14"/>
        </w:rPr>
        <w:t xml:space="preserve">. As Jeffery Nealon and others argue, </w:t>
      </w:r>
      <w:r>
        <w:rPr>
          <w:rFonts w:ascii="Calibri" w:hAnsi="Calibri" w:eastAsia="Calibri" w:cs="Calibri"/>
          <w:highlight w:val="cyan"/>
          <w:u w:val="single"/>
        </w:rPr>
        <w:t>capitalism has become a logic of investment and intensity. Instead of expanding and assimilating, it recycles waste and increases efficiencies. Thus, traditionally non- or devalued women s work becomes the fastest growing sector of the service-and-care-work economy.</w:t>
      </w:r>
      <w:r>
        <w:rPr>
          <w:rFonts w:ascii="Calibri" w:hAnsi="Calibri" w:eastAsia="Calibri" w:cs="Calibri"/>
          <w:sz w:val="14"/>
          <w:szCs w:val="14"/>
        </w:rPr>
        <w:t xml:space="preserve"> And women s art-making practices become the hottest new thing in the art world: think of all the feminist art retrospectives and exhibits that have taken place in the past five or so years. </w:t>
      </w:r>
      <w:r>
        <w:rPr>
          <w:rFonts w:ascii="Calibri" w:hAnsi="Calibri" w:eastAsia="Calibri" w:cs="Calibri"/>
        </w:rPr>
        <w:t>Modernism s constitutive outside becomes neoliberalism s bread and butter; or, the abject is now central to the means of capital, political, and aesthetic production.</w:t>
      </w:r>
      <w:r>
        <w:rPr>
          <w:rFonts w:ascii="Calibri" w:hAnsi="Calibri" w:eastAsia="Calibri" w:cs="Calibri"/>
          <w:sz w:val="14"/>
          <w:szCs w:val="14"/>
        </w:rPr>
        <w:t xml:space="preserve">17 Because it so clearly describes what gets co-opted and domesticated, Ziarek s account of modernist feminist aesthetics provides the foundation for theorizing neoliberal postfeminist art and politics. But it also provides a possible avenue for contemporary feminist aesthetic and political responses to resilience. It points us to some of the feminist frequencies that resilience discourse obscures: the melancholic end of the spectrum, so to speak, rather than the incandescent. How might we upgrade Ziarek s theory of melancholic art so that it functions like a queered resilience, resilience gone wrong, resilience that puts us out of phase with social normativity?18 </w:t>
      </w:r>
    </w:p>
    <w:p xmlns:wp14="http://schemas.microsoft.com/office/word/2010/wordml" w:rsidR="00054398" w:rsidP="00054398" w:rsidRDefault="00054398" w14:paraId="7516EB06" wp14:textId="77777777">
      <w:pPr>
        <w:pStyle w:val="Heading3"/>
      </w:pPr>
      <w:r>
        <w:lastRenderedPageBreak/>
        <w:t>L: Sentimentality</w:t>
      </w:r>
    </w:p>
    <w:p xmlns:wp14="http://schemas.microsoft.com/office/word/2010/wordml" w:rsidR="00054398" w:rsidP="00054398" w:rsidRDefault="00054398" w14:paraId="42AFC42D" wp14:textId="77777777">
      <w:pPr>
        <w:jc w:val="center"/>
      </w:pPr>
    </w:p>
    <w:p xmlns:wp14="http://schemas.microsoft.com/office/word/2010/wordml" w:rsidR="00054398" w:rsidP="00054398" w:rsidRDefault="00054398" w14:paraId="38AA7DAE" wp14:textId="77777777">
      <w:pPr>
        <w:pStyle w:val="Heading4"/>
        <w:rPr>
          <w:rFonts w:eastAsia="Calibri"/>
        </w:rPr>
      </w:pPr>
      <w:r>
        <w:rPr>
          <w:rFonts w:eastAsia="Calibri"/>
        </w:rPr>
        <w:t>The aff retains a sentimental investment in groups of belonging whose self image of themselves enables them to enact fascist demonizations of other Others under the guise of “shared feelings of liberation”. Rather than being liberatory affects, these representations are the condition of possibility for violation and pain to continue, turning the aff.</w:t>
      </w:r>
    </w:p>
    <w:p xmlns:wp14="http://schemas.microsoft.com/office/word/2010/wordml" w:rsidR="00054398" w:rsidP="00054398" w:rsidRDefault="00054398" w14:paraId="0F4DF8B9" wp14:textId="77777777">
      <w:pPr>
        <w:rPr>
          <w:rFonts w:ascii="Calibri" w:hAnsi="Calibri" w:eastAsia="Calibri" w:cs="Calibri"/>
        </w:rPr>
      </w:pPr>
      <w:r w:rsidRPr="001710C3">
        <w:rPr>
          <w:rStyle w:val="Style13ptBold"/>
        </w:rPr>
        <w:t>Berlant 98</w:t>
      </w:r>
      <w:r>
        <w:rPr>
          <w:rFonts w:ascii="Calibri" w:hAnsi="Calibri" w:eastAsia="Calibri" w:cs="Calibri"/>
        </w:rPr>
        <w:t>, Lauren. (Lauren Berlant is is the George M. Pullman Distinguished Service Professor  ofEnglish at the University of Chicago, where she has been teaching since 1984. Berlant received her Ph.D. from Cornell University. Poor Eliza. American Literature, vol. 70, no. 3, 1998, p. 635-666., doi:10.2307/2902712. // #CS)</w:t>
      </w:r>
    </w:p>
    <w:p xmlns:wp14="http://schemas.microsoft.com/office/word/2010/wordml" w:rsidR="00054398" w:rsidP="00054398" w:rsidRDefault="00054398" w14:paraId="6288B5BE" wp14:textId="77777777">
      <w:pPr>
        <w:rPr>
          <w:rFonts w:ascii="Calibri" w:hAnsi="Calibri" w:eastAsia="Calibri" w:cs="Calibri"/>
          <w:b/>
          <w:highlight w:val="cyan"/>
          <w:u w:val="single"/>
        </w:rPr>
      </w:pPr>
      <w:r>
        <w:rPr>
          <w:rFonts w:ascii="Calibri" w:hAnsi="Calibri" w:eastAsia="Calibri" w:cs="Calibri"/>
          <w:sz w:val="10"/>
          <w:szCs w:val="10"/>
        </w:rPr>
        <w:t xml:space="preserve">In the genealogy we have been tracking, </w:t>
      </w:r>
      <w:r>
        <w:rPr>
          <w:rFonts w:ascii="Calibri" w:hAnsi="Calibri" w:eastAsia="Calibri" w:cs="Calibri"/>
          <w:b/>
          <w:highlight w:val="cyan"/>
          <w:u w:val="single"/>
        </w:rPr>
        <w:t>sentimental modes are tactically appropriated to produce political worlds and citizen-subjects who are regulated by the natural justice that is generated by suffering and trauma.</w:t>
      </w:r>
      <w:r>
        <w:rPr>
          <w:rFonts w:ascii="Calibri" w:hAnsi="Calibri" w:eastAsia="Calibri" w:cs="Calibri"/>
          <w:sz w:val="10"/>
          <w:szCs w:val="10"/>
        </w:rPr>
        <w:t xml:space="preserve"> But the Uncle Tom form has also engendered a parallel universe of textual resistance-to the Uncle Tom form itself. First and foremost, this constellation of dissident texts refuses to reproduce the fascinated pleasure-in-violence so spectacularly hardwired into the white and U.S.- identified memory of slavery, even when that memory is used reparatively to express white guilt or national apology. The use of the Uncle Tom form against its fundamental claims involves a refusal to elevate the ethic of personal sacrifice, suffering, and mourning over a politically "interested" will to socially transformative action; and it repudiates a tendency to use self-exonerating rhetorical distractions like slapstick, romance, or tragedy to draw a self-critical boundary between an "enlightened" present and an unfortunate past. An author's or text's refusal to reproduce the sublimation of subaltern struggles into conventions of narrative satisfaction and redemptive fantasy might be called "postsentimentality," a resistant strain of the sentimental domain. </w:t>
      </w:r>
      <w:r>
        <w:rPr>
          <w:rFonts w:ascii="Calibri" w:hAnsi="Calibri" w:eastAsia="Calibri" w:cs="Calibri"/>
          <w:b/>
          <w:highlight w:val="cyan"/>
          <w:u w:val="single"/>
        </w:rPr>
        <w:t xml:space="preserve">Plots in this mode remain saturated by the ideal of a "one people" that can absorb all difference and struggle into a sponge of true feeling. </w:t>
      </w:r>
      <w:r>
        <w:rPr>
          <w:rFonts w:ascii="Calibri" w:hAnsi="Calibri" w:eastAsia="Calibri" w:cs="Calibri"/>
          <w:b/>
          <w:u w:val="single"/>
        </w:rPr>
        <w:t xml:space="preserve">That metacultural ideal of </w:t>
      </w:r>
      <w:r>
        <w:rPr>
          <w:rFonts w:ascii="Calibri" w:hAnsi="Calibri" w:eastAsia="Calibri" w:cs="Calibri"/>
          <w:b/>
          <w:highlight w:val="cyan"/>
          <w:u w:val="single"/>
        </w:rPr>
        <w:t>liberal empathy is so embedded in the horizon of ethico- political fantasy that alternative models</w:t>
      </w:r>
      <w:r>
        <w:rPr>
          <w:rFonts w:ascii="Calibri" w:hAnsi="Calibri" w:eastAsia="Calibri" w:cs="Calibri"/>
          <w:b/>
          <w:u w:val="single"/>
        </w:rPr>
        <w:t>-for example, those that do not track power in terms of its subjective effects</w:t>
      </w:r>
      <w:r>
        <w:rPr>
          <w:rFonts w:ascii="Calibri" w:hAnsi="Calibri" w:eastAsia="Calibri" w:cs="Calibri"/>
          <w:b/>
          <w:highlight w:val="cyan"/>
          <w:u w:val="single"/>
        </w:rPr>
        <w:t>-can seem inhuman, hollow, and irrelevant to the ways people experience optimism and powerlessness in ordinary life</w:t>
      </w:r>
      <w:r>
        <w:rPr>
          <w:rFonts w:ascii="Calibri" w:hAnsi="Calibri" w:eastAsia="Calibri" w:cs="Calibri"/>
          <w:sz w:val="10"/>
          <w:szCs w:val="10"/>
        </w:rPr>
        <w:t xml:space="preserve">. Postsentimental narratives are lacerated by ambivalence: they struggle constantly with their own attachment to the promise of unconflictedness and intimacy with which the U.S. sentimental tradition gifts its politically exhausted and cynically extended citizens. Tableaux of effective domestic pedagogy, moral praxis, and sheer peace dominate narratives that exemplify concepts of justice and freedom in tales of personal destiny. How to deprivatize politics without merely demonizing the fantasy state liberalism proposes? 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In its traditional and political modalities, </w:t>
      </w:r>
      <w:r>
        <w:rPr>
          <w:rFonts w:ascii="Calibri" w:hAnsi="Calibri" w:eastAsia="Calibri" w:cs="Calibri"/>
          <w:b/>
          <w:highlight w:val="cyan"/>
          <w:u w:val="single"/>
        </w:rPr>
        <w:t xml:space="preserve">the sentimental promises that in a just world a consensus will already exist about what constitutes uplift, amelioration, and emancipation, </w:t>
      </w:r>
      <w:r>
        <w:rPr>
          <w:rFonts w:ascii="Calibri" w:hAnsi="Calibri" w:eastAsia="Calibri" w:cs="Calibri"/>
          <w:b/>
          <w:u w:val="single"/>
        </w:rPr>
        <w:t>those horizons toward which empathy powerfully directs itself</w:t>
      </w:r>
      <w:r>
        <w:rPr>
          <w:rFonts w:ascii="Calibri" w:hAnsi="Calibri" w:eastAsia="Calibri" w:cs="Calibri"/>
          <w:b/>
          <w:highlight w:val="cyan"/>
          <w:u w:val="single"/>
        </w:rPr>
        <w:t>.</w:t>
      </w:r>
      <w:r>
        <w:rPr>
          <w:rFonts w:ascii="Calibri" w:hAnsi="Calibri" w:eastAsia="Calibri" w:cs="Calibri"/>
          <w:sz w:val="10"/>
          <w:szCs w:val="10"/>
          <w:highlight w:val="cyan"/>
        </w:rPr>
        <w:t xml:space="preserve"> </w:t>
      </w:r>
      <w:r>
        <w:rPr>
          <w:rFonts w:ascii="Calibri" w:hAnsi="Calibri" w:eastAsia="Calibri" w:cs="Calibri"/>
          <w:b/>
          <w:highlight w:val="cyan"/>
          <w:u w:val="single"/>
        </w:rPr>
        <w:t xml:space="preserve">Identification with suffering, </w:t>
      </w:r>
      <w:r>
        <w:rPr>
          <w:rFonts w:ascii="Calibri" w:hAnsi="Calibri" w:eastAsia="Calibri" w:cs="Calibri"/>
          <w:b/>
          <w:u w:val="single"/>
        </w:rPr>
        <w:t>the ethical response to the sentimental plot</w:t>
      </w:r>
      <w:r>
        <w:rPr>
          <w:rFonts w:ascii="Calibri" w:hAnsi="Calibri" w:eastAsia="Calibri" w:cs="Calibri"/>
          <w:b/>
          <w:highlight w:val="cyan"/>
          <w:u w:val="single"/>
        </w:rPr>
        <w:t>, leads to its repetition in the audience and thus to a generally held view about what transformations would bring the good life into being</w:t>
      </w:r>
      <w:r>
        <w:rPr>
          <w:rFonts w:ascii="Calibri" w:hAnsi="Calibri" w:eastAsia="Calibri" w:cs="Calibri"/>
          <w:sz w:val="10"/>
          <w:szCs w:val="10"/>
          <w:highlight w:val="cyan"/>
        </w:rPr>
        <w:t xml:space="preserve">. </w:t>
      </w:r>
      <w:r>
        <w:rPr>
          <w:rFonts w:ascii="Calibri" w:hAnsi="Calibri" w:eastAsia="Calibri" w:cs="Calibri"/>
          <w:b/>
          <w:highlight w:val="cyan"/>
          <w:u w:val="single"/>
        </w:rPr>
        <w:t>This presumption, that the terms of consent are trans historical once true feeling is shared, explains in part why emotions</w:t>
      </w:r>
      <w:r>
        <w:rPr>
          <w:rFonts w:ascii="Calibri" w:hAnsi="Calibri" w:eastAsia="Calibri" w:cs="Calibri"/>
          <w:b/>
          <w:u w:val="single"/>
        </w:rPr>
        <w:t>, especially painful ones</w:t>
      </w:r>
      <w:r>
        <w:rPr>
          <w:rFonts w:ascii="Calibri" w:hAnsi="Calibri" w:eastAsia="Calibri" w:cs="Calibri"/>
          <w:b/>
          <w:highlight w:val="cyan"/>
          <w:u w:val="single"/>
        </w:rPr>
        <w:t>, are so central to the world-building aspects of sentimental alliance.</w:t>
      </w:r>
      <w:r>
        <w:rPr>
          <w:rFonts w:ascii="Calibri" w:hAnsi="Calibri" w:eastAsia="Calibri" w:cs="Calibri"/>
          <w:sz w:val="10"/>
          <w:szCs w:val="10"/>
        </w:rPr>
        <w:t xml:space="preserve"> Postsentimental texts withdraw from the contract that presumes consent to the conventionally desired outcomes of identification and empathy. The desire for unconflictedness might very well motivate the sacrifice of surprising ideas to the norms of the world against which this rhetoric is being deployed. What, if anything, then, can be built from the very different knowledge/experience of subaltern pain? What can memory do to create conditions for freedom and justice without reconfirming the terms of ordinary subordination? More than a critique of feeling as such, the postsentimental modality also challenges what literature and storytelling have come to stand for in the creation of sentimental national subjects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 machinery of mass society, in which the production of tears where anger or nothing might have been became more urgent with the coming to cultural dominance of the Holocaust and trauma as models for having and remembering collective social experience.20 Currently, as in traditional sentimentality, </w:t>
      </w:r>
      <w:r>
        <w:rPr>
          <w:rFonts w:ascii="Calibri" w:hAnsi="Calibri" w:eastAsia="Calibri" w:cs="Calibri"/>
          <w:b/>
          <w:highlight w:val="cyan"/>
          <w:u w:val="single"/>
        </w:rPr>
        <w:t xml:space="preserve">the authenticity of </w:t>
      </w:r>
      <w:r>
        <w:rPr>
          <w:rFonts w:ascii="Calibri" w:hAnsi="Calibri" w:eastAsia="Calibri" w:cs="Calibri"/>
          <w:b/>
          <w:u w:val="single"/>
        </w:rPr>
        <w:t>overwhelming</w:t>
      </w:r>
      <w:r>
        <w:rPr>
          <w:rFonts w:ascii="Calibri" w:hAnsi="Calibri" w:eastAsia="Calibri" w:cs="Calibri"/>
          <w:b/>
          <w:highlight w:val="cyan"/>
          <w:u w:val="single"/>
        </w:rPr>
        <w:t xml:space="preserve"> pain that can be textually performed </w:t>
      </w:r>
      <w:r>
        <w:rPr>
          <w:rFonts w:ascii="Calibri" w:hAnsi="Calibri" w:eastAsia="Calibri" w:cs="Calibri"/>
          <w:b/>
          <w:u w:val="single"/>
        </w:rPr>
        <w:t xml:space="preserve">and shared is </w:t>
      </w:r>
      <w:r>
        <w:rPr>
          <w:rFonts w:ascii="Calibri" w:hAnsi="Calibri" w:eastAsia="Calibri" w:cs="Calibri"/>
          <w:b/>
          <w:highlight w:val="cyan"/>
          <w:u w:val="single"/>
        </w:rPr>
        <w:t xml:space="preserve">disseminated as a prophylactic against the reproduction of </w:t>
      </w:r>
      <w:r>
        <w:rPr>
          <w:rFonts w:ascii="Calibri" w:hAnsi="Calibri" w:eastAsia="Calibri" w:cs="Calibri"/>
          <w:b/>
          <w:u w:val="single"/>
        </w:rPr>
        <w:t xml:space="preserve">a shocking and numbing </w:t>
      </w:r>
      <w:r>
        <w:rPr>
          <w:rFonts w:ascii="Calibri" w:hAnsi="Calibri" w:eastAsia="Calibri" w:cs="Calibri"/>
          <w:b/>
          <w:highlight w:val="cyan"/>
          <w:u w:val="single"/>
        </w:rPr>
        <w:t>mass violence</w:t>
      </w:r>
      <w:r>
        <w:rPr>
          <w:rFonts w:ascii="Calibri" w:hAnsi="Calibri" w:eastAsia="Calibri" w:cs="Calibri"/>
          <w:sz w:val="10"/>
          <w:szCs w:val="10"/>
        </w:rPr>
        <w:t xml:space="preserve">. Baldwin asserts that </w:t>
      </w:r>
      <w:r>
        <w:rPr>
          <w:rFonts w:ascii="Calibri" w:hAnsi="Calibri" w:eastAsia="Calibri" w:cs="Calibri"/>
          <w:b/>
          <w:highlight w:val="cyan"/>
          <w:u w:val="single"/>
        </w:rPr>
        <w:t>the overvaluation of such redemptive feeling is precisely a condition of that violence</w:t>
      </w:r>
      <w:r>
        <w:rPr>
          <w:rFonts w:ascii="Calibri" w:hAnsi="Calibri" w:eastAsia="Calibri" w:cs="Calibri"/>
          <w:b/>
          <w:u w:val="single"/>
        </w:rPr>
        <w:t>.</w:t>
      </w:r>
      <w:r>
        <w:rPr>
          <w:rFonts w:ascii="Calibri" w:hAnsi="Calibri" w:eastAsia="Calibri" w:cs="Calibri"/>
          <w:sz w:val="10"/>
          <w:szCs w:val="10"/>
        </w:rPr>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 honesty, panic, trapped and immobilized in the sunlit prison of the American dream." 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freedom.21 Indeed, "truth" is the keyword for Baldwin. He defines it as "a devotion to the human being, his freedom and fulfillment: freedom which cannot be legislated, fulfillment which cannot be charted."22 In contrast, Stowe's totalitarian religiosity, her insistence that sub jects "bargain" for heavenly redemption with their own physical and spiritual mortification, merely and violently confirms the fundamental abjection of all persons, especially the black ones who wear the dark night of the soul out where all can see it.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This national- liberal refusal of complexity is what he elsewhere calls "the price of the ticket" for membership in the American dream.23 As the Uncle Tom films suggest, </w:t>
      </w:r>
      <w:r>
        <w:rPr>
          <w:rFonts w:ascii="Calibri" w:hAnsi="Calibri" w:eastAsia="Calibri" w:cs="Calibri"/>
          <w:b/>
          <w:highlight w:val="cyan"/>
          <w:u w:val="single"/>
        </w:rPr>
        <w:t xml:space="preserve">whites need blacks to "dance" for them so that they might continue </w:t>
      </w:r>
      <w:r>
        <w:rPr>
          <w:rFonts w:ascii="Calibri" w:hAnsi="Calibri" w:eastAsia="Calibri" w:cs="Calibri"/>
          <w:b/>
          <w:highlight w:val="cyan"/>
          <w:u w:val="single"/>
        </w:rPr>
        <w:lastRenderedPageBreak/>
        <w:t>disavowing the costs or ghosts of white ness, which involve religious traditions of self- loathing and cultural traditions confusing happiness with analgesia.</w:t>
      </w:r>
      <w:r>
        <w:rPr>
          <w:rFonts w:ascii="Calibri" w:hAnsi="Calibri" w:eastAsia="Calibri" w:cs="Calibri"/>
          <w:sz w:val="10"/>
          <w:szCs w:val="10"/>
        </w:rPr>
        <w:t xml:space="preserve"> The conventional reading of "Everybody's Protest Novel" sees it as a violent rejection of the sentimental.24 It is associated with the feminine (Little Women), with hollow and dishonest capacities of feeling, with an aversion to the real pain that real experience brings. "</w:t>
      </w:r>
      <w:r>
        <w:rPr>
          <w:rFonts w:ascii="Calibri" w:hAnsi="Calibri" w:eastAsia="Calibri" w:cs="Calibri"/>
          <w:b/>
          <w:u w:val="single"/>
        </w:rPr>
        <w:t>Causes, as we know, are notoriously bloodthirsty</w:t>
      </w:r>
      <w:r>
        <w:rPr>
          <w:rFonts w:ascii="Calibri" w:hAnsi="Calibri" w:eastAsia="Calibri" w:cs="Calibri"/>
          <w:sz w:val="10"/>
          <w:szCs w:val="10"/>
        </w:rPr>
        <w:t xml:space="preserve">," he writes.25 </w:t>
      </w:r>
      <w:r>
        <w:rPr>
          <w:rFonts w:ascii="Calibri" w:hAnsi="Calibri" w:eastAsia="Calibri" w:cs="Calibri"/>
          <w:b/>
          <w:highlight w:val="cyan"/>
          <w:u w:val="single"/>
        </w:rPr>
        <w:t>The politico sentimental novel uses suffering vampirically to simplify the subject, thereby making the injunction to empathy safe for the subject</w:t>
      </w:r>
      <w:r>
        <w:rPr>
          <w:rFonts w:ascii="Calibri" w:hAnsi="Calibri" w:eastAsia="Calibri" w:cs="Calibri"/>
          <w:b/>
          <w:u w:val="single"/>
        </w:rPr>
        <w:t>.</w:t>
      </w:r>
      <w:r>
        <w:rPr>
          <w:rFonts w:ascii="Calibri" w:hAnsi="Calibri" w:eastAsia="Calibri" w:cs="Calibri"/>
          <w:sz w:val="10"/>
          <w:szCs w:val="10"/>
        </w:rPr>
        <w:t xml:space="preserve"> Of course there is more to the story. Baldwin bewails the sentimentality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Pr>
          <w:rFonts w:ascii="Calibri" w:hAnsi="Calibri" w:eastAsia="Calibri" w:cs="Calibri"/>
          <w:b/>
          <w:u w:val="single"/>
        </w:rPr>
        <w:t xml:space="preserve">This </w:t>
      </w:r>
      <w:r>
        <w:rPr>
          <w:rFonts w:ascii="Calibri" w:hAnsi="Calibri" w:eastAsia="Calibri" w:cs="Calibri"/>
          <w:b/>
          <w:highlight w:val="cyan"/>
          <w:u w:val="single"/>
        </w:rPr>
        <w:t xml:space="preserve">addiction to the formula of redemption through violent simplification persists with a "terrible power": it confirms that U.S. minorities are constituted as Others </w:t>
      </w:r>
      <w:r>
        <w:rPr>
          <w:rFonts w:ascii="Calibri" w:hAnsi="Calibri" w:eastAsia="Calibri" w:cs="Calibri"/>
          <w:b/>
          <w:u w:val="single"/>
        </w:rPr>
        <w:t xml:space="preserve">even to themselves </w:t>
      </w:r>
      <w:r>
        <w:rPr>
          <w:rFonts w:ascii="Calibri" w:hAnsi="Calibri" w:eastAsia="Calibri" w:cs="Calibri"/>
          <w:b/>
          <w:highlight w:val="cyan"/>
          <w:u w:val="single"/>
        </w:rPr>
        <w:t xml:space="preserve">through attachment to the most hateful, objectified, cartoon-like versions of their identities, and </w:t>
      </w:r>
      <w:r>
        <w:rPr>
          <w:rFonts w:ascii="Calibri" w:hAnsi="Calibri" w:eastAsia="Calibri" w:cs="Calibri"/>
          <w:b/>
          <w:u w:val="single"/>
        </w:rPr>
        <w:t xml:space="preserve">that the </w:t>
      </w:r>
      <w:r>
        <w:rPr>
          <w:rFonts w:ascii="Calibri" w:hAnsi="Calibri" w:eastAsia="Calibri" w:cs="Calibri"/>
          <w:b/>
          <w:highlight w:val="cyan"/>
          <w:u w:val="single"/>
        </w:rPr>
        <w:t>shamed subcultures of America really are, in some way, fully expressed by the overpresence of the stereotypical image.</w:t>
      </w:r>
    </w:p>
    <w:p xmlns:wp14="http://schemas.microsoft.com/office/word/2010/wordml" w:rsidR="00054398" w:rsidP="00054398" w:rsidRDefault="00054398" w14:paraId="5C2E94F4" wp14:textId="77777777">
      <w:pPr>
        <w:pStyle w:val="Heading4"/>
        <w:rPr>
          <w:rFonts w:eastAsia="Calibri"/>
        </w:rPr>
      </w:pPr>
      <w:bookmarkStart w:name="_ffuy9bm4fv4j" w:colFirst="0" w:colLast="0" w:id="11"/>
      <w:bookmarkEnd w:id="11"/>
      <w:r>
        <w:rPr>
          <w:rFonts w:eastAsia="Calibri"/>
        </w:rPr>
        <w:t xml:space="preserve">Sentimentality is at the core of national belonging-- the aff’s representation of death is not revolutionary but rather occurs in a liberal economy that invites mourning in order to sustain an investment in the existing hegemonic order of things. </w:t>
      </w:r>
    </w:p>
    <w:p xmlns:wp14="http://schemas.microsoft.com/office/word/2010/wordml" w:rsidR="00054398" w:rsidP="00054398" w:rsidRDefault="00054398" w14:paraId="651C4712" wp14:textId="77777777">
      <w:pPr>
        <w:rPr>
          <w:rFonts w:ascii="Calibri" w:hAnsi="Calibri" w:eastAsia="Calibri" w:cs="Calibri"/>
        </w:rPr>
      </w:pPr>
      <w:r w:rsidRPr="001710C3">
        <w:rPr>
          <w:rStyle w:val="Style13ptBold"/>
        </w:rPr>
        <w:t>Berlant 99</w:t>
      </w:r>
      <w:r>
        <w:rPr>
          <w:rFonts w:ascii="Calibri" w:hAnsi="Calibri" w:eastAsia="Calibri" w:cs="Calibri"/>
        </w:rPr>
        <w:t xml:space="preserve"> (Lauren – George M. Pullman Distinguished Service Professor of English at the University of Chicago, Ph.D. from Cornell University, “The Subject of True Feeling: Pain, Privacy and Politics,” in </w:t>
      </w:r>
      <w:r>
        <w:rPr>
          <w:rFonts w:ascii="Calibri" w:hAnsi="Calibri" w:eastAsia="Calibri" w:cs="Calibri"/>
          <w:i/>
        </w:rPr>
        <w:t>Cultural Pluralism, Identity Politics and the Law,</w:t>
      </w:r>
      <w:r>
        <w:rPr>
          <w:rFonts w:ascii="Calibri" w:hAnsi="Calibri" w:eastAsia="Calibri" w:cs="Calibri"/>
        </w:rPr>
        <w:t xml:space="preserve"> Ed. Sarat &amp; Kearns, p. 49-54 // #CS)</w:t>
      </w:r>
    </w:p>
    <w:p xmlns:wp14="http://schemas.microsoft.com/office/word/2010/wordml" w:rsidR="00054398" w:rsidP="00054398" w:rsidRDefault="00054398" w14:paraId="075FA3D6" wp14:textId="77777777">
      <w:pPr>
        <w:rPr>
          <w:rFonts w:ascii="Calibri" w:hAnsi="Calibri" w:eastAsia="Calibri" w:cs="Calibri"/>
          <w:sz w:val="14"/>
          <w:szCs w:val="14"/>
        </w:rPr>
      </w:pPr>
      <w:r>
        <w:rPr>
          <w:rFonts w:ascii="Calibri" w:hAnsi="Calibri" w:eastAsia="Calibri" w:cs="Calibri"/>
          <w:sz w:val="14"/>
          <w:szCs w:val="14"/>
        </w:rPr>
        <w:t xml:space="preserve">Ravaged wages and </w:t>
      </w:r>
      <w:r>
        <w:rPr>
          <w:rFonts w:ascii="Calibri" w:hAnsi="Calibri" w:eastAsia="Calibri" w:cs="Calibri"/>
          <w:u w:val="single"/>
        </w:rPr>
        <w:t>ravaged bodies saturate the global marketplace in which the U</w:t>
      </w:r>
      <w:r>
        <w:rPr>
          <w:rFonts w:ascii="Calibri" w:hAnsi="Calibri" w:eastAsia="Calibri" w:cs="Calibri"/>
          <w:sz w:val="14"/>
          <w:szCs w:val="14"/>
        </w:rPr>
        <w:t xml:space="preserve">nited </w:t>
      </w:r>
      <w:r>
        <w:rPr>
          <w:rFonts w:ascii="Calibri" w:hAnsi="Calibri" w:eastAsia="Calibri" w:cs="Calibri"/>
          <w:u w:val="single"/>
        </w:rPr>
        <w:t>S</w:t>
      </w:r>
      <w:r>
        <w:rPr>
          <w:rFonts w:ascii="Calibri" w:hAnsi="Calibri" w:eastAsia="Calibri" w:cs="Calibri"/>
          <w:sz w:val="14"/>
          <w:szCs w:val="14"/>
        </w:rPr>
        <w:t xml:space="preserve">tates </w:t>
      </w:r>
      <w:r>
        <w:rPr>
          <w:rFonts w:ascii="Calibri" w:hAnsi="Calibri" w:eastAsia="Calibri" w:cs="Calibri"/>
          <w:u w:val="single"/>
        </w:rPr>
        <w:t xml:space="preserve">seeks </w:t>
      </w:r>
      <w:r>
        <w:rPr>
          <w:rFonts w:ascii="Calibri" w:hAnsi="Calibri" w:eastAsia="Calibri" w:cs="Calibri"/>
          <w:sz w:val="14"/>
          <w:szCs w:val="14"/>
        </w:rPr>
        <w:t xml:space="preserve">desperately </w:t>
      </w:r>
      <w:r>
        <w:rPr>
          <w:rFonts w:ascii="Calibri" w:hAnsi="Calibri" w:eastAsia="Calibri" w:cs="Calibri"/>
          <w:u w:val="single"/>
        </w:rPr>
        <w:t>to compete</w:t>
      </w:r>
      <w:r>
        <w:rPr>
          <w:rFonts w:ascii="Calibri" w:hAnsi="Calibri" w:eastAsia="Calibri" w:cs="Calibri"/>
          <w:sz w:val="14"/>
          <w:szCs w:val="14"/>
        </w:rPr>
        <w:t xml:space="preserve"> “competitively,” as the euphemism goes, </w:t>
      </w:r>
      <w:r>
        <w:rPr>
          <w:rFonts w:ascii="Calibri" w:hAnsi="Calibri" w:eastAsia="Calibri" w:cs="Calibri"/>
          <w:u w:val="single"/>
        </w:rPr>
        <w:t>signifying a race that will be won by the nations whose</w:t>
      </w:r>
      <w:r>
        <w:rPr>
          <w:rFonts w:ascii="Calibri" w:hAnsi="Calibri" w:eastAsia="Calibri" w:cs="Calibri"/>
          <w:sz w:val="14"/>
          <w:szCs w:val="14"/>
        </w:rPr>
        <w:t xml:space="preserve"> labor </w:t>
      </w:r>
      <w:r>
        <w:rPr>
          <w:rFonts w:ascii="Calibri" w:hAnsi="Calibri" w:eastAsia="Calibri" w:cs="Calibri"/>
          <w:u w:val="single"/>
        </w:rPr>
        <w:t>conditions are most optimal</w:t>
      </w:r>
      <w:r>
        <w:rPr>
          <w:rFonts w:ascii="Calibri" w:hAnsi="Calibri" w:eastAsia="Calibri" w:cs="Calibri"/>
          <w:sz w:val="14"/>
          <w:szCs w:val="14"/>
        </w:rPr>
        <w:t xml:space="preserve"> for profit? In the United States </w:t>
      </w:r>
      <w:r>
        <w:rPr>
          <w:rFonts w:ascii="Calibri" w:hAnsi="Calibri" w:eastAsia="Calibri" w:cs="Calibri"/>
          <w:highlight w:val="green"/>
          <w:u w:val="single"/>
        </w:rPr>
        <w:t>the media of the political public sphere regularly register new scandals</w:t>
      </w:r>
      <w:r>
        <w:rPr>
          <w:rFonts w:ascii="Calibri" w:hAnsi="Calibri" w:eastAsia="Calibri" w:cs="Calibri"/>
          <w:sz w:val="14"/>
          <w:szCs w:val="14"/>
        </w:rPr>
        <w:t xml:space="preserve"> of the proliferating sweatshop networks </w:t>
      </w:r>
      <w:r>
        <w:rPr>
          <w:rFonts w:ascii="Calibri" w:hAnsi="Calibri" w:eastAsia="Calibri" w:cs="Calibri"/>
          <w:u w:val="single"/>
        </w:rPr>
        <w:t>“</w:t>
      </w:r>
      <w:r>
        <w:rPr>
          <w:rFonts w:ascii="Calibri" w:hAnsi="Calibri" w:eastAsia="Calibri" w:cs="Calibri"/>
          <w:highlight w:val="green"/>
          <w:u w:val="single"/>
        </w:rPr>
        <w:t>at home” and “abroad,” which has to be a good thing, because it produces feeling and with it something at least akin to consciousness that can lead to action</w:t>
      </w:r>
      <w:r>
        <w:rPr>
          <w:rFonts w:ascii="Calibri" w:hAnsi="Calibri" w:eastAsia="Calibri" w:cs="Calibri"/>
          <w:sz w:val="14"/>
          <w:szCs w:val="14"/>
          <w:highlight w:val="green"/>
        </w:rPr>
        <w:t>.</w:t>
      </w:r>
      <w:r>
        <w:rPr>
          <w:rFonts w:ascii="Calibri" w:hAnsi="Calibri" w:eastAsia="Calibri" w:cs="Calibri"/>
          <w:sz w:val="14"/>
          <w:szCs w:val="14"/>
        </w:rPr>
        <w:t xml:space="preserve">3 </w:t>
      </w:r>
      <w:r>
        <w:rPr>
          <w:rFonts w:ascii="Calibri" w:hAnsi="Calibri" w:eastAsia="Calibri" w:cs="Calibri"/>
          <w:u w:val="single"/>
        </w:rPr>
        <w:t xml:space="preserve">Yet </w:t>
      </w:r>
      <w:r>
        <w:rPr>
          <w:rFonts w:ascii="Calibri" w:hAnsi="Calibri" w:eastAsia="Calibri" w:cs="Calibri"/>
          <w:highlight w:val="green"/>
          <w:u w:val="single"/>
        </w:rPr>
        <w:t>even as the image of the traumatized</w:t>
      </w:r>
      <w:r>
        <w:rPr>
          <w:rFonts w:ascii="Calibri" w:hAnsi="Calibri" w:eastAsia="Calibri" w:cs="Calibri"/>
          <w:sz w:val="14"/>
          <w:szCs w:val="14"/>
        </w:rPr>
        <w:t xml:space="preserve"> worker </w:t>
      </w:r>
      <w:r>
        <w:rPr>
          <w:rFonts w:ascii="Calibri" w:hAnsi="Calibri" w:eastAsia="Calibri" w:cs="Calibri"/>
          <w:highlight w:val="green"/>
          <w:u w:val="single"/>
        </w:rPr>
        <w:t>proliferates</w:t>
      </w:r>
      <w:r>
        <w:rPr>
          <w:rFonts w:ascii="Calibri" w:hAnsi="Calibri" w:eastAsia="Calibri" w:cs="Calibri"/>
          <w:sz w:val="14"/>
          <w:szCs w:val="14"/>
        </w:rPr>
        <w:t xml:space="preserve">, </w:t>
      </w:r>
      <w:r>
        <w:rPr>
          <w:rFonts w:ascii="Calibri" w:hAnsi="Calibri" w:eastAsia="Calibri" w:cs="Calibri"/>
          <w:u w:val="single"/>
        </w:rPr>
        <w:t xml:space="preserve">even as evidence of exploitation is found under every rock or commodity, </w:t>
      </w:r>
      <w:r>
        <w:rPr>
          <w:rFonts w:ascii="Calibri" w:hAnsi="Calibri" w:eastAsia="Calibri" w:cs="Calibri"/>
          <w:b/>
          <w:highlight w:val="green"/>
          <w:u w:val="single"/>
        </w:rPr>
        <w:t>it competes with a normative/utopian image of the U.S. citizens who remains unmarked</w:t>
      </w:r>
      <w:r>
        <w:rPr>
          <w:rFonts w:ascii="Calibri" w:hAnsi="Calibri" w:eastAsia="Calibri" w:cs="Calibri"/>
          <w:sz w:val="14"/>
          <w:szCs w:val="14"/>
          <w:highlight w:val="green"/>
        </w:rPr>
        <w:t xml:space="preserve">, </w:t>
      </w:r>
      <w:r>
        <w:rPr>
          <w:rFonts w:ascii="Calibri" w:hAnsi="Calibri" w:eastAsia="Calibri" w:cs="Calibri"/>
          <w:highlight w:val="green"/>
          <w:u w:val="single"/>
        </w:rPr>
        <w:t>framed</w:t>
      </w:r>
      <w:r>
        <w:rPr>
          <w:rFonts w:ascii="Calibri" w:hAnsi="Calibri" w:eastAsia="Calibri" w:cs="Calibri"/>
          <w:sz w:val="14"/>
          <w:szCs w:val="14"/>
          <w:highlight w:val="green"/>
        </w:rPr>
        <w:t xml:space="preserve">, </w:t>
      </w:r>
      <w:r>
        <w:rPr>
          <w:rFonts w:ascii="Calibri" w:hAnsi="Calibri" w:eastAsia="Calibri" w:cs="Calibri"/>
          <w:highlight w:val="green"/>
          <w:u w:val="single"/>
        </w:rPr>
        <w:t>and protected by the private trajectory of his life project</w:t>
      </w:r>
      <w:r>
        <w:rPr>
          <w:rFonts w:ascii="Calibri" w:hAnsi="Calibri" w:eastAsia="Calibri" w:cs="Calibri"/>
          <w:u w:val="single"/>
        </w:rPr>
        <w:t xml:space="preserve"> which is</w:t>
      </w:r>
      <w:r>
        <w:rPr>
          <w:rFonts w:ascii="Calibri" w:hAnsi="Calibri" w:eastAsia="Calibri" w:cs="Calibri"/>
          <w:sz w:val="14"/>
          <w:szCs w:val="14"/>
        </w:rPr>
        <w:t xml:space="preserve"> sanctified at the juncture where the unconscious meets history: </w:t>
      </w:r>
      <w:r>
        <w:rPr>
          <w:rFonts w:ascii="Calibri" w:hAnsi="Calibri" w:eastAsia="Calibri" w:cs="Calibri"/>
          <w:u w:val="single"/>
        </w:rPr>
        <w:t>the American Dream</w:t>
      </w:r>
      <w:r>
        <w:rPr>
          <w:rFonts w:ascii="Calibri" w:hAnsi="Calibri" w:eastAsia="Calibri" w:cs="Calibri"/>
          <w:sz w:val="14"/>
          <w:szCs w:val="14"/>
        </w:rPr>
        <w:t xml:space="preserve">.4 in that story one’s identity is not borne of suffering, mental, physical, or economic. If the U.S. Worker’s lucky enough to live at an economic moment that sustains the Dream he gets to appear at his least national when he is working and at his most national at leisure, with his family or in semipublic worlds of other men producing surplus manliness (e.g., via sports). In the American dreamscape his identity is private property, a zone in which structural obstacles and cultural differences fade into an ether of prolonged, deferred, and individuating enjoyment that he has earned and that the nation has helped him to earn. Meanwhile, </w:t>
      </w:r>
      <w:r>
        <w:rPr>
          <w:rFonts w:ascii="Calibri" w:hAnsi="Calibri" w:eastAsia="Calibri" w:cs="Calibri"/>
          <w:u w:val="single"/>
        </w:rPr>
        <w:t>exploitation only appears as a scandalous nugget in the sieve of memory when it can be condensed into an exotic thing of momentary fascination</w:t>
      </w:r>
      <w:r>
        <w:rPr>
          <w:rFonts w:ascii="Calibri" w:hAnsi="Calibri" w:eastAsia="Calibri" w:cs="Calibri"/>
          <w:sz w:val="14"/>
          <w:szCs w:val="14"/>
        </w:rPr>
        <w:t xml:space="preserve">, </w:t>
      </w:r>
      <w:r>
        <w:rPr>
          <w:rFonts w:ascii="Calibri" w:hAnsi="Calibri" w:eastAsia="Calibri" w:cs="Calibri"/>
          <w:u w:val="single"/>
        </w:rPr>
        <w:t>a squalor of the bottom too horrible to be read in its own actual banality</w:t>
      </w:r>
      <w:r>
        <w:rPr>
          <w:rFonts w:ascii="Calibri" w:hAnsi="Calibri" w:eastAsia="Calibri" w:cs="Calibri"/>
          <w:sz w:val="14"/>
          <w:szCs w:val="14"/>
        </w:rPr>
        <w:t xml:space="preserve">. </w:t>
      </w:r>
      <w:r>
        <w:rPr>
          <w:rFonts w:ascii="Calibri" w:hAnsi="Calibri" w:eastAsia="Calibri" w:cs="Calibri"/>
          <w:u w:val="single"/>
        </w:rPr>
        <w:t xml:space="preserve">The </w:t>
      </w:r>
      <w:r>
        <w:rPr>
          <w:rFonts w:ascii="Calibri" w:hAnsi="Calibri" w:eastAsia="Calibri" w:cs="Calibri"/>
          <w:highlight w:val="green"/>
          <w:u w:val="single"/>
        </w:rPr>
        <w:t>exposed traumas</w:t>
      </w:r>
      <w:r>
        <w:rPr>
          <w:rFonts w:ascii="Calibri" w:hAnsi="Calibri" w:eastAsia="Calibri" w:cs="Calibri"/>
          <w:sz w:val="14"/>
          <w:szCs w:val="14"/>
        </w:rPr>
        <w:t xml:space="preserve"> of workers in ongoing extreme conditions </w:t>
      </w:r>
      <w:r>
        <w:rPr>
          <w:rFonts w:ascii="Calibri" w:hAnsi="Calibri" w:eastAsia="Calibri" w:cs="Calibri"/>
          <w:highlight w:val="green"/>
          <w:u w:val="single"/>
        </w:rPr>
        <w:t>do not</w:t>
      </w:r>
      <w:r>
        <w:rPr>
          <w:rFonts w:ascii="Calibri" w:hAnsi="Calibri" w:eastAsia="Calibri" w:cs="Calibri"/>
          <w:sz w:val="14"/>
          <w:szCs w:val="14"/>
        </w:rPr>
        <w:t xml:space="preserve"> generally </w:t>
      </w:r>
      <w:r>
        <w:rPr>
          <w:rFonts w:ascii="Calibri" w:hAnsi="Calibri" w:eastAsia="Calibri" w:cs="Calibri"/>
          <w:highlight w:val="green"/>
          <w:u w:val="single"/>
        </w:rPr>
        <w:t>induce more than mourning on the part of the state and the public culture to whose feeling based opinions the state is said to respond</w:t>
      </w:r>
      <w:r>
        <w:rPr>
          <w:rFonts w:ascii="Calibri" w:hAnsi="Calibri" w:eastAsia="Calibri" w:cs="Calibri"/>
          <w:sz w:val="14"/>
          <w:szCs w:val="14"/>
        </w:rPr>
        <w:t xml:space="preserve">. </w:t>
      </w:r>
      <w:r>
        <w:rPr>
          <w:rFonts w:ascii="Calibri" w:hAnsi="Calibri" w:eastAsia="Calibri" w:cs="Calibri"/>
          <w:u w:val="single"/>
        </w:rPr>
        <w:t>Mourning is what happens when a grounding object is lost, is dead, no longer living (to you).</w:t>
      </w:r>
      <w:r>
        <w:rPr>
          <w:rFonts w:ascii="Calibri" w:hAnsi="Calibri" w:eastAsia="Calibri" w:cs="Calibri"/>
          <w:sz w:val="14"/>
          <w:szCs w:val="14"/>
        </w:rPr>
        <w:t xml:space="preserve"> </w:t>
      </w:r>
      <w:r>
        <w:rPr>
          <w:rFonts w:ascii="Calibri" w:hAnsi="Calibri" w:eastAsia="Calibri" w:cs="Calibri"/>
          <w:highlight w:val="green"/>
          <w:u w:val="single"/>
        </w:rPr>
        <w:t>Mourning is an experience of irreducible boundedness: I am here, I am living, he is dead</w:t>
      </w:r>
      <w:r>
        <w:rPr>
          <w:rFonts w:ascii="Calibri" w:hAnsi="Calibri" w:eastAsia="Calibri" w:cs="Calibri"/>
          <w:sz w:val="14"/>
          <w:szCs w:val="14"/>
        </w:rPr>
        <w:t xml:space="preserve">, I am mourning. </w:t>
      </w:r>
      <w:r>
        <w:rPr>
          <w:rFonts w:ascii="Calibri" w:hAnsi="Calibri" w:eastAsia="Calibri" w:cs="Calibri"/>
          <w:highlight w:val="green"/>
          <w:u w:val="single"/>
        </w:rPr>
        <w:t>It is a beautiful</w:t>
      </w:r>
      <w:r>
        <w:rPr>
          <w:rFonts w:ascii="Calibri" w:hAnsi="Calibri" w:eastAsia="Calibri" w:cs="Calibri"/>
          <w:sz w:val="14"/>
          <w:szCs w:val="14"/>
          <w:highlight w:val="green"/>
        </w:rPr>
        <w:t>,</w:t>
      </w:r>
      <w:r>
        <w:rPr>
          <w:rFonts w:ascii="Calibri" w:hAnsi="Calibri" w:eastAsia="Calibri" w:cs="Calibri"/>
          <w:sz w:val="14"/>
          <w:szCs w:val="14"/>
        </w:rPr>
        <w:t xml:space="preserve"> not sublime, </w:t>
      </w:r>
      <w:r>
        <w:rPr>
          <w:rFonts w:ascii="Calibri" w:hAnsi="Calibri" w:eastAsia="Calibri" w:cs="Calibri"/>
          <w:u w:val="single"/>
        </w:rPr>
        <w:t xml:space="preserve">experience of </w:t>
      </w:r>
      <w:r>
        <w:rPr>
          <w:rFonts w:ascii="Calibri" w:hAnsi="Calibri" w:eastAsia="Calibri" w:cs="Calibri"/>
          <w:highlight w:val="green"/>
          <w:u w:val="single"/>
        </w:rPr>
        <w:t>emancipation</w:t>
      </w:r>
      <w:r>
        <w:rPr>
          <w:rFonts w:ascii="Calibri" w:hAnsi="Calibri" w:eastAsia="Calibri" w:cs="Calibri"/>
          <w:u w:val="single"/>
        </w:rPr>
        <w:t>: mourning supplies the subject the definitional perfection of a being no longer in flux</w:t>
      </w:r>
      <w:r>
        <w:rPr>
          <w:rFonts w:ascii="Calibri" w:hAnsi="Calibri" w:eastAsia="Calibri" w:cs="Calibri"/>
          <w:sz w:val="14"/>
          <w:szCs w:val="14"/>
        </w:rPr>
        <w:t xml:space="preserve">. </w:t>
      </w:r>
      <w:r>
        <w:rPr>
          <w:rFonts w:ascii="Calibri" w:hAnsi="Calibri" w:eastAsia="Calibri" w:cs="Calibri"/>
          <w:u w:val="single"/>
        </w:rPr>
        <w:t>It takes place over a distance: even if the object who induces the feeling of loss and helplessness is neither dead nor at any great distance</w:t>
      </w:r>
      <w:r>
        <w:rPr>
          <w:rFonts w:ascii="Calibri" w:hAnsi="Calibri" w:eastAsia="Calibri" w:cs="Calibri"/>
          <w:sz w:val="14"/>
          <w:szCs w:val="14"/>
        </w:rPr>
        <w:t xml:space="preserve"> from where you are? In other words, </w:t>
      </w:r>
      <w:r>
        <w:rPr>
          <w:rFonts w:ascii="Calibri" w:hAnsi="Calibri" w:eastAsia="Calibri" w:cs="Calibri"/>
          <w:highlight w:val="green"/>
          <w:u w:val="single"/>
        </w:rPr>
        <w:t>mourning can also be an act of aggression, of social deathmaking: it can perform the evacuation of significance from actually-existing subjects</w:t>
      </w:r>
      <w:r>
        <w:rPr>
          <w:rFonts w:ascii="Calibri" w:hAnsi="Calibri" w:eastAsia="Calibri" w:cs="Calibri"/>
          <w:sz w:val="14"/>
          <w:szCs w:val="14"/>
        </w:rPr>
        <w:t xml:space="preserve">. </w:t>
      </w:r>
      <w:r>
        <w:rPr>
          <w:rFonts w:ascii="Calibri" w:hAnsi="Calibri" w:eastAsia="Calibri" w:cs="Calibri"/>
          <w:u w:val="single"/>
        </w:rPr>
        <w:t>Even when liberals do it</w:t>
      </w:r>
      <w:r>
        <w:rPr>
          <w:rFonts w:ascii="Calibri" w:hAnsi="Calibri" w:eastAsia="Calibri" w:cs="Calibri"/>
          <w:sz w:val="14"/>
          <w:szCs w:val="14"/>
        </w:rPr>
        <w:t xml:space="preserve">, one might say, </w:t>
      </w:r>
      <w:r>
        <w:rPr>
          <w:rFonts w:ascii="Calibri" w:hAnsi="Calibri" w:eastAsia="Calibri" w:cs="Calibri"/>
          <w:u w:val="single"/>
        </w:rPr>
        <w:t>are ghosted for a good cause</w:t>
      </w:r>
      <w:r>
        <w:rPr>
          <w:rFonts w:ascii="Calibri" w:hAnsi="Calibri" w:eastAsia="Calibri" w:cs="Calibri"/>
          <w:sz w:val="14"/>
          <w:szCs w:val="14"/>
        </w:rPr>
        <w:t>.6</w:t>
      </w:r>
      <w:r>
        <w:rPr>
          <w:rFonts w:ascii="Calibri" w:hAnsi="Calibri" w:eastAsia="Calibri" w:cs="Calibri"/>
          <w:u w:val="single"/>
        </w:rPr>
        <w:t xml:space="preserve"> The sorrow songs of scandal that sing of the exploitation that is always "elsewhere" (even a few blocks away) are in this sense aggressively songs of mourning</w:t>
      </w:r>
      <w:r>
        <w:rPr>
          <w:rFonts w:ascii="Calibri" w:hAnsi="Calibri" w:eastAsia="Calibri" w:cs="Calibri"/>
          <w:sz w:val="14"/>
          <w:szCs w:val="14"/>
        </w:rPr>
        <w:t xml:space="preserve">. </w:t>
      </w:r>
      <w:r>
        <w:rPr>
          <w:rFonts w:ascii="Calibri" w:hAnsi="Calibri" w:eastAsia="Calibri" w:cs="Calibri"/>
          <w:u w:val="single"/>
        </w:rPr>
        <w:t>Play them backward</w:t>
      </w:r>
      <w:r>
        <w:rPr>
          <w:rFonts w:ascii="Calibri" w:hAnsi="Calibri" w:eastAsia="Calibri" w:cs="Calibri"/>
          <w:sz w:val="14"/>
          <w:szCs w:val="14"/>
        </w:rPr>
        <w:t xml:space="preserve">, </w:t>
      </w:r>
      <w:r>
        <w:rPr>
          <w:rFonts w:ascii="Calibri" w:hAnsi="Calibri" w:eastAsia="Calibri" w:cs="Calibri"/>
          <w:u w:val="single"/>
        </w:rPr>
        <w:t>and the military march of capitalist triumphalism</w:t>
      </w:r>
      <w:r>
        <w:rPr>
          <w:rFonts w:ascii="Calibri" w:hAnsi="Calibri" w:eastAsia="Calibri" w:cs="Calibri"/>
          <w:sz w:val="14"/>
          <w:szCs w:val="14"/>
        </w:rPr>
        <w:t xml:space="preserve"> (</w:t>
      </w:r>
      <w:r>
        <w:rPr>
          <w:rFonts w:ascii="Calibri" w:hAnsi="Calibri" w:eastAsia="Calibri" w:cs="Calibri"/>
          <w:u w:val="single"/>
        </w:rPr>
        <w:t>The Trans-Nationale) can be heard</w:t>
      </w:r>
      <w:r>
        <w:rPr>
          <w:rFonts w:ascii="Calibri" w:hAnsi="Calibri" w:eastAsia="Calibri" w:cs="Calibri"/>
          <w:sz w:val="14"/>
          <w:szCs w:val="14"/>
        </w:rPr>
        <w:t xml:space="preserve">. </w:t>
      </w:r>
      <w:r>
        <w:rPr>
          <w:rFonts w:ascii="Calibri" w:hAnsi="Calibri" w:eastAsia="Calibri" w:cs="Calibri"/>
          <w:u w:val="single"/>
        </w:rPr>
        <w:t>Its Lyric</w:t>
      </w:r>
      <w:r>
        <w:rPr>
          <w:rFonts w:ascii="Calibri" w:hAnsi="Calibri" w:eastAsia="Calibri" w:cs="Calibri"/>
          <w:sz w:val="14"/>
          <w:szCs w:val="14"/>
        </w:rPr>
        <w:t xml:space="preserve">, </w:t>
      </w:r>
      <w:r>
        <w:rPr>
          <w:rFonts w:ascii="Calibri" w:hAnsi="Calibri" w:eastAsia="Calibri" w:cs="Calibri"/>
          <w:u w:val="single"/>
        </w:rPr>
        <w:lastRenderedPageBreak/>
        <w:t>currently creamed by every organ of record in the U</w:t>
      </w:r>
      <w:r>
        <w:rPr>
          <w:rFonts w:ascii="Calibri" w:hAnsi="Calibri" w:eastAsia="Calibri" w:cs="Calibri"/>
          <w:sz w:val="14"/>
          <w:szCs w:val="14"/>
        </w:rPr>
        <w:t xml:space="preserve">nited </w:t>
      </w:r>
      <w:r>
        <w:rPr>
          <w:rFonts w:ascii="Calibri" w:hAnsi="Calibri" w:eastAsia="Calibri" w:cs="Calibri"/>
          <w:u w:val="single"/>
        </w:rPr>
        <w:t>S</w:t>
      </w:r>
      <w:r>
        <w:rPr>
          <w:rFonts w:ascii="Calibri" w:hAnsi="Calibri" w:eastAsia="Calibri" w:cs="Calibri"/>
          <w:sz w:val="14"/>
          <w:szCs w:val="14"/>
        </w:rPr>
        <w:t xml:space="preserve">tates, </w:t>
      </w:r>
      <w:r>
        <w:rPr>
          <w:rFonts w:ascii="Calibri" w:hAnsi="Calibri" w:eastAsia="Calibri" w:cs="Calibri"/>
          <w:u w:val="single"/>
        </w:rPr>
        <w:t xml:space="preserve">is about necessity. </w:t>
      </w:r>
      <w:r>
        <w:rPr>
          <w:rFonts w:ascii="Calibri" w:hAnsi="Calibri" w:eastAsia="Calibri" w:cs="Calibri"/>
          <w:highlight w:val="green"/>
          <w:u w:val="single"/>
        </w:rPr>
        <w:t xml:space="preserve">It exhorts citizens to understand that the "bottom line" of national life is neither utopia nor freedom but </w:t>
      </w:r>
      <w:r>
        <w:rPr>
          <w:rFonts w:ascii="Calibri" w:hAnsi="Calibri" w:eastAsia="Calibri" w:cs="Calibri"/>
          <w:b/>
          <w:highlight w:val="green"/>
          <w:u w:val="single"/>
        </w:rPr>
        <w:t>survival</w:t>
      </w:r>
      <w:r>
        <w:rPr>
          <w:rFonts w:ascii="Calibri" w:hAnsi="Calibri" w:eastAsia="Calibri" w:cs="Calibri"/>
          <w:sz w:val="14"/>
          <w:szCs w:val="14"/>
          <w:highlight w:val="green"/>
        </w:rPr>
        <w:t>,</w:t>
      </w:r>
      <w:r>
        <w:rPr>
          <w:rFonts w:ascii="Calibri" w:hAnsi="Calibri" w:eastAsia="Calibri" w:cs="Calibri"/>
          <w:sz w:val="14"/>
          <w:szCs w:val="14"/>
        </w:rPr>
        <w:t xml:space="preserve"> which </w:t>
      </w:r>
      <w:r>
        <w:rPr>
          <w:rFonts w:ascii="Calibri" w:hAnsi="Calibri" w:eastAsia="Calibri" w:cs="Calibri"/>
          <w:b/>
          <w:u w:val="single"/>
        </w:rPr>
        <w:t>c</w:t>
      </w:r>
      <w:r>
        <w:rPr>
          <w:rFonts w:ascii="Calibri" w:hAnsi="Calibri" w:eastAsia="Calibri" w:cs="Calibri"/>
          <w:b/>
          <w:highlight w:val="green"/>
          <w:u w:val="single"/>
        </w:rPr>
        <w:t>an only be achieved by a citizenry that eats its anger</w:t>
      </w:r>
      <w:r>
        <w:rPr>
          <w:rFonts w:ascii="Calibri" w:hAnsi="Calibri" w:eastAsia="Calibri" w:cs="Calibri"/>
          <w:sz w:val="14"/>
          <w:szCs w:val="14"/>
          <w:highlight w:val="green"/>
        </w:rPr>
        <w:t xml:space="preserve">, </w:t>
      </w:r>
      <w:r>
        <w:rPr>
          <w:rFonts w:ascii="Calibri" w:hAnsi="Calibri" w:eastAsia="Calibri" w:cs="Calibri"/>
          <w:b/>
          <w:highlight w:val="green"/>
          <w:u w:val="single"/>
        </w:rPr>
        <w:t>makes no unreasonable claims on resources or controls over value</w:t>
      </w:r>
      <w:r>
        <w:rPr>
          <w:rFonts w:ascii="Calibri" w:hAnsi="Calibri" w:eastAsia="Calibri" w:cs="Calibri"/>
          <w:sz w:val="14"/>
          <w:szCs w:val="14"/>
          <w:highlight w:val="green"/>
        </w:rPr>
        <w:t xml:space="preserve">, </w:t>
      </w:r>
      <w:r>
        <w:rPr>
          <w:rFonts w:ascii="Calibri" w:hAnsi="Calibri" w:eastAsia="Calibri" w:cs="Calibri"/>
          <w:b/>
          <w:highlight w:val="green"/>
          <w:u w:val="single"/>
        </w:rPr>
        <w:t>and uses its most creative energy to cultivate intimate spheres</w:t>
      </w:r>
      <w:r>
        <w:rPr>
          <w:rFonts w:ascii="Calibri" w:hAnsi="Calibri" w:eastAsia="Calibri" w:cs="Calibri"/>
          <w:highlight w:val="green"/>
          <w:u w:val="single"/>
        </w:rPr>
        <w:t xml:space="preserve"> while scrapping a Life together flexibly in response to the market world’s caprice</w:t>
      </w:r>
      <w:r>
        <w:rPr>
          <w:rFonts w:ascii="Calibri" w:hAnsi="Calibri" w:eastAsia="Calibri" w:cs="Calibri"/>
          <w:sz w:val="14"/>
          <w:szCs w:val="14"/>
        </w:rPr>
        <w:t xml:space="preserve">8. In this particular moment of expanding class unconsciousness that looks like consciousness emerges a peculiar, though not unprecedented, here: the exploited child. If a worker can be infantilized, pictured as young, as small, as feminine or feminized, as starving, as bleeding and diseased, and as a (virtual) sieve, the righteous indignation around procuring his survival resounds everywhere. The child must not be sacrificed to states or to profiteering. His wounded image speaks a truth that subordinates narrative: he has not “freely” chosen his exploitation; the optimism and play that are putatively the right of childhood have been stolen from him. Yet only "voluntary" steps are ever taken to try to control this visible sign of what is ordinary and systemic amid the chaos of capitalism, in order in make its localized nightmares seem uninevitable. Privatize the atrocity, delete the visible sign, make it seem foreign. Return the child to the family, replace the children with admits who can look dignified while being paid virtually the same revoking wage. The problem that organizes so much feeling then regains livable proportions, and the uncomfortable pressure of feeling dissipates, like so much gas. Meanwhile, </w:t>
      </w:r>
      <w:r>
        <w:rPr>
          <w:rFonts w:ascii="Calibri" w:hAnsi="Calibri" w:eastAsia="Calibri" w:cs="Calibri"/>
          <w:u w:val="single"/>
        </w:rPr>
        <w:t xml:space="preserve">the pressure of feeling the shock of being uncomfortably political </w:t>
      </w:r>
      <w:r>
        <w:rPr>
          <w:rFonts w:ascii="Calibri" w:hAnsi="Calibri" w:eastAsia="Calibri" w:cs="Calibri"/>
          <w:b/>
          <w:u w:val="single"/>
        </w:rPr>
        <w:t>produces a cry for a double therapy—to the victim and the viewer</w:t>
      </w:r>
      <w:r>
        <w:rPr>
          <w:rFonts w:ascii="Calibri" w:hAnsi="Calibri" w:eastAsia="Calibri" w:cs="Calibri"/>
          <w:sz w:val="14"/>
          <w:szCs w:val="14"/>
        </w:rPr>
        <w:t>.</w:t>
      </w:r>
      <w:r>
        <w:rPr>
          <w:rFonts w:ascii="Calibri" w:hAnsi="Calibri" w:eastAsia="Calibri" w:cs="Calibri"/>
          <w:u w:val="single"/>
        </w:rPr>
        <w:t xml:space="preserve"> But before "we" appear too complacently different from the privileged citizens who desire to caption the mute image of exotic suffering with an aversively fascinated mooning</w:t>
      </w:r>
      <w:r>
        <w:rPr>
          <w:rFonts w:ascii="Calibri" w:hAnsi="Calibri" w:eastAsia="Calibri" w:cs="Calibri"/>
          <w:sz w:val="14"/>
          <w:szCs w:val="14"/>
        </w:rPr>
        <w:t xml:space="preserve"> (a desire for the image to be dead, a ghost), </w:t>
      </w:r>
      <w:r>
        <w:rPr>
          <w:rFonts w:ascii="Calibri" w:hAnsi="Calibri" w:eastAsia="Calibri" w:cs="Calibri"/>
          <w:u w:val="single"/>
        </w:rPr>
        <w:t xml:space="preserve">we must note that this </w:t>
      </w:r>
      <w:r>
        <w:rPr>
          <w:rFonts w:ascii="Calibri" w:hAnsi="Calibri" w:eastAsia="Calibri" w:cs="Calibri"/>
          <w:highlight w:val="green"/>
          <w:u w:val="single"/>
        </w:rPr>
        <w:t>feeling culture crosses over into other domains, the domains of what we call identity politics, where the wronged take up voice and agency to produce transformative testimony, which depends on an analogous conviction about the self-evidence and therefore the objectivity of painful feeling.</w:t>
      </w:r>
      <w:r>
        <w:rPr>
          <w:rFonts w:ascii="Calibri" w:hAnsi="Calibri" w:eastAsia="Calibri" w:cs="Calibri"/>
          <w:sz w:val="14"/>
          <w:szCs w:val="14"/>
        </w:rPr>
        <w:t xml:space="preserve"> The central concern of this essay is to address the place of painful feeling in the making of political worlds. In particular, </w:t>
      </w:r>
      <w:r>
        <w:rPr>
          <w:rFonts w:ascii="Calibri" w:hAnsi="Calibri" w:eastAsia="Calibri" w:cs="Calibri"/>
          <w:u w:val="single"/>
        </w:rPr>
        <w:t>I mean to challenge</w:t>
      </w:r>
      <w:r>
        <w:rPr>
          <w:rFonts w:ascii="Calibri" w:hAnsi="Calibri" w:eastAsia="Calibri" w:cs="Calibri"/>
          <w:sz w:val="14"/>
          <w:szCs w:val="14"/>
        </w:rPr>
        <w:t xml:space="preserve"> a powerful popular </w:t>
      </w:r>
      <w:r>
        <w:rPr>
          <w:rFonts w:ascii="Calibri" w:hAnsi="Calibri" w:eastAsia="Calibri" w:cs="Calibri"/>
          <w:u w:val="single"/>
        </w:rPr>
        <w:t xml:space="preserve">belief in the positive workings of </w:t>
      </w:r>
      <w:r>
        <w:rPr>
          <w:rFonts w:ascii="Calibri" w:hAnsi="Calibri" w:eastAsia="Calibri" w:cs="Calibri"/>
          <w:sz w:val="14"/>
          <w:szCs w:val="14"/>
        </w:rPr>
        <w:t xml:space="preserve">something I call </w:t>
      </w:r>
      <w:r>
        <w:rPr>
          <w:rFonts w:ascii="Calibri" w:hAnsi="Calibri" w:eastAsia="Calibri" w:cs="Calibri"/>
          <w:b/>
          <w:u w:val="single"/>
        </w:rPr>
        <w:t>national sentimentality</w:t>
      </w:r>
      <w:r>
        <w:rPr>
          <w:rFonts w:ascii="Calibri" w:hAnsi="Calibri" w:eastAsia="Calibri" w:cs="Calibri"/>
          <w:sz w:val="14"/>
          <w:szCs w:val="14"/>
        </w:rPr>
        <w:t xml:space="preserve">, </w:t>
      </w:r>
      <w:r>
        <w:rPr>
          <w:rFonts w:ascii="Calibri" w:hAnsi="Calibri" w:eastAsia="Calibri" w:cs="Calibri"/>
          <w:u w:val="single"/>
        </w:rPr>
        <w:t>a rhetoric of promise that a nation can be built across fields of social difference through channels of affective identification and empathy</w:t>
      </w:r>
      <w:r>
        <w:rPr>
          <w:rFonts w:ascii="Calibri" w:hAnsi="Calibri" w:eastAsia="Calibri" w:cs="Calibri"/>
          <w:sz w:val="14"/>
          <w:szCs w:val="14"/>
        </w:rPr>
        <w:t xml:space="preserve">. </w:t>
      </w:r>
      <w:r>
        <w:rPr>
          <w:rFonts w:ascii="Calibri" w:hAnsi="Calibri" w:eastAsia="Calibri" w:cs="Calibri"/>
          <w:highlight w:val="green"/>
          <w:u w:val="single"/>
        </w:rPr>
        <w:t>Sentimental politics</w:t>
      </w:r>
      <w:r>
        <w:rPr>
          <w:rFonts w:ascii="Calibri" w:hAnsi="Calibri" w:eastAsia="Calibri" w:cs="Calibri"/>
          <w:sz w:val="14"/>
          <w:szCs w:val="14"/>
        </w:rPr>
        <w:t xml:space="preserve"> generally </w:t>
      </w:r>
      <w:r>
        <w:rPr>
          <w:rFonts w:ascii="Calibri" w:hAnsi="Calibri" w:eastAsia="Calibri" w:cs="Calibri"/>
          <w:b/>
          <w:highlight w:val="green"/>
          <w:u w:val="single"/>
        </w:rPr>
        <w:t>promotes and maintains the hegemony of the national identity form</w:t>
      </w:r>
      <w:r>
        <w:rPr>
          <w:rFonts w:ascii="Calibri" w:hAnsi="Calibri" w:eastAsia="Calibri" w:cs="Calibri"/>
          <w:sz w:val="14"/>
          <w:szCs w:val="14"/>
          <w:highlight w:val="green"/>
        </w:rPr>
        <w:t xml:space="preserve">, </w:t>
      </w:r>
      <w:r>
        <w:rPr>
          <w:rFonts w:ascii="Calibri" w:hAnsi="Calibri" w:eastAsia="Calibri" w:cs="Calibri"/>
          <w:highlight w:val="green"/>
          <w:u w:val="single"/>
        </w:rPr>
        <w:t>no mean feat in the face of continued widespread intercultural antagonism and economic cleavage</w:t>
      </w:r>
      <w:r>
        <w:rPr>
          <w:rFonts w:ascii="Calibri" w:hAnsi="Calibri" w:eastAsia="Calibri" w:cs="Calibri"/>
          <w:sz w:val="14"/>
          <w:szCs w:val="14"/>
          <w:highlight w:val="green"/>
        </w:rPr>
        <w:t>.</w:t>
      </w:r>
      <w:r>
        <w:rPr>
          <w:rFonts w:ascii="Calibri" w:hAnsi="Calibri" w:eastAsia="Calibri" w:cs="Calibri"/>
          <w:sz w:val="14"/>
          <w:szCs w:val="14"/>
        </w:rPr>
        <w:t xml:space="preserve"> But national sentimentality is more than a current of feeling that circulates in a political field: the phrase describes a longstanding contest between two models of US. citizenship. In one, the classic made}, </w:t>
      </w:r>
      <w:r>
        <w:rPr>
          <w:rFonts w:ascii="Calibri" w:hAnsi="Calibri" w:eastAsia="Calibri" w:cs="Calibri"/>
          <w:b/>
          <w:highlight w:val="green"/>
          <w:u w:val="single"/>
        </w:rPr>
        <w:t>each citizen’s value is secured by an equation between abstractness and emancipation</w:t>
      </w:r>
      <w:r>
        <w:rPr>
          <w:rFonts w:ascii="Calibri" w:hAnsi="Calibri" w:eastAsia="Calibri" w:cs="Calibri"/>
          <w:b/>
          <w:u w:val="single"/>
        </w:rPr>
        <w:t>: a cell of national identity provides juridically protected personhood for citizens regardless of anything specific about them</w:t>
      </w:r>
      <w:r>
        <w:rPr>
          <w:rFonts w:ascii="Calibri" w:hAnsi="Calibri" w:eastAsia="Calibri" w:cs="Calibri"/>
          <w:sz w:val="14"/>
          <w:szCs w:val="14"/>
        </w:rPr>
        <w:t xml:space="preserve">. </w:t>
      </w:r>
      <w:r>
        <w:rPr>
          <w:rFonts w:ascii="Calibri" w:hAnsi="Calibri" w:eastAsia="Calibri" w:cs="Calibri"/>
          <w:b/>
          <w:u w:val="single"/>
        </w:rPr>
        <w:t>In the second model</w:t>
      </w:r>
      <w:r>
        <w:rPr>
          <w:rFonts w:ascii="Calibri" w:hAnsi="Calibri" w:eastAsia="Calibri" w:cs="Calibri"/>
          <w:sz w:val="14"/>
          <w:szCs w:val="14"/>
        </w:rPr>
        <w:t xml:space="preserve">, </w:t>
      </w:r>
      <w:r>
        <w:rPr>
          <w:rFonts w:ascii="Calibri" w:hAnsi="Calibri" w:eastAsia="Calibri" w:cs="Calibri"/>
          <w:b/>
          <w:u w:val="single"/>
        </w:rPr>
        <w:t>which was initially</w:t>
      </w:r>
      <w:r>
        <w:rPr>
          <w:rFonts w:ascii="Calibri" w:hAnsi="Calibri" w:eastAsia="Calibri" w:cs="Calibri"/>
          <w:u w:val="single"/>
        </w:rPr>
        <w:t xml:space="preserve"> </w:t>
      </w:r>
      <w:r>
        <w:rPr>
          <w:rFonts w:ascii="Calibri" w:hAnsi="Calibri" w:eastAsia="Calibri" w:cs="Calibri"/>
          <w:b/>
          <w:u w:val="single"/>
        </w:rPr>
        <w:t>organized around labor</w:t>
      </w:r>
      <w:r>
        <w:rPr>
          <w:rFonts w:ascii="Calibri" w:hAnsi="Calibri" w:eastAsia="Calibri" w:cs="Calibri"/>
          <w:sz w:val="14"/>
          <w:szCs w:val="14"/>
        </w:rPr>
        <w:t xml:space="preserve">, </w:t>
      </w:r>
      <w:r>
        <w:rPr>
          <w:rFonts w:ascii="Calibri" w:hAnsi="Calibri" w:eastAsia="Calibri" w:cs="Calibri"/>
          <w:b/>
          <w:u w:val="single"/>
        </w:rPr>
        <w:t>feminist</w:t>
      </w:r>
      <w:r>
        <w:rPr>
          <w:rFonts w:ascii="Calibri" w:hAnsi="Calibri" w:eastAsia="Calibri" w:cs="Calibri"/>
          <w:sz w:val="14"/>
          <w:szCs w:val="14"/>
        </w:rPr>
        <w:t xml:space="preserve">, </w:t>
      </w:r>
      <w:r>
        <w:rPr>
          <w:rFonts w:ascii="Calibri" w:hAnsi="Calibri" w:eastAsia="Calibri" w:cs="Calibri"/>
          <w:b/>
          <w:u w:val="single"/>
        </w:rPr>
        <w:t>and antiracist struggles of the nineteenth-century United States, another version of the nation is imagined as the index of collective life</w:t>
      </w:r>
      <w:r>
        <w:rPr>
          <w:rFonts w:ascii="Calibri" w:hAnsi="Calibri" w:eastAsia="Calibri" w:cs="Calibri"/>
          <w:sz w:val="14"/>
          <w:szCs w:val="14"/>
        </w:rPr>
        <w:t xml:space="preserve">. </w:t>
      </w:r>
      <w:r>
        <w:rPr>
          <w:rFonts w:ascii="Calibri" w:hAnsi="Calibri" w:eastAsia="Calibri" w:cs="Calibri"/>
          <w:b/>
          <w:highlight w:val="green"/>
          <w:u w:val="single"/>
        </w:rPr>
        <w:t>This nation is peopled by suffering citizens and noncitizens whose structural exclusion from the utopian-American dreamscape exposes the state's claim of legitimacy and virtue to an acid wash of truth telling that makes hegemonic disavowal virtually impossible, at certain moments of political intensity</w:t>
      </w:r>
      <w:r>
        <w:rPr>
          <w:rFonts w:ascii="Calibri" w:hAnsi="Calibri" w:eastAsia="Calibri" w:cs="Calibri"/>
          <w:sz w:val="14"/>
          <w:szCs w:val="14"/>
          <w:highlight w:val="green"/>
        </w:rPr>
        <w:t xml:space="preserve">. </w:t>
      </w:r>
      <w:r>
        <w:rPr>
          <w:rFonts w:ascii="Calibri" w:hAnsi="Calibri" w:eastAsia="Calibri" w:cs="Calibri"/>
          <w:highlight w:val="green"/>
          <w:u w:val="single"/>
        </w:rPr>
        <w:t>Sentimentality has long been the means by which mass subaltern pain is advanced</w:t>
      </w:r>
      <w:r>
        <w:rPr>
          <w:rFonts w:ascii="Calibri" w:hAnsi="Calibri" w:eastAsia="Calibri" w:cs="Calibri"/>
          <w:sz w:val="14"/>
          <w:szCs w:val="14"/>
          <w:highlight w:val="green"/>
        </w:rPr>
        <w:t xml:space="preserve">, </w:t>
      </w:r>
      <w:r>
        <w:rPr>
          <w:rFonts w:ascii="Calibri" w:hAnsi="Calibri" w:eastAsia="Calibri" w:cs="Calibri"/>
          <w:highlight w:val="green"/>
          <w:u w:val="single"/>
        </w:rPr>
        <w:t>in the dominant public sphere</w:t>
      </w:r>
      <w:r>
        <w:rPr>
          <w:rFonts w:ascii="Calibri" w:hAnsi="Calibri" w:eastAsia="Calibri" w:cs="Calibri"/>
          <w:sz w:val="14"/>
          <w:szCs w:val="14"/>
          <w:highlight w:val="green"/>
        </w:rPr>
        <w:t xml:space="preserve">, </w:t>
      </w:r>
      <w:r>
        <w:rPr>
          <w:rFonts w:ascii="Calibri" w:hAnsi="Calibri" w:eastAsia="Calibri" w:cs="Calibri"/>
          <w:b/>
          <w:highlight w:val="green"/>
          <w:u w:val="single"/>
        </w:rPr>
        <w:t>as the true core of national collectivity</w:t>
      </w:r>
      <w:r>
        <w:rPr>
          <w:rFonts w:ascii="Calibri" w:hAnsi="Calibri" w:eastAsia="Calibri" w:cs="Calibri"/>
          <w:sz w:val="14"/>
          <w:szCs w:val="14"/>
        </w:rPr>
        <w:t xml:space="preserve">. </w:t>
      </w:r>
      <w:r>
        <w:rPr>
          <w:rFonts w:ascii="Calibri" w:hAnsi="Calibri" w:eastAsia="Calibri" w:cs="Calibri"/>
          <w:highlight w:val="green"/>
          <w:u w:val="single"/>
        </w:rPr>
        <w:t>It operates when the pain of intimate others burns into the conscience of classically privileged national subjects</w:t>
      </w:r>
      <w:r>
        <w:rPr>
          <w:rFonts w:ascii="Calibri" w:hAnsi="Calibri" w:eastAsia="Calibri" w:cs="Calibri"/>
          <w:sz w:val="14"/>
          <w:szCs w:val="14"/>
          <w:highlight w:val="green"/>
        </w:rPr>
        <w:t xml:space="preserve">, </w:t>
      </w:r>
      <w:r>
        <w:rPr>
          <w:rFonts w:ascii="Calibri" w:hAnsi="Calibri" w:eastAsia="Calibri" w:cs="Calibri"/>
          <w:highlight w:val="green"/>
          <w:u w:val="single"/>
        </w:rPr>
        <w:t>such that they feel the pain of</w:t>
      </w:r>
      <w:r>
        <w:rPr>
          <w:rFonts w:ascii="Calibri" w:hAnsi="Calibri" w:eastAsia="Calibri" w:cs="Calibri"/>
          <w:sz w:val="14"/>
          <w:szCs w:val="14"/>
        </w:rPr>
        <w:t xml:space="preserve"> flawed or </w:t>
      </w:r>
      <w:r>
        <w:rPr>
          <w:rFonts w:ascii="Calibri" w:hAnsi="Calibri" w:eastAsia="Calibri" w:cs="Calibri"/>
          <w:highlight w:val="green"/>
          <w:u w:val="single"/>
        </w:rPr>
        <w:t>denied citizenship as their pain</w:t>
      </w:r>
      <w:r>
        <w:rPr>
          <w:rFonts w:ascii="Calibri" w:hAnsi="Calibri" w:eastAsia="Calibri" w:cs="Calibri"/>
          <w:sz w:val="14"/>
          <w:szCs w:val="14"/>
          <w:highlight w:val="green"/>
        </w:rPr>
        <w:t xml:space="preserve">. </w:t>
      </w:r>
      <w:r>
        <w:rPr>
          <w:rFonts w:ascii="Calibri" w:hAnsi="Calibri" w:eastAsia="Calibri" w:cs="Calibri"/>
          <w:u w:val="single"/>
        </w:rPr>
        <w:t>Theoretically</w:t>
      </w:r>
      <w:r>
        <w:rPr>
          <w:rFonts w:ascii="Calibri" w:hAnsi="Calibri" w:eastAsia="Calibri" w:cs="Calibri"/>
          <w:sz w:val="14"/>
          <w:szCs w:val="14"/>
        </w:rPr>
        <w:t xml:space="preserve">, to eradicate the pain those with power will do whatever is necessary to return the nation once more to its legitimately utopian order. </w:t>
      </w:r>
      <w:r>
        <w:rPr>
          <w:rFonts w:ascii="Calibri" w:hAnsi="Calibri" w:eastAsia="Calibri" w:cs="Calibri"/>
          <w:u w:val="single"/>
        </w:rPr>
        <w:t>Identification with pain</w:t>
      </w:r>
      <w:r>
        <w:rPr>
          <w:rFonts w:ascii="Calibri" w:hAnsi="Calibri" w:eastAsia="Calibri" w:cs="Calibri"/>
          <w:sz w:val="14"/>
          <w:szCs w:val="14"/>
        </w:rPr>
        <w:t xml:space="preserve">, </w:t>
      </w:r>
      <w:r>
        <w:rPr>
          <w:rFonts w:ascii="Calibri" w:hAnsi="Calibri" w:eastAsia="Calibri" w:cs="Calibri"/>
          <w:u w:val="single"/>
        </w:rPr>
        <w:t>a universal true feeling</w:t>
      </w:r>
      <w:r>
        <w:rPr>
          <w:rFonts w:ascii="Calibri" w:hAnsi="Calibri" w:eastAsia="Calibri" w:cs="Calibri"/>
          <w:sz w:val="14"/>
          <w:szCs w:val="14"/>
        </w:rPr>
        <w:t xml:space="preserve">, </w:t>
      </w:r>
      <w:r>
        <w:rPr>
          <w:rFonts w:ascii="Calibri" w:hAnsi="Calibri" w:eastAsia="Calibri" w:cs="Calibri"/>
          <w:u w:val="single"/>
        </w:rPr>
        <w:t>then leads to structural social change</w:t>
      </w:r>
      <w:r>
        <w:rPr>
          <w:rFonts w:ascii="Calibri" w:hAnsi="Calibri" w:eastAsia="Calibri" w:cs="Calibri"/>
          <w:sz w:val="14"/>
          <w:szCs w:val="14"/>
        </w:rPr>
        <w:t xml:space="preserve">. In return, subalterns scarred by the pain of failed democracy will reauthorize universalist notions of citizenship in the national utopia, which involves in a redemptive notion of law as the guardian of public good. The object of the nation and the law in this light is to eradicate systemic social pain, the absence of which becomes the definition of freedom. </w:t>
      </w:r>
      <w:r>
        <w:rPr>
          <w:rFonts w:ascii="Calibri" w:hAnsi="Calibri" w:eastAsia="Calibri" w:cs="Calibri"/>
          <w:u w:val="single"/>
        </w:rPr>
        <w:t>Yet, since these very sources of protection</w:t>
      </w:r>
      <w:r>
        <w:rPr>
          <w:rFonts w:ascii="Calibri" w:hAnsi="Calibri" w:eastAsia="Calibri" w:cs="Calibri"/>
          <w:sz w:val="14"/>
          <w:szCs w:val="14"/>
        </w:rPr>
        <w:t>—the state, the law, patriotic ideology—</w:t>
      </w:r>
      <w:r>
        <w:rPr>
          <w:rFonts w:ascii="Calibri" w:hAnsi="Calibri" w:eastAsia="Calibri" w:cs="Calibri"/>
          <w:u w:val="single"/>
        </w:rPr>
        <w:t>have</w:t>
      </w:r>
      <w:r>
        <w:rPr>
          <w:rFonts w:ascii="Calibri" w:hAnsi="Calibri" w:eastAsia="Calibri" w:cs="Calibri"/>
          <w:sz w:val="14"/>
          <w:szCs w:val="14"/>
        </w:rPr>
        <w:t xml:space="preserve"> traditionally </w:t>
      </w:r>
      <w:r>
        <w:rPr>
          <w:rFonts w:ascii="Calibri" w:hAnsi="Calibri" w:eastAsia="Calibri" w:cs="Calibri"/>
          <w:u w:val="single"/>
        </w:rPr>
        <w:t>buttressed traditional matrices of cultural hierarchy</w:t>
      </w:r>
      <w:r>
        <w:rPr>
          <w:rFonts w:ascii="Calibri" w:hAnsi="Calibri" w:eastAsia="Calibri" w:cs="Calibri"/>
          <w:sz w:val="14"/>
          <w:szCs w:val="14"/>
        </w:rPr>
        <w:t xml:space="preserve">, </w:t>
      </w:r>
      <w:r>
        <w:rPr>
          <w:rFonts w:ascii="Calibri" w:hAnsi="Calibri" w:eastAsia="Calibri" w:cs="Calibri"/>
          <w:u w:val="single"/>
        </w:rPr>
        <w:t>and since their historic job has been to protect universal subject</w:t>
      </w:r>
      <w:r>
        <w:rPr>
          <w:rFonts w:ascii="Calibri" w:hAnsi="Calibri" w:eastAsia="Calibri" w:cs="Calibri"/>
          <w:sz w:val="14"/>
          <w:szCs w:val="14"/>
        </w:rPr>
        <w:t xml:space="preserve"> I citizens </w:t>
      </w:r>
      <w:r>
        <w:rPr>
          <w:rFonts w:ascii="Calibri" w:hAnsi="Calibri" w:eastAsia="Calibri" w:cs="Calibri"/>
          <w:u w:val="single"/>
        </w:rPr>
        <w:t>from feeling</w:t>
      </w:r>
      <w:r>
        <w:rPr>
          <w:rFonts w:ascii="Calibri" w:hAnsi="Calibri" w:eastAsia="Calibri" w:cs="Calibri"/>
          <w:sz w:val="14"/>
          <w:szCs w:val="14"/>
        </w:rPr>
        <w:t xml:space="preserve"> their culture} </w:t>
      </w:r>
      <w:r>
        <w:rPr>
          <w:rFonts w:ascii="Calibri" w:hAnsi="Calibri" w:eastAsia="Calibri" w:cs="Calibri"/>
          <w:u w:val="single"/>
        </w:rPr>
        <w:t>and corporeal specificity as a political vulnerability</w:t>
      </w:r>
      <w:r>
        <w:rPr>
          <w:rFonts w:ascii="Calibri" w:hAnsi="Calibri" w:eastAsia="Calibri" w:cs="Calibri"/>
          <w:sz w:val="14"/>
          <w:szCs w:val="14"/>
        </w:rPr>
        <w:t xml:space="preserve">, </w:t>
      </w:r>
      <w:r>
        <w:rPr>
          <w:rFonts w:ascii="Calibri" w:hAnsi="Calibri" w:eastAsia="Calibri" w:cs="Calibri"/>
          <w:u w:val="single"/>
        </w:rPr>
        <w:t>t</w:t>
      </w:r>
      <w:r>
        <w:rPr>
          <w:rFonts w:ascii="Calibri" w:hAnsi="Calibri" w:eastAsia="Calibri" w:cs="Calibri"/>
          <w:highlight w:val="green"/>
          <w:u w:val="single"/>
        </w:rPr>
        <w:t>he imagined capacity of these institutions to assimilate to the affective tactics of subaltern counterpolitics suggests some weaknesses</w:t>
      </w:r>
      <w:r>
        <w:rPr>
          <w:rFonts w:ascii="Calibri" w:hAnsi="Calibri" w:eastAsia="Calibri" w:cs="Calibri"/>
          <w:sz w:val="14"/>
          <w:szCs w:val="14"/>
          <w:highlight w:val="green"/>
        </w:rPr>
        <w:t xml:space="preserve">, </w:t>
      </w:r>
      <w:r>
        <w:rPr>
          <w:rFonts w:ascii="Calibri" w:hAnsi="Calibri" w:eastAsia="Calibri" w:cs="Calibri"/>
          <w:highlight w:val="green"/>
          <w:u w:val="single"/>
        </w:rPr>
        <w:t>or misrecognitions</w:t>
      </w:r>
      <w:r>
        <w:rPr>
          <w:rFonts w:ascii="Calibri" w:hAnsi="Calibri" w:eastAsia="Calibri" w:cs="Calibri"/>
          <w:sz w:val="14"/>
          <w:szCs w:val="14"/>
          <w:highlight w:val="green"/>
        </w:rPr>
        <w:t xml:space="preserve">, </w:t>
      </w:r>
      <w:r>
        <w:rPr>
          <w:rFonts w:ascii="Calibri" w:hAnsi="Calibri" w:eastAsia="Calibri" w:cs="Calibri"/>
          <w:highlight w:val="green"/>
          <w:u w:val="single"/>
        </w:rPr>
        <w:t>in these tactics</w:t>
      </w:r>
      <w:r>
        <w:rPr>
          <w:rFonts w:ascii="Calibri" w:hAnsi="Calibri" w:eastAsia="Calibri" w:cs="Calibri"/>
          <w:sz w:val="14"/>
          <w:szCs w:val="14"/>
        </w:rPr>
        <w:t xml:space="preserve">. For one thing, it may be that </w:t>
      </w:r>
      <w:r>
        <w:rPr>
          <w:rFonts w:ascii="Calibri" w:hAnsi="Calibri" w:eastAsia="Calibri" w:cs="Calibri"/>
          <w:highlight w:val="green"/>
          <w:u w:val="single"/>
        </w:rPr>
        <w:t>the sharp specificity of the traumatic model of pain</w:t>
      </w:r>
      <w:r>
        <w:rPr>
          <w:rFonts w:ascii="Calibri" w:hAnsi="Calibri" w:eastAsia="Calibri" w:cs="Calibri"/>
          <w:sz w:val="14"/>
          <w:szCs w:val="14"/>
        </w:rPr>
        <w:t xml:space="preserve"> implicitly </w:t>
      </w:r>
      <w:r>
        <w:rPr>
          <w:rFonts w:ascii="Calibri" w:hAnsi="Calibri" w:eastAsia="Calibri" w:cs="Calibri"/>
          <w:highlight w:val="green"/>
          <w:u w:val="single"/>
        </w:rPr>
        <w:t>mischaracterizes what a person is as what a person becomes in the experience of social negation</w:t>
      </w:r>
      <w:r>
        <w:rPr>
          <w:rFonts w:ascii="Calibri" w:hAnsi="Calibri" w:eastAsia="Calibri" w:cs="Calibri"/>
          <w:sz w:val="14"/>
          <w:szCs w:val="14"/>
          <w:highlight w:val="green"/>
        </w:rPr>
        <w:t xml:space="preserve">; </w:t>
      </w:r>
      <w:r>
        <w:rPr>
          <w:rFonts w:ascii="Calibri" w:hAnsi="Calibri" w:eastAsia="Calibri" w:cs="Calibri"/>
          <w:highlight w:val="green"/>
          <w:u w:val="single"/>
        </w:rPr>
        <w:t>this model also falsely premises a sharp picture of structural violence's source and scope</w:t>
      </w:r>
      <w:r>
        <w:rPr>
          <w:rFonts w:ascii="Calibri" w:hAnsi="Calibri" w:eastAsia="Calibri" w:cs="Calibri"/>
          <w:u w:val="single"/>
        </w:rPr>
        <w:t xml:space="preserve">, in tum promoting a dubious optimism that law and other visible </w:t>
      </w:r>
      <w:r>
        <w:rPr>
          <w:rFonts w:ascii="Calibri" w:hAnsi="Calibri" w:eastAsia="Calibri" w:cs="Calibri"/>
          <w:u w:val="single"/>
        </w:rPr>
        <w:lastRenderedPageBreak/>
        <w:t>sources of inequality</w:t>
      </w:r>
      <w:r>
        <w:rPr>
          <w:rFonts w:ascii="Calibri" w:hAnsi="Calibri" w:eastAsia="Calibri" w:cs="Calibri"/>
          <w:sz w:val="14"/>
          <w:szCs w:val="14"/>
        </w:rPr>
        <w:t xml:space="preserve">, for example, </w:t>
      </w:r>
      <w:r>
        <w:rPr>
          <w:rFonts w:ascii="Calibri" w:hAnsi="Calibri" w:eastAsia="Calibri" w:cs="Calibri"/>
          <w:u w:val="single"/>
        </w:rPr>
        <w:t>can provide the best remedies for their own taxonomizing harms</w:t>
      </w:r>
      <w:r>
        <w:rPr>
          <w:rFonts w:ascii="Calibri" w:hAnsi="Calibri" w:eastAsia="Calibri" w:cs="Calibri"/>
          <w:sz w:val="14"/>
          <w:szCs w:val="14"/>
        </w:rPr>
        <w:t xml:space="preserve">. It is also possible that </w:t>
      </w:r>
      <w:r>
        <w:rPr>
          <w:rFonts w:ascii="Calibri" w:hAnsi="Calibri" w:eastAsia="Calibri" w:cs="Calibri"/>
          <w:highlight w:val="green"/>
          <w:u w:val="single"/>
        </w:rPr>
        <w:t xml:space="preserve">counterhegemonic deployments of pain as the measure of structural injustice actually </w:t>
      </w:r>
      <w:r>
        <w:rPr>
          <w:rFonts w:ascii="Calibri" w:hAnsi="Calibri" w:eastAsia="Calibri" w:cs="Calibri"/>
          <w:b/>
          <w:highlight w:val="green"/>
          <w:u w:val="single"/>
        </w:rPr>
        <w:t>sustain the utopian image of a homogeneous national metaculture</w:t>
      </w:r>
      <w:r>
        <w:rPr>
          <w:rFonts w:ascii="Calibri" w:hAnsi="Calibri" w:eastAsia="Calibri" w:cs="Calibri"/>
          <w:sz w:val="14"/>
          <w:szCs w:val="14"/>
          <w:highlight w:val="green"/>
        </w:rPr>
        <w:t xml:space="preserve">, </w:t>
      </w:r>
      <w:r>
        <w:rPr>
          <w:rFonts w:ascii="Calibri" w:hAnsi="Calibri" w:eastAsia="Calibri" w:cs="Calibri"/>
          <w:b/>
          <w:highlight w:val="green"/>
          <w:u w:val="single"/>
        </w:rPr>
        <w:t>which can look like a healed or healthy body</w:t>
      </w:r>
      <w:r>
        <w:rPr>
          <w:rFonts w:ascii="Calibri" w:hAnsi="Calibri" w:eastAsia="Calibri" w:cs="Calibri"/>
          <w:highlight w:val="green"/>
          <w:u w:val="single"/>
        </w:rPr>
        <w:t xml:space="preserve"> in contrast to the scarred and exhausted ones.</w:t>
      </w:r>
      <w:r>
        <w:rPr>
          <w:rFonts w:ascii="Calibri" w:hAnsi="Calibri" w:eastAsia="Calibri" w:cs="Calibri"/>
          <w:sz w:val="14"/>
          <w:szCs w:val="14"/>
        </w:rPr>
        <w:t xml:space="preserve"> Finally, it might be that </w:t>
      </w:r>
      <w:r>
        <w:rPr>
          <w:rFonts w:ascii="Calibri" w:hAnsi="Calibri" w:eastAsia="Calibri" w:cs="Calibri"/>
          <w:u w:val="single"/>
        </w:rPr>
        <w:t xml:space="preserve">the </w:t>
      </w:r>
      <w:r>
        <w:rPr>
          <w:rFonts w:ascii="Calibri" w:hAnsi="Calibri" w:eastAsia="Calibri" w:cs="Calibri"/>
          <w:b/>
          <w:highlight w:val="green"/>
          <w:u w:val="single"/>
        </w:rPr>
        <w:t>tactical use of trauma</w:t>
      </w:r>
      <w:r>
        <w:rPr>
          <w:rFonts w:ascii="Calibri" w:hAnsi="Calibri" w:eastAsia="Calibri" w:cs="Calibri"/>
          <w:highlight w:val="green"/>
          <w:u w:val="single"/>
        </w:rPr>
        <w:t xml:space="preserve"> </w:t>
      </w:r>
      <w:r>
        <w:rPr>
          <w:rFonts w:ascii="Calibri" w:hAnsi="Calibri" w:eastAsia="Calibri" w:cs="Calibri"/>
          <w:u w:val="single"/>
        </w:rPr>
        <w:t xml:space="preserve">to describe the effects of social inequality so </w:t>
      </w:r>
      <w:r>
        <w:rPr>
          <w:rFonts w:ascii="Calibri" w:hAnsi="Calibri" w:eastAsia="Calibri" w:cs="Calibri"/>
          <w:b/>
          <w:highlight w:val="green"/>
          <w:u w:val="single"/>
        </w:rPr>
        <w:t>overidentifies the eradication of pain with the achievement of justice</w:t>
      </w:r>
      <w:r>
        <w:rPr>
          <w:rFonts w:ascii="Calibri" w:hAnsi="Calibri" w:eastAsia="Calibri" w:cs="Calibri"/>
          <w:u w:val="single"/>
        </w:rPr>
        <w:t xml:space="preserve"> that it enables various confusions</w:t>
      </w:r>
      <w:r>
        <w:rPr>
          <w:rFonts w:ascii="Calibri" w:hAnsi="Calibri" w:eastAsia="Calibri" w:cs="Calibri"/>
          <w:sz w:val="14"/>
          <w:szCs w:val="14"/>
        </w:rPr>
        <w:t xml:space="preserve">: for instance, </w:t>
      </w:r>
      <w:r>
        <w:rPr>
          <w:rFonts w:ascii="Calibri" w:hAnsi="Calibri" w:eastAsia="Calibri" w:cs="Calibri"/>
          <w:u w:val="single"/>
        </w:rPr>
        <w:t>the equation of pleasure with freedom or the sense that changes in feeling</w:t>
      </w:r>
      <w:r>
        <w:rPr>
          <w:rFonts w:ascii="Calibri" w:hAnsi="Calibri" w:eastAsia="Calibri" w:cs="Calibri"/>
          <w:sz w:val="14"/>
          <w:szCs w:val="14"/>
        </w:rPr>
        <w:t xml:space="preserve">, </w:t>
      </w:r>
      <w:r>
        <w:rPr>
          <w:rFonts w:ascii="Calibri" w:hAnsi="Calibri" w:eastAsia="Calibri" w:cs="Calibri"/>
          <w:u w:val="single"/>
        </w:rPr>
        <w:t>even on a mass scale</w:t>
      </w:r>
      <w:r>
        <w:rPr>
          <w:rFonts w:ascii="Calibri" w:hAnsi="Calibri" w:eastAsia="Calibri" w:cs="Calibri"/>
          <w:sz w:val="14"/>
          <w:szCs w:val="14"/>
        </w:rPr>
        <w:t xml:space="preserve">, </w:t>
      </w:r>
      <w:r>
        <w:rPr>
          <w:rFonts w:ascii="Calibri" w:hAnsi="Calibri" w:eastAsia="Calibri" w:cs="Calibri"/>
          <w:u w:val="single"/>
        </w:rPr>
        <w:t>amount to substantial social change</w:t>
      </w:r>
      <w:r>
        <w:rPr>
          <w:rFonts w:ascii="Calibri" w:hAnsi="Calibri" w:eastAsia="Calibri" w:cs="Calibri"/>
          <w:sz w:val="14"/>
          <w:szCs w:val="14"/>
        </w:rPr>
        <w:t>.</w:t>
      </w:r>
      <w:r>
        <w:rPr>
          <w:rFonts w:ascii="Calibri" w:hAnsi="Calibri" w:eastAsia="Calibri" w:cs="Calibri"/>
          <w:sz w:val="14"/>
          <w:szCs w:val="14"/>
          <w:highlight w:val="green"/>
        </w:rPr>
        <w:t xml:space="preserve"> </w:t>
      </w:r>
      <w:r>
        <w:rPr>
          <w:rFonts w:ascii="Calibri" w:hAnsi="Calibri" w:eastAsia="Calibri" w:cs="Calibri"/>
          <w:highlight w:val="green"/>
          <w:u w:val="single"/>
        </w:rPr>
        <w:t>Sentimental politics makes these confusions credible and these violences bearable</w:t>
      </w:r>
      <w:r>
        <w:rPr>
          <w:rFonts w:ascii="Calibri" w:hAnsi="Calibri" w:eastAsia="Calibri" w:cs="Calibri"/>
          <w:sz w:val="14"/>
          <w:szCs w:val="14"/>
          <w:highlight w:val="green"/>
        </w:rPr>
        <w:t xml:space="preserve">, </w:t>
      </w:r>
      <w:r>
        <w:rPr>
          <w:rFonts w:ascii="Calibri" w:hAnsi="Calibri" w:eastAsia="Calibri" w:cs="Calibri"/>
          <w:highlight w:val="green"/>
          <w:u w:val="single"/>
        </w:rPr>
        <w:t xml:space="preserve">as its cultural power confirms the centrality of inter-personal identification and </w:t>
      </w:r>
      <w:r>
        <w:rPr>
          <w:rFonts w:ascii="Calibri" w:hAnsi="Calibri" w:eastAsia="Calibri" w:cs="Calibri"/>
          <w:b/>
          <w:highlight w:val="green"/>
          <w:u w:val="single"/>
        </w:rPr>
        <w:t>empathy to the vitality</w:t>
      </w:r>
      <w:r>
        <w:rPr>
          <w:rFonts w:ascii="Calibri" w:hAnsi="Calibri" w:eastAsia="Calibri" w:cs="Calibri"/>
          <w:highlight w:val="green"/>
          <w:u w:val="single"/>
        </w:rPr>
        <w:t xml:space="preserve"> and viability </w:t>
      </w:r>
      <w:r>
        <w:rPr>
          <w:rFonts w:ascii="Calibri" w:hAnsi="Calibri" w:eastAsia="Calibri" w:cs="Calibri"/>
          <w:b/>
          <w:highlight w:val="green"/>
          <w:u w:val="single"/>
        </w:rPr>
        <w:t>of collective life</w:t>
      </w:r>
      <w:r>
        <w:rPr>
          <w:rFonts w:ascii="Calibri" w:hAnsi="Calibri" w:eastAsia="Calibri" w:cs="Calibri"/>
          <w:sz w:val="14"/>
          <w:szCs w:val="14"/>
          <w:highlight w:val="green"/>
        </w:rPr>
        <w:t xml:space="preserve">. </w:t>
      </w:r>
      <w:r>
        <w:rPr>
          <w:rFonts w:ascii="Calibri" w:hAnsi="Calibri" w:eastAsia="Calibri" w:cs="Calibri"/>
          <w:highlight w:val="green"/>
          <w:u w:val="single"/>
        </w:rPr>
        <w:t>This gives citizens something to do in response to overwhelming structural violence. Meanwhile, by equating mass society with that thing called "national culture," these important transpersonal linkages and intimacies are too frequently serve as proleptic shields</w:t>
      </w:r>
      <w:r>
        <w:rPr>
          <w:rFonts w:ascii="Calibri" w:hAnsi="Calibri" w:eastAsia="Calibri" w:cs="Calibri"/>
          <w:sz w:val="14"/>
          <w:szCs w:val="14"/>
          <w:highlight w:val="green"/>
        </w:rPr>
        <w:t xml:space="preserve">, </w:t>
      </w:r>
      <w:r>
        <w:rPr>
          <w:rFonts w:ascii="Calibri" w:hAnsi="Calibri" w:eastAsia="Calibri" w:cs="Calibri"/>
          <w:highlight w:val="green"/>
          <w:u w:val="single"/>
        </w:rPr>
        <w:t>as ethically uncontestable legitimating devices for sustaining the hegemonic field</w:t>
      </w:r>
      <w:r>
        <w:rPr>
          <w:rFonts w:ascii="Calibri" w:hAnsi="Calibri" w:eastAsia="Calibri" w:cs="Calibri"/>
          <w:sz w:val="14"/>
          <w:szCs w:val="14"/>
        </w:rPr>
        <w:t>.9</w:t>
      </w:r>
    </w:p>
    <w:p xmlns:wp14="http://schemas.microsoft.com/office/word/2010/wordml" w:rsidR="00054398" w:rsidP="00054398" w:rsidRDefault="00054398" w14:paraId="061D7BFA" wp14:textId="77777777">
      <w:pPr>
        <w:pStyle w:val="Heading4"/>
        <w:rPr>
          <w:rFonts w:eastAsia="Calibri"/>
        </w:rPr>
      </w:pPr>
      <w:bookmarkStart w:name="_urdtu2i1dbz1" w:colFirst="0" w:colLast="0" w:id="12"/>
      <w:bookmarkStart w:name="_twiplp7s7kiu" w:colFirst="0" w:colLast="0" w:id="13"/>
      <w:bookmarkEnd w:id="12"/>
      <w:bookmarkEnd w:id="13"/>
      <w:r>
        <w:rPr>
          <w:rFonts w:eastAsia="Calibri"/>
        </w:rPr>
        <w:t>The aff’s liberal critique of suffering domesticates it into pain and harm, making it a product of fascination and anxiety in the desire to corroborate one’s own narrative of victimization-- you should be skeptical of the aff’s rearrangement of power, it’s merely a ventriloquist tactic that ultimately structurally adjusts and re-entrenches violence within its own liberal order.</w:t>
      </w:r>
    </w:p>
    <w:p xmlns:wp14="http://schemas.microsoft.com/office/word/2010/wordml" w:rsidR="00054398" w:rsidP="0673B170" w:rsidRDefault="00054398" w14:paraId="7FCEC400" wp14:textId="77777777" wp14:noSpellErr="1">
      <w:pPr>
        <w:shd w:val="clear" w:color="auto" w:fill="FFFFFF" w:themeFill="background1"/>
        <w:rPr>
          <w:rFonts w:ascii="Calibri" w:hAnsi="Calibri" w:eastAsia="Calibri" w:cs="Calibri"/>
          <w:color w:val="222222"/>
        </w:rPr>
      </w:pPr>
      <w:r w:rsidRPr="0673B170" w:rsidR="0673B170">
        <w:rPr>
          <w:rStyle w:val="Style13ptBold"/>
        </w:rPr>
        <w:t>Abbas 10</w:t>
      </w:r>
      <w:r w:rsidRPr="0673B170" w:rsidR="0673B170">
        <w:rPr>
          <w:rFonts w:ascii="Calibri" w:hAnsi="Calibri" w:eastAsia="Calibri" w:cs="Calibri"/>
          <w:color w:val="222222"/>
        </w:rPr>
        <w:t> (Asma, Bard College at Simon's Rock, Division of Social Studies, “Liberalism and Human Suffering: Materialist Reflections on Politics, Ethics, and Aesthetics”)</w:t>
      </w:r>
    </w:p>
    <w:p xmlns:wp14="http://schemas.microsoft.com/office/word/2010/wordml" w:rsidR="00054398" w:rsidP="00054398" w:rsidRDefault="00054398" w14:paraId="652DDEA9" wp14:textId="77777777">
      <w:pPr>
        <w:shd w:val="clear" w:color="auto" w:fill="FFFFFF"/>
        <w:rPr>
          <w:rFonts w:ascii="Calibri" w:hAnsi="Calibri" w:eastAsia="Calibri" w:cs="Calibri"/>
          <w:color w:val="222222"/>
          <w:highlight w:val="yellow"/>
          <w:u w:val="single"/>
        </w:rPr>
      </w:pPr>
      <w:r>
        <w:rPr>
          <w:rFonts w:ascii="Calibri" w:hAnsi="Calibri" w:eastAsia="Calibri" w:cs="Calibri"/>
          <w:color w:val="222222"/>
          <w:u w:val="single"/>
        </w:rPr>
        <w:t>Conversations about suffering abound in what we may call the “official” public sphere. </w:t>
      </w:r>
      <w:r>
        <w:rPr>
          <w:rFonts w:ascii="Calibri" w:hAnsi="Calibri" w:eastAsia="Calibri" w:cs="Calibri"/>
          <w:color w:val="222222"/>
          <w:highlight w:val="cyan"/>
          <w:u w:val="single"/>
        </w:rPr>
        <w:t>Suffering is made present in a standard way: it is domesticated into pain and harm, which become the central, overarching, occluding motifs in our experience of our own and others’ suffering and in our relation and response to it</w:t>
      </w:r>
      <w:r>
        <w:rPr>
          <w:rFonts w:ascii="Calibri" w:hAnsi="Calibri" w:eastAsia="Calibri" w:cs="Calibri"/>
          <w:color w:val="222222"/>
          <w:sz w:val="16"/>
          <w:szCs w:val="16"/>
        </w:rPr>
        <w:t>. The usual locus of ethical-political discourses that take suffering seriously is why and how someone would be driven to cause harm, what history unleashes suffering, and how we must respond to scenarios of human suffering that defy human imagination. In all these, </w:t>
      </w:r>
      <w:r>
        <w:rPr>
          <w:rFonts w:ascii="Calibri" w:hAnsi="Calibri" w:eastAsia="Calibri" w:cs="Calibri"/>
          <w:color w:val="222222"/>
          <w:highlight w:val="cyan"/>
          <w:u w:val="single"/>
        </w:rPr>
        <w:t>the positions of the perpetrator and the observer-respondent are often the coordinates within which the victim is evidenced. In their focus on how to acknowledge, affirm, and remove suffering</w:t>
      </w:r>
      <w:r>
        <w:rPr>
          <w:rFonts w:ascii="Calibri" w:hAnsi="Calibri" w:eastAsia="Calibri" w:cs="Calibri"/>
          <w:color w:val="222222"/>
          <w:sz w:val="16"/>
          <w:szCs w:val="16"/>
        </w:rPr>
        <w:t xml:space="preserve">, such conversations about victims and their injuries (codified harms) have suffering and sufferers as the object of diagnosis, prognosis, and remedy. </w:t>
      </w:r>
      <w:r>
        <w:rPr>
          <w:rFonts w:ascii="Calibri" w:hAnsi="Calibri" w:eastAsia="Calibri" w:cs="Calibri"/>
          <w:color w:val="222222"/>
          <w:highlight w:val="cyan"/>
          <w:u w:val="single"/>
        </w:rPr>
        <w:t>Debates</w:t>
      </w:r>
      <w:r>
        <w:rPr>
          <w:rFonts w:ascii="Calibri" w:hAnsi="Calibri" w:eastAsia="Calibri" w:cs="Calibri"/>
          <w:color w:val="222222"/>
          <w:u w:val="single"/>
        </w:rPr>
        <w:t xml:space="preserve"> feature questions of whether, for whom, and for what to speak; who speaks for others; who speaks for themselves; how to make space for people to speak for themselves; whom to bid speak; whether or not we can know someone’s pain; and how to make them or their speech go away. These puzzles </w:t>
      </w:r>
      <w:r>
        <w:rPr>
          <w:rFonts w:ascii="Calibri" w:hAnsi="Calibri" w:eastAsia="Calibri" w:cs="Calibri"/>
          <w:color w:val="222222"/>
          <w:highlight w:val="cyan"/>
          <w:u w:val="single"/>
        </w:rPr>
        <w:t>revolve around, ironically, the agents qua respondents to someone’s suffering—the saviors, liberators, lip-readers, empowerers—whose regard for others is fed by a fervor steeped in the unacknowledged privilege of framing these conversations and puzzles and is subsequently quite taxing to those who already suffer.</w:t>
      </w:r>
      <w:r>
        <w:rPr>
          <w:rFonts w:ascii="Calibri" w:hAnsi="Calibri" w:eastAsia="Calibri" w:cs="Calibri"/>
          <w:color w:val="222222"/>
          <w:u w:val="single"/>
        </w:rPr>
        <w:t xml:space="preserve"> </w:t>
      </w:r>
      <w:r>
        <w:rPr>
          <w:rFonts w:ascii="Calibri" w:hAnsi="Calibri" w:eastAsia="Calibri" w:cs="Calibri"/>
          <w:color w:val="222222"/>
          <w:sz w:val="16"/>
          <w:szCs w:val="16"/>
        </w:rPr>
        <w:t>Moreover, it is striking and, at times, incredible how much these “agents” are the ones most needy of reassurance and tending in forms ranging from, say, a regular serving of abstract hope in the future of humanity, to relief from guilt of their privilege, to conquest of the inscrutable, to stability in the stock market after a tragedy somewhere else. It seems that the </w:t>
      </w:r>
      <w:r>
        <w:rPr>
          <w:rFonts w:ascii="Calibri" w:hAnsi="Calibri" w:eastAsia="Calibri" w:cs="Calibri"/>
          <w:color w:val="222222"/>
          <w:highlight w:val="cyan"/>
          <w:u w:val="single"/>
        </w:rPr>
        <w:t>eager anxiety about the “perspective of the victims,” whether in hearing their voices, forcing them to speak, or speaking for them, is indulged as long as it completes “my” knowledge, “my” picture, or “my” sense of justice.</w:t>
      </w:r>
      <w:r>
        <w:rPr>
          <w:rFonts w:ascii="Calibri" w:hAnsi="Calibri" w:eastAsia="Calibri" w:cs="Calibri"/>
          <w:color w:val="222222"/>
          <w:sz w:val="16"/>
          <w:szCs w:val="16"/>
        </w:rPr>
        <w:t xml:space="preserve"> This scenario accords consolatory functions to sensuousness, speech, and representation not only, or even primarily, for those who suffer and are the plaintiffs but also for those in power when they demand that sufferers speak and act their suffering in certain, prescribed ways. </w:t>
      </w:r>
      <w:r>
        <w:rPr>
          <w:rFonts w:ascii="Calibri" w:hAnsi="Calibri" w:eastAsia="Calibri" w:cs="Calibri"/>
          <w:color w:val="222222"/>
          <w:u w:val="single"/>
        </w:rPr>
        <w:t>There is no room here for the vast space between the said and the unsaid, the enacted and the undone, where those for whom speech is always a response persist</w:t>
      </w:r>
      <w:r>
        <w:rPr>
          <w:rFonts w:ascii="Calibri" w:hAnsi="Calibri" w:eastAsia="Calibri" w:cs="Calibri"/>
          <w:color w:val="222222"/>
          <w:sz w:val="16"/>
          <w:szCs w:val="16"/>
        </w:rPr>
        <w:t xml:space="preserve">. For many, </w:t>
      </w:r>
      <w:r>
        <w:rPr>
          <w:rFonts w:ascii="Calibri" w:hAnsi="Calibri" w:eastAsia="Calibri" w:cs="Calibri"/>
          <w:color w:val="222222"/>
          <w:highlight w:val="cyan"/>
          <w:u w:val="single"/>
        </w:rPr>
        <w:t xml:space="preserve">even speaking for oneself is almost always a response whose burden is never felt by those who always get to interrogate and </w:t>
      </w:r>
      <w:r>
        <w:rPr>
          <w:rFonts w:ascii="Calibri" w:hAnsi="Calibri" w:eastAsia="Calibri" w:cs="Calibri"/>
          <w:color w:val="222222"/>
          <w:highlight w:val="cyan"/>
          <w:u w:val="single"/>
        </w:rPr>
        <w:lastRenderedPageBreak/>
        <w:t>sympathize. This voice seemingly necessitated by suffering in turn polices the modes of suffering and subjectivity possible.</w:t>
      </w:r>
      <w:r>
        <w:rPr>
          <w:rFonts w:ascii="Calibri" w:hAnsi="Calibri" w:eastAsia="Calibri" w:cs="Calibri"/>
          <w:color w:val="222222"/>
          <w:sz w:val="16"/>
          <w:szCs w:val="16"/>
        </w:rPr>
        <w:t> </w:t>
      </w:r>
      <w:r>
        <w:rPr>
          <w:rFonts w:ascii="Calibri" w:hAnsi="Calibri" w:eastAsia="Calibri" w:cs="Calibri"/>
          <w:color w:val="222222"/>
          <w:highlight w:val="cyan"/>
          <w:u w:val="single"/>
        </w:rPr>
        <w:t>Harm and representation turn out to be reciprocal as the haunted negotiations between liberalism and democracy continue, rendering liberal democratic politics always in debt to suffering</w:t>
      </w:r>
      <w:r>
        <w:rPr>
          <w:rFonts w:ascii="Calibri" w:hAnsi="Calibri" w:eastAsia="Calibri" w:cs="Calibri"/>
          <w:color w:val="222222"/>
          <w:sz w:val="16"/>
          <w:szCs w:val="16"/>
        </w:rPr>
        <w:t>. This voice does carry, shaping the experience and the dominant aesthetic and political imaginations of people outside liberal democracies, to the extent that such voice becomes an index of their democratic desire insofar as those with the goods find it familiar. These forced familiarities severely compromise the fundamental </w:t>
      </w:r>
      <w:r>
        <w:rPr>
          <w:rFonts w:ascii="Calibri" w:hAnsi="Calibri" w:eastAsia="Calibri" w:cs="Calibri"/>
          <w:color w:val="222222"/>
          <w:highlight w:val="cyan"/>
          <w:u w:val="single"/>
        </w:rPr>
        <w:t>experience channeled in this performance that could lead to different intimacies and alternative liberatory counter-discourses in the face of such scripted and mimicked desire to begin with.</w:t>
      </w:r>
    </w:p>
    <w:p xmlns:wp14="http://schemas.microsoft.com/office/word/2010/wordml" w:rsidR="00054398" w:rsidP="00054398" w:rsidRDefault="00054398" w14:paraId="52C3CFC2" wp14:textId="77777777">
      <w:pPr>
        <w:pStyle w:val="Heading4"/>
        <w:rPr>
          <w:rFonts w:eastAsia="Calibri"/>
        </w:rPr>
      </w:pPr>
      <w:bookmarkStart w:name="_xuy0kvb0r358" w:colFirst="0" w:colLast="0" w:id="14"/>
      <w:bookmarkEnd w:id="14"/>
      <w:r>
        <w:rPr>
          <w:rFonts w:eastAsia="Calibri"/>
          <w:color w:val="000000"/>
        </w:rPr>
        <w:t>L</w:t>
      </w:r>
      <w:r>
        <w:rPr>
          <w:rFonts w:eastAsia="Calibri"/>
        </w:rPr>
        <w:t>iberalism’s victim fetish perpetuates insidious violences-- it instantiates a mode of subjectivity where one’s claim to humanity is predicated on their ability to be injured. This locates injured subjects at permanent sites of violation, turning the aff.</w:t>
      </w:r>
    </w:p>
    <w:p xmlns:wp14="http://schemas.microsoft.com/office/word/2010/wordml" w:rsidR="00054398" w:rsidP="0673B170" w:rsidRDefault="00054398" w14:paraId="6E55C761" wp14:textId="77777777" wp14:noSpellErr="1">
      <w:pPr>
        <w:shd w:val="clear" w:color="auto" w:fill="FFFFFF" w:themeFill="background1"/>
        <w:rPr>
          <w:rFonts w:ascii="Calibri" w:hAnsi="Calibri" w:eastAsia="Calibri" w:cs="Calibri"/>
          <w:color w:val="222222"/>
        </w:rPr>
      </w:pPr>
      <w:r w:rsidRPr="0673B170" w:rsidR="0673B170">
        <w:rPr>
          <w:rStyle w:val="Style13ptBold"/>
        </w:rPr>
        <w:t>Abbas 10</w:t>
      </w:r>
      <w:r w:rsidRPr="0673B170" w:rsidR="0673B170">
        <w:rPr>
          <w:rFonts w:ascii="Calibri" w:hAnsi="Calibri" w:eastAsia="Calibri" w:cs="Calibri"/>
          <w:color w:val="222222"/>
        </w:rPr>
        <w:t> (Asma, Bard College at Simon's Rock, Division of Social Studies, “Voice Lessons: Suffering and the Liberal Sensorium”, </w:t>
      </w:r>
      <w:hyperlink r:id="Rf4c37c67d32f4a1e">
        <w:r w:rsidRPr="0673B170" w:rsidR="0673B170">
          <w:rPr>
            <w:rFonts w:ascii="Calibri" w:hAnsi="Calibri" w:eastAsia="Calibri" w:cs="Calibri"/>
            <w:color w:val="1155CC"/>
          </w:rPr>
          <w:t>https://www.academia.edu/12959331/Voice_Lessons_Suffering_and_the_Liberal_Sensorium</w:t>
        </w:r>
      </w:hyperlink>
      <w:r w:rsidRPr="0673B170" w:rsidR="0673B170">
        <w:rPr>
          <w:rFonts w:ascii="Calibri" w:hAnsi="Calibri" w:eastAsia="Calibri" w:cs="Calibri"/>
          <w:color w:val="222222"/>
        </w:rPr>
        <w:t>)</w:t>
      </w:r>
    </w:p>
    <w:p xmlns:wp14="http://schemas.microsoft.com/office/word/2010/wordml" w:rsidR="00054398" w:rsidP="00054398" w:rsidRDefault="00054398" w14:paraId="1E7C2AED" wp14:textId="77777777">
      <w:pPr>
        <w:shd w:val="clear" w:color="auto" w:fill="FFFFFF"/>
        <w:rPr>
          <w:rFonts w:ascii="Calibri" w:hAnsi="Calibri" w:eastAsia="Calibri" w:cs="Calibri"/>
          <w:color w:val="222222"/>
        </w:rPr>
      </w:pPr>
      <w:r>
        <w:rPr>
          <w:rFonts w:ascii="Calibri" w:hAnsi="Calibri" w:eastAsia="Calibri" w:cs="Calibri"/>
          <w:color w:val="222222"/>
          <w:sz w:val="16"/>
          <w:szCs w:val="16"/>
        </w:rPr>
        <w:t>The statistics discussed above speak of how we grieve and whether or not we are the bereft. They bring up our </w:t>
      </w:r>
      <w:r>
        <w:rPr>
          <w:rFonts w:ascii="Calibri" w:hAnsi="Calibri" w:eastAsia="Calibri" w:cs="Calibri"/>
          <w:color w:val="222222"/>
          <w:highlight w:val="cyan"/>
          <w:u w:val="single"/>
        </w:rPr>
        <w:t>capacities to suffer and our ways of relating to suffering, our own and others. These issues extend beyond sufferings graspable in these statistics, to those limit-cases where these measurements and quantifications fail</w:t>
      </w:r>
      <w:r>
        <w:rPr>
          <w:rFonts w:ascii="Calibri" w:hAnsi="Calibri" w:eastAsia="Calibri" w:cs="Calibri"/>
          <w:color w:val="222222"/>
          <w:sz w:val="16"/>
          <w:szCs w:val="16"/>
        </w:rPr>
        <w:t>. In cases of immense suffering—especially “natural” suffering—other forms of translation and sense-making have to kick in, in order to mediate our experience of them. </w:t>
      </w:r>
      <w:r>
        <w:rPr>
          <w:rFonts w:ascii="Calibri" w:hAnsi="Calibri" w:eastAsia="Calibri" w:cs="Calibri"/>
          <w:color w:val="222222"/>
          <w:highlight w:val="cyan"/>
          <w:u w:val="single"/>
        </w:rPr>
        <w:t>The regime of valuing suffering endemic to liberalism does not leave the sphere of this “readymade” suffering untouched</w:t>
      </w:r>
      <w:r>
        <w:rPr>
          <w:rFonts w:ascii="Calibri" w:hAnsi="Calibri" w:eastAsia="Calibri" w:cs="Calibri"/>
          <w:color w:val="222222"/>
          <w:sz w:val="16"/>
          <w:szCs w:val="16"/>
        </w:rPr>
        <w:t>. The arbitrary values placed on various sufferings also appear in the realm of grand disasters, their definition flagging the thresholds—of political sensibility and of the ability to suffer—that help plot liberal discourse. </w:t>
      </w:r>
      <w:r>
        <w:rPr>
          <w:rFonts w:ascii="Calibri" w:hAnsi="Calibri" w:eastAsia="Calibri" w:cs="Calibri"/>
          <w:color w:val="222222"/>
          <w:highlight w:val="cyan"/>
          <w:u w:val="single"/>
        </w:rPr>
        <w:t>Any crisis, disaster or injury comes to be within a sensuous machinery involving interpreters, translators and sufferers</w:t>
      </w:r>
      <w:r>
        <w:rPr>
          <w:rFonts w:ascii="Calibri" w:hAnsi="Calibri" w:eastAsia="Calibri" w:cs="Calibri"/>
          <w:color w:val="222222"/>
          <w:sz w:val="16"/>
          <w:szCs w:val="16"/>
        </w:rPr>
        <w:t>. While statistics such as the DALYs exemplify the creation of an event out of suffering so that it can at least count even if only in this paltry way, the case of natural disasters or genocide—“events” first, one’s suffering and another’s medal for philanthropy after—liberal modernity does something importantly different. It shows off its specialty in readymade events of human suffering that can then be rendered productive. Both cases—of producing events and of rendering events productive—obscure and dislocate the suffering that necessitates the making of an event and the suffering that is caused by the sensuous pathology of liberalism. </w:t>
      </w:r>
      <w:r>
        <w:rPr>
          <w:rFonts w:ascii="Calibri" w:hAnsi="Calibri" w:eastAsia="Calibri" w:cs="Calibri"/>
          <w:color w:val="222222"/>
          <w:highlight w:val="cyan"/>
          <w:u w:val="single"/>
        </w:rPr>
        <w:t>Ways of treating suffering that define the terms of a disaster and the terms in which a disaster is read can also dysfunctionalize sense and mute other voices</w:t>
      </w:r>
      <w:r>
        <w:rPr>
          <w:rFonts w:ascii="Calibri" w:hAnsi="Calibri" w:eastAsia="Calibri" w:cs="Calibri"/>
          <w:color w:val="222222"/>
          <w:sz w:val="16"/>
          <w:szCs w:val="16"/>
        </w:rPr>
        <w:t>. One eventually just forgets to speak, or speaks only to affirm or negate. Kant teaches us to talk about suffering only so far as it is caused by human action</w:t>
      </w:r>
      <w:r>
        <w:rPr>
          <w:rFonts w:ascii="Calibri" w:hAnsi="Calibri" w:eastAsia="Calibri" w:cs="Calibri"/>
          <w:color w:val="222222"/>
          <w:sz w:val="16"/>
          <w:szCs w:val="16"/>
          <w:highlight w:val="cyan"/>
        </w:rPr>
        <w:t>;</w:t>
      </w:r>
      <w:r>
        <w:rPr>
          <w:rFonts w:ascii="Calibri" w:hAnsi="Calibri" w:eastAsia="Calibri" w:cs="Calibri"/>
          <w:color w:val="222222"/>
          <w:highlight w:val="cyan"/>
          <w:u w:val="single"/>
        </w:rPr>
        <w:t>liberalism’s naturalised focus is on the injuriousness and harmfulness of human beings whose ownership of their bodies and their selves is predicated on their ability to be injured</w:t>
      </w:r>
      <w:r>
        <w:rPr>
          <w:rFonts w:ascii="Calibri" w:hAnsi="Calibri" w:eastAsia="Calibri" w:cs="Calibri"/>
          <w:color w:val="222222"/>
          <w:sz w:val="16"/>
          <w:szCs w:val="16"/>
          <w:highlight w:val="cyan"/>
        </w:rPr>
        <w:t>.</w:t>
      </w:r>
      <w:r>
        <w:rPr>
          <w:rFonts w:ascii="Calibri" w:hAnsi="Calibri" w:eastAsia="Calibri" w:cs="Calibri"/>
          <w:color w:val="222222"/>
          <w:sz w:val="16"/>
          <w:szCs w:val="16"/>
        </w:rPr>
        <w:t> This ownership relies on a separation of the domains of god and man whereby suffering itself is secularised. When this happens, explanations are given in the form of who is responsible for the suffering in order to assess whether it is an injury that is addressable or suffering that, absent being rendered injury, must be quickly shelved somewhere else. So, </w:t>
      </w:r>
      <w:r>
        <w:rPr>
          <w:rFonts w:ascii="Calibri" w:hAnsi="Calibri" w:eastAsia="Calibri" w:cs="Calibri"/>
          <w:color w:val="222222"/>
          <w:highlight w:val="cyan"/>
          <w:u w:val="single"/>
        </w:rPr>
        <w:t>the secularism of suffering counters the non-metaphysical claims of political liberals by clearly showing that even unassuming liberals cannot help but assume and operationalize a particular metaphysics of suffering</w:t>
      </w:r>
      <w:r>
        <w:rPr>
          <w:rFonts w:ascii="Calibri" w:hAnsi="Calibri" w:eastAsia="Calibri" w:cs="Calibri"/>
          <w:color w:val="222222"/>
          <w:u w:val="single"/>
        </w:rPr>
        <w:t> </w:t>
      </w:r>
      <w:r>
        <w:rPr>
          <w:rFonts w:ascii="Calibri" w:hAnsi="Calibri" w:eastAsia="Calibri" w:cs="Calibri"/>
          <w:color w:val="222222"/>
          <w:sz w:val="16"/>
          <w:szCs w:val="16"/>
        </w:rPr>
        <w:t>as they, in the most basic way, determine the spaces where certain forms of suffering are allowed to dwell.</w:t>
      </w:r>
    </w:p>
    <w:p xmlns:wp14="http://schemas.microsoft.com/office/word/2010/wordml" w:rsidR="00054398" w:rsidP="00054398" w:rsidRDefault="00054398" w14:paraId="5AEB098B" wp14:textId="77777777">
      <w:pPr>
        <w:pStyle w:val="Heading4"/>
        <w:rPr>
          <w:rFonts w:eastAsia="Calibri"/>
        </w:rPr>
      </w:pPr>
      <w:bookmarkStart w:name="_24v4cqrj1imi" w:colFirst="0" w:colLast="0" w:id="15"/>
      <w:bookmarkEnd w:id="15"/>
      <w:r>
        <w:rPr>
          <w:rFonts w:eastAsia="Calibri"/>
        </w:rPr>
        <w:lastRenderedPageBreak/>
        <w:t>In a liberal economy of representation, suffering requires property ownership-- the aff’s logic presumes an agent and a victim, reproducing a scarcity economy of segregation and conquest.</w:t>
      </w:r>
    </w:p>
    <w:p xmlns:wp14="http://schemas.microsoft.com/office/word/2010/wordml" w:rsidR="00054398" w:rsidP="00054398" w:rsidRDefault="00054398" w14:paraId="4AEC5FEB" wp14:textId="77777777">
      <w:pPr>
        <w:rPr>
          <w:rFonts w:ascii="Calibri" w:hAnsi="Calibri" w:eastAsia="Calibri" w:cs="Calibri"/>
        </w:rPr>
      </w:pPr>
      <w:r w:rsidRPr="001710C3">
        <w:rPr>
          <w:rStyle w:val="Style13ptBold"/>
        </w:rPr>
        <w:t>Abbas 10</w:t>
      </w:r>
      <w:r>
        <w:rPr>
          <w:rFonts w:ascii="Calibri" w:hAnsi="Calibri" w:eastAsia="Calibri" w:cs="Calibri"/>
        </w:rPr>
        <w:t xml:space="preserve"> (Asma, Bard College at Simon's Rock, Division of Social Studies, “Liberalism and Human Suffering: Materialist Reflections on Politics, Ethics, and Aesthetics”)</w:t>
      </w:r>
    </w:p>
    <w:p xmlns:wp14="http://schemas.microsoft.com/office/word/2010/wordml" w:rsidR="00054398" w:rsidP="00054398" w:rsidRDefault="00054398" w14:paraId="60AA2BAC" wp14:textId="77777777">
      <w:pPr>
        <w:rPr>
          <w:rFonts w:ascii="Calibri" w:hAnsi="Calibri" w:eastAsia="Calibri" w:cs="Calibri"/>
          <w:sz w:val="16"/>
          <w:szCs w:val="16"/>
        </w:rPr>
      </w:pPr>
      <w:r>
        <w:rPr>
          <w:rFonts w:ascii="Calibri" w:hAnsi="Calibri" w:eastAsia="Calibri" w:cs="Calibri"/>
          <w:highlight w:val="cyan"/>
          <w:u w:val="single"/>
        </w:rPr>
        <w:t>In crying “tragedy!” liberalism (1) commits to abating human suffering, (2) resigns to the impossibility of getting everything we want (what it calls the irreconcilability of choices), (3) draws up a balance sheet of pain and pleasure that can at best break even, and (4) deems human agentic action as central to the causing or courting of suffering, domesticated as pain</w:t>
      </w:r>
      <w:r>
        <w:rPr>
          <w:rFonts w:ascii="Calibri" w:hAnsi="Calibri" w:eastAsia="Calibri" w:cs="Calibri"/>
          <w:sz w:val="16"/>
          <w:szCs w:val="16"/>
        </w:rPr>
        <w:t xml:space="preserve">. This centrality of human action ironically coexists with liberalism’s insistent powerlessness in the face of the suffering it confronts. </w:t>
      </w:r>
      <w:r>
        <w:rPr>
          <w:rFonts w:ascii="Calibri" w:hAnsi="Calibri" w:eastAsia="Calibri" w:cs="Calibri"/>
          <w:u w:val="single"/>
        </w:rPr>
        <w:t>Liberalism’s tragedy results from the irreconcilability of pregiven wills and choices</w:t>
      </w:r>
      <w:r>
        <w:rPr>
          <w:rFonts w:ascii="Calibri" w:hAnsi="Calibri" w:eastAsia="Calibri" w:cs="Calibri"/>
          <w:sz w:val="16"/>
          <w:szCs w:val="16"/>
        </w:rPr>
        <w:t>, while its utilitarianism is perfectly at odds with a tragic sense, an aversion to suffering implicit here.</w:t>
      </w:r>
      <w:r>
        <w:rPr>
          <w:rFonts w:ascii="Calibri" w:hAnsi="Calibri" w:eastAsia="Calibri" w:cs="Calibri"/>
          <w:sz w:val="16"/>
          <w:szCs w:val="16"/>
          <w:highlight w:val="cyan"/>
        </w:rPr>
        <w:t xml:space="preserve"> </w:t>
      </w:r>
      <w:r>
        <w:rPr>
          <w:rFonts w:ascii="Calibri" w:hAnsi="Calibri" w:eastAsia="Calibri" w:cs="Calibri"/>
          <w:highlight w:val="cyan"/>
          <w:u w:val="single"/>
        </w:rPr>
        <w:t>The scarcity of choices that emerge in the redefinition of tragedy is mirrored in the scarcity against which mainstream liberal capitalist economics pits our needs</w:t>
      </w:r>
      <w:r>
        <w:rPr>
          <w:rFonts w:ascii="Calibri" w:hAnsi="Calibri" w:eastAsia="Calibri" w:cs="Calibri"/>
          <w:sz w:val="16"/>
          <w:szCs w:val="16"/>
        </w:rPr>
        <w:t xml:space="preserve">. </w:t>
      </w:r>
      <w:r>
        <w:rPr>
          <w:rFonts w:ascii="Calibri" w:hAnsi="Calibri" w:eastAsia="Calibri" w:cs="Calibri"/>
          <w:highlight w:val="cyan"/>
          <w:u w:val="single"/>
        </w:rPr>
        <w:t>This scarcity is not always real but contrived. It may have to do with how the abundance and capacities within us are displaced and projected onto the fetishes outside of us, whether the state, or god, or other commodities.</w:t>
      </w:r>
      <w:r>
        <w:rPr>
          <w:rFonts w:ascii="Calibri" w:hAnsi="Calibri" w:eastAsia="Calibri" w:cs="Calibri"/>
          <w:sz w:val="16"/>
          <w:szCs w:val="16"/>
        </w:rPr>
        <w:t xml:space="preserve"> Religion takes charge of this scarcity by then letting its opposite thrive in the domain of charity and philanthropy, not to mention salvation and redemption. </w:t>
      </w:r>
      <w:r>
        <w:rPr>
          <w:rFonts w:ascii="Calibri" w:hAnsi="Calibri" w:eastAsia="Calibri" w:cs="Calibri"/>
          <w:highlight w:val="cyan"/>
          <w:u w:val="single"/>
        </w:rPr>
        <w:t>Privatized notions of suffering correspond to scarcities in human relations</w:t>
      </w:r>
      <w:r>
        <w:rPr>
          <w:rFonts w:ascii="Calibri" w:hAnsi="Calibri" w:eastAsia="Calibri" w:cs="Calibri"/>
          <w:u w:val="single"/>
        </w:rPr>
        <w:t>. Bounded individualities whose relationships are predicated on protecting themselves from violation of boundaries would fit Murdoch’s understanding of interiorized scarcity</w:t>
      </w:r>
      <w:r>
        <w:rPr>
          <w:rFonts w:ascii="Calibri" w:hAnsi="Calibri" w:eastAsia="Calibri" w:cs="Calibri"/>
          <w:sz w:val="16"/>
          <w:szCs w:val="16"/>
        </w:rPr>
        <w:t>. She writes, “Scarcity ‘interiorized’ leads every man to see his fellow as the Other, and as the principle of Evil.” The individual and its other are reified in conflict on the basis of this scarcity.32 Murdoch is not romanticizing a passive, nonagonistic harmony but lamenting these reductions: of conflict (and ultimately desire) to scarcity, of suffering to harm and injury, and of suffering for and with others to tolerance.</w:t>
      </w:r>
      <w:r>
        <w:rPr>
          <w:rFonts w:ascii="Calibri" w:hAnsi="Calibri" w:eastAsia="Calibri" w:cs="Calibri"/>
          <w:sz w:val="16"/>
          <w:szCs w:val="16"/>
          <w:highlight w:val="cyan"/>
        </w:rPr>
        <w:t xml:space="preserve"> </w:t>
      </w:r>
      <w:r>
        <w:rPr>
          <w:rFonts w:ascii="Calibri" w:hAnsi="Calibri" w:eastAsia="Calibri" w:cs="Calibri"/>
          <w:highlight w:val="cyan"/>
          <w:u w:val="single"/>
        </w:rPr>
        <w:t>This scarcity and economy pervades tolerance and harm, concepts that affirm logics of separation, segregation and conquest, between one individual and the other, between the subject and the object of the tolerance, and between various realms of existence</w:t>
      </w:r>
      <w:r>
        <w:rPr>
          <w:rFonts w:ascii="Calibri" w:hAnsi="Calibri" w:eastAsia="Calibri" w:cs="Calibri"/>
          <w:sz w:val="16"/>
          <w:szCs w:val="16"/>
          <w:highlight w:val="cyan"/>
        </w:rPr>
        <w:t xml:space="preserve">. </w:t>
      </w:r>
      <w:r>
        <w:rPr>
          <w:rFonts w:ascii="Calibri" w:hAnsi="Calibri" w:eastAsia="Calibri" w:cs="Calibri"/>
          <w:highlight w:val="cyan"/>
          <w:u w:val="single"/>
        </w:rPr>
        <w:t>Liberalism insists, rather assiduously, on the subject-object divide in the case of suffering—such that the only way someone else’s suffering can be mine is if it is translated as a setback to my interest</w:t>
      </w:r>
      <w:r>
        <w:rPr>
          <w:rFonts w:ascii="Calibri" w:hAnsi="Calibri" w:eastAsia="Calibri" w:cs="Calibri"/>
          <w:sz w:val="16"/>
          <w:szCs w:val="16"/>
        </w:rPr>
        <w:t xml:space="preserve">.33 </w:t>
      </w:r>
      <w:r>
        <w:rPr>
          <w:rFonts w:ascii="Calibri" w:hAnsi="Calibri" w:eastAsia="Calibri" w:cs="Calibri"/>
          <w:highlight w:val="cyan"/>
          <w:u w:val="single"/>
        </w:rPr>
        <w:t>The agent and the victim, the sufferer and her other, are placeholders suspended within the constitutive strictures of liberalism that require property, injury, and the injurable property-owning subject.</w:t>
      </w:r>
      <w:r>
        <w:rPr>
          <w:rFonts w:ascii="Calibri" w:hAnsi="Calibri" w:eastAsia="Calibri" w:cs="Calibri"/>
          <w:sz w:val="16"/>
          <w:szCs w:val="16"/>
        </w:rPr>
        <w:t xml:space="preserve"> The liberal secularist separation between various realms of existence does not allow for the enduring of existential pain or angst to infect one’s capacity to tolerate or to respond to the suffering of the nonexistential kind (unless, of course, one can somehow translate existential pain into harm). Any liberalism avowedly attuned to the ubiquity of human victimization and injustice should be asked how </w:t>
      </w:r>
      <w:r>
        <w:rPr>
          <w:rFonts w:ascii="Calibri" w:hAnsi="Calibri" w:eastAsia="Calibri" w:cs="Calibri"/>
          <w:u w:val="single"/>
        </w:rPr>
        <w:t>sufferers get divided between tolerant agents and victims</w:t>
      </w:r>
      <w:r>
        <w:rPr>
          <w:rFonts w:ascii="Calibri" w:hAnsi="Calibri" w:eastAsia="Calibri" w:cs="Calibri"/>
          <w:sz w:val="16"/>
          <w:szCs w:val="16"/>
        </w:rPr>
        <w:t>.</w:t>
      </w:r>
    </w:p>
    <w:p xmlns:wp14="http://schemas.microsoft.com/office/word/2010/wordml" w:rsidR="00054398" w:rsidP="00054398" w:rsidRDefault="00054398" w14:paraId="0C482767" wp14:textId="77777777">
      <w:pPr>
        <w:pStyle w:val="Heading4"/>
        <w:rPr>
          <w:rFonts w:eastAsia="Calibri"/>
        </w:rPr>
      </w:pPr>
      <w:bookmarkStart w:name="_4n1vuwx4vhx1" w:colFirst="0" w:colLast="0" w:id="16"/>
      <w:bookmarkEnd w:id="16"/>
      <w:r>
        <w:rPr>
          <w:rFonts w:eastAsia="Calibri"/>
        </w:rPr>
        <w:t>Representations of suffering occlude structural analyses that understand liberalism as the foundational and ongoing condition of possibility for the state’s monopoly on violence. This is a terminal no solvency argument-- the aff can only use suffering in order to manifest increasingly liberal investments in the status quo.</w:t>
      </w:r>
    </w:p>
    <w:p xmlns:wp14="http://schemas.microsoft.com/office/word/2010/wordml" w:rsidR="00054398" w:rsidP="00054398" w:rsidRDefault="00054398" w14:paraId="5ACCC39D" wp14:textId="77777777">
      <w:pPr>
        <w:rPr>
          <w:rFonts w:ascii="Calibri" w:hAnsi="Calibri" w:eastAsia="Calibri" w:cs="Calibri"/>
        </w:rPr>
      </w:pPr>
      <w:r w:rsidRPr="001710C3">
        <w:rPr>
          <w:rStyle w:val="Style13ptBold"/>
        </w:rPr>
        <w:t>Abbas 10</w:t>
      </w:r>
      <w:r>
        <w:rPr>
          <w:rFonts w:ascii="Calibri" w:hAnsi="Calibri" w:eastAsia="Calibri" w:cs="Calibri"/>
        </w:rPr>
        <w:t xml:space="preserve"> (Asma, Bard College at Simon's Rock, Division of Social Studies, “Liberalism and Human Suffering: Materialist Reflections on Politics, Ethics, and Aesthetics”)</w:t>
      </w:r>
    </w:p>
    <w:p xmlns:wp14="http://schemas.microsoft.com/office/word/2010/wordml" w:rsidR="00054398" w:rsidP="00054398" w:rsidRDefault="00054398" w14:paraId="2BD167BB" wp14:textId="77777777">
      <w:pPr>
        <w:rPr>
          <w:rFonts w:ascii="Calibri" w:hAnsi="Calibri" w:eastAsia="Calibri" w:cs="Calibri"/>
          <w:sz w:val="16"/>
          <w:szCs w:val="16"/>
          <w:highlight w:val="cyan"/>
        </w:rPr>
      </w:pPr>
      <w:r>
        <w:rPr>
          <w:rFonts w:ascii="Calibri" w:hAnsi="Calibri" w:eastAsia="Calibri" w:cs="Calibri"/>
          <w:highlight w:val="cyan"/>
          <w:u w:val="single"/>
        </w:rPr>
        <w:t>After placing lives and suffering into compartments public and private, personal and political, interior and exterior, liberalism picks the battles that pertain to obtrusive political superstructures. It prioritizes the injustices, cruelties, and complicities that pertain to the political</w:t>
      </w:r>
      <w:r>
        <w:rPr>
          <w:rFonts w:ascii="Calibri" w:hAnsi="Calibri" w:eastAsia="Calibri" w:cs="Calibri"/>
          <w:sz w:val="16"/>
          <w:szCs w:val="16"/>
        </w:rPr>
        <w:t>— narrowly understood in relation to the state and its laws—</w:t>
      </w:r>
      <w:r>
        <w:rPr>
          <w:rFonts w:ascii="Calibri" w:hAnsi="Calibri" w:eastAsia="Calibri" w:cs="Calibri"/>
          <w:highlight w:val="cyan"/>
          <w:u w:val="single"/>
        </w:rPr>
        <w:t xml:space="preserve">because it remembers the vulnerability and historical disposability of human lives in the face </w:t>
      </w:r>
      <w:r>
        <w:rPr>
          <w:rFonts w:ascii="Calibri" w:hAnsi="Calibri" w:eastAsia="Calibri" w:cs="Calibri"/>
          <w:highlight w:val="cyan"/>
          <w:u w:val="single"/>
        </w:rPr>
        <w:lastRenderedPageBreak/>
        <w:t>of the state’s monopoly over violence</w:t>
      </w:r>
      <w:r>
        <w:rPr>
          <w:rFonts w:ascii="Calibri" w:hAnsi="Calibri" w:eastAsia="Calibri" w:cs="Calibri"/>
          <w:u w:val="single"/>
        </w:rPr>
        <w:t>.</w:t>
      </w:r>
      <w:r>
        <w:rPr>
          <w:rFonts w:ascii="Calibri" w:hAnsi="Calibri" w:eastAsia="Calibri" w:cs="Calibri"/>
          <w:sz w:val="16"/>
          <w:szCs w:val="16"/>
        </w:rPr>
        <w:t xml:space="preserve">11 </w:t>
      </w:r>
      <w:r>
        <w:rPr>
          <w:rFonts w:ascii="Calibri" w:hAnsi="Calibri" w:eastAsia="Calibri" w:cs="Calibri"/>
          <w:highlight w:val="cyan"/>
          <w:u w:val="single"/>
        </w:rPr>
        <w:t>Injury, with its connotation of human, or at least discernible subjective, responsibility in contrast to “evil,” is the preponderant and fundamental frame for liberal justice</w:t>
      </w:r>
      <w:r>
        <w:rPr>
          <w:rFonts w:ascii="Calibri" w:hAnsi="Calibri" w:eastAsia="Calibri" w:cs="Calibri"/>
          <w:sz w:val="16"/>
          <w:szCs w:val="16"/>
        </w:rPr>
        <w:t xml:space="preserve">. The interconnections between autonomy, subjectivity, injury, representation, rights, and justice repeatedly reveal that a sensibility regarding boundaries, opposition, conflict, pain, and despair permeates all relevant issues in liberalism to this day. Given this, </w:t>
      </w:r>
      <w:r>
        <w:rPr>
          <w:rFonts w:ascii="Calibri" w:hAnsi="Calibri" w:eastAsia="Calibri" w:cs="Calibri"/>
          <w:u w:val="single"/>
        </w:rPr>
        <w:t xml:space="preserve">it is possible that </w:t>
      </w:r>
      <w:r>
        <w:rPr>
          <w:rFonts w:ascii="Calibri" w:hAnsi="Calibri" w:eastAsia="Calibri" w:cs="Calibri"/>
          <w:highlight w:val="cyan"/>
          <w:u w:val="single"/>
        </w:rPr>
        <w:t>liberalism’s rational autonomous individual is more than a consequence of forgetting the horrors within which the ideology arose and within which it lives</w:t>
      </w:r>
      <w:r>
        <w:rPr>
          <w:rFonts w:ascii="Calibri" w:hAnsi="Calibri" w:eastAsia="Calibri" w:cs="Calibri"/>
          <w:sz w:val="16"/>
          <w:szCs w:val="16"/>
        </w:rPr>
        <w:t xml:space="preserve">, as Shklar alleges. She provides clues to seeing this individual as product of a moral psychology distrustful of the body and its passions. Notions of choice, free will, and autonomy recast the state of passive reaction characterized by fear, tentativeness, and paranoia into a condition that is self-assuringly self-imposed. Perhaps the demon of pain would dissolve into the analgesic of productivity and progress.12 Whose labor produces whose confidence, and whose suffering whose redemption, are questions left to be asked of liberalism. </w:t>
      </w:r>
      <w:r>
        <w:rPr>
          <w:rFonts w:ascii="Calibri" w:hAnsi="Calibri" w:eastAsia="Calibri" w:cs="Calibri"/>
          <w:u w:val="single"/>
        </w:rPr>
        <w:t>Multiple logics orient liberalism to the reality of human suffering. First, is the universalistic domestication of pain and fear into harm and injury and the possessive individualism that frames our relations not only to our own injuries but to others’ as well</w:t>
      </w:r>
      <w:r>
        <w:rPr>
          <w:rFonts w:ascii="Calibri" w:hAnsi="Calibri" w:eastAsia="Calibri" w:cs="Calibri"/>
          <w:sz w:val="16"/>
          <w:szCs w:val="16"/>
        </w:rPr>
        <w:t xml:space="preserve">. </w:t>
      </w:r>
      <w:r>
        <w:rPr>
          <w:rFonts w:ascii="Calibri" w:hAnsi="Calibri" w:eastAsia="Calibri" w:cs="Calibri"/>
          <w:u w:val="single"/>
        </w:rPr>
        <w:t xml:space="preserve">The </w:t>
      </w:r>
      <w:r>
        <w:rPr>
          <w:rFonts w:ascii="Calibri" w:hAnsi="Calibri" w:eastAsia="Calibri" w:cs="Calibri"/>
          <w:highlight w:val="cyan"/>
          <w:u w:val="single"/>
        </w:rPr>
        <w:t>possessive individualism entails that suffering be alienable into injury and the injury be possessed. Liberal structures, whether utilitarian or not, share the conceit that a “natural” economy of pain and pleasure, and of suffering and activity, exists, and that their only role is managing their (re)distribution within society</w:t>
      </w:r>
      <w:r>
        <w:rPr>
          <w:rFonts w:ascii="Calibri" w:hAnsi="Calibri" w:eastAsia="Calibri" w:cs="Calibri"/>
          <w:sz w:val="16"/>
          <w:szCs w:val="16"/>
          <w:highlight w:val="cyan"/>
        </w:rPr>
        <w:t>.</w:t>
      </w:r>
      <w:r>
        <w:rPr>
          <w:rFonts w:ascii="Calibri" w:hAnsi="Calibri" w:eastAsia="Calibri" w:cs="Calibri"/>
          <w:sz w:val="16"/>
          <w:szCs w:val="16"/>
        </w:rPr>
        <w:t xml:space="preserve"> A second logic tells of the key role of tolerance and impartiality in the relations that contain and nourish the </w:t>
      </w:r>
      <w:r>
        <w:rPr>
          <w:rFonts w:ascii="Calibri" w:hAnsi="Calibri" w:eastAsia="Calibri" w:cs="Calibri"/>
          <w:u w:val="single"/>
        </w:rPr>
        <w:t xml:space="preserve">political economy of injury. This economy claims, defines, and affirms its own scarcities </w:t>
      </w:r>
      <w:r>
        <w:rPr>
          <w:rFonts w:ascii="Calibri" w:hAnsi="Calibri" w:eastAsia="Calibri" w:cs="Calibri"/>
          <w:sz w:val="16"/>
          <w:szCs w:val="16"/>
        </w:rPr>
        <w:t xml:space="preserve">(as does any economy). Third, is the logic that strings together the healthy autonomous agent with certain proclivities and capacities, political institutions understood as such agents, and the victim and agent as fixed and polar subjectivities. Fourth, </w:t>
      </w:r>
      <w:r>
        <w:rPr>
          <w:rFonts w:ascii="Calibri" w:hAnsi="Calibri" w:eastAsia="Calibri" w:cs="Calibri"/>
          <w:highlight w:val="cyan"/>
          <w:u w:val="single"/>
        </w:rPr>
        <w:t>a mixture of dogmatic idealism and empiricism actively sunders epistemic and ontic processes in relation to the body that needs, loves, suffers, and acts</w:t>
      </w:r>
      <w:r>
        <w:rPr>
          <w:rFonts w:ascii="Calibri" w:hAnsi="Calibri" w:eastAsia="Calibri" w:cs="Calibri"/>
          <w:sz w:val="16"/>
          <w:szCs w:val="16"/>
          <w:highlight w:val="cyan"/>
        </w:rPr>
        <w:t>.</w:t>
      </w:r>
    </w:p>
    <w:p xmlns:wp14="http://schemas.microsoft.com/office/word/2010/wordml" w:rsidR="00054398" w:rsidP="00054398" w:rsidRDefault="00054398" w14:paraId="271CA723" wp14:textId="77777777">
      <w:pPr>
        <w:rPr>
          <w:rFonts w:ascii="Calibri" w:hAnsi="Calibri" w:eastAsia="Calibri" w:cs="Calibri"/>
          <w:b/>
          <w:highlight w:val="cyan"/>
          <w:u w:val="single"/>
        </w:rPr>
      </w:pPr>
    </w:p>
    <w:p xmlns:wp14="http://schemas.microsoft.com/office/word/2010/wordml" w:rsidR="00054398" w:rsidP="00054398" w:rsidRDefault="00054398" w14:paraId="395748EE" wp14:textId="77777777">
      <w:pPr>
        <w:pStyle w:val="Heading3"/>
      </w:pPr>
      <w:r>
        <w:lastRenderedPageBreak/>
        <w:t>L: Visas--Inclusion</w:t>
      </w:r>
    </w:p>
    <w:p xmlns:wp14="http://schemas.microsoft.com/office/word/2010/wordml" w:rsidR="00054398" w:rsidP="00054398" w:rsidRDefault="00054398" w14:paraId="75FBE423" wp14:textId="77777777">
      <w:pPr>
        <w:jc w:val="center"/>
      </w:pPr>
    </w:p>
    <w:p xmlns:wp14="http://schemas.microsoft.com/office/word/2010/wordml" w:rsidR="00054398" w:rsidP="00054398" w:rsidRDefault="00054398" w14:paraId="2C511347" wp14:textId="77777777">
      <w:pPr>
        <w:pStyle w:val="Heading4"/>
      </w:pPr>
      <w:r>
        <w:t>While extending citizenship and student visas to international students may seem benevolent, it is a well-tested state strategy that enables institutions in the US to simultaneously regulate and affirm elite migrants who could support the US neocolonial mission.</w:t>
      </w:r>
    </w:p>
    <w:p xmlns:wp14="http://schemas.microsoft.com/office/word/2010/wordml" w:rsidR="00054398" w:rsidP="00054398" w:rsidRDefault="00054398" w14:paraId="5ACA7CF5" wp14:textId="77777777">
      <w:pPr>
        <w:rPr>
          <w:sz w:val="20"/>
          <w:szCs w:val="20"/>
        </w:rPr>
      </w:pPr>
      <w:r w:rsidRPr="001710C3">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152]</w:t>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2D3F0BEC" wp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55021EA7" wp14:textId="77777777">
      <w:pPr>
        <w:rPr>
          <w:sz w:val="20"/>
          <w:szCs w:val="20"/>
        </w:rPr>
      </w:pPr>
      <w:r>
        <w:rPr>
          <w:sz w:val="20"/>
          <w:szCs w:val="20"/>
        </w:rPr>
        <w:t xml:space="preserve">As a figure, </w:t>
      </w:r>
      <w:r>
        <w:rPr>
          <w:sz w:val="20"/>
          <w:szCs w:val="20"/>
          <w:u w:val="single"/>
        </w:rPr>
        <w:t>the foreign student was constitutive of academic policy and state policy at the very moment that the U.S. academy and nation-state were undergoing massive expansion.</w:t>
      </w:r>
      <w:r>
        <w:rPr>
          <w:sz w:val="20"/>
          <w:szCs w:val="20"/>
        </w:rPr>
        <w:t xml:space="preserve"> The foreign student was the nexus of several geopolitical formations-war, decolonization, immigration, aca- demic development, Cold War containment, and state development. </w:t>
      </w:r>
      <w:r>
        <w:rPr>
          <w:sz w:val="18"/>
          <w:szCs w:val="18"/>
        </w:rPr>
        <w:t xml:space="preserve">As </w:t>
      </w:r>
      <w:r>
        <w:rPr>
          <w:sz w:val="20"/>
          <w:szCs w:val="20"/>
        </w:rPr>
        <w:t>the preceding chapters have attempted to demonstrate, minority student formations helped to bring academy, state, and capital into an unprece- dented confederacy. To that end, t</w:t>
      </w:r>
      <w:r>
        <w:rPr>
          <w:b/>
          <w:sz w:val="20"/>
          <w:szCs w:val="20"/>
          <w:u w:val="single"/>
        </w:rPr>
        <w:t>he foreign student would become yet another item in the archive that power was assembling, providing the material foundations for producing what would later become an economy of affirmation and regulation around this particular genre of minority difference</w:t>
      </w:r>
      <w:r>
        <w:rPr>
          <w:sz w:val="20"/>
          <w:szCs w:val="20"/>
        </w:rPr>
        <w:t xml:space="preserve">. As foreign student migration, the Kennedy Airlift, the emergence of foreign student advisers, and the Fulbright program illustrate, </w:t>
      </w:r>
      <w:r>
        <w:rPr>
          <w:b/>
          <w:sz w:val="20"/>
          <w:szCs w:val="20"/>
          <w:u w:val="single"/>
        </w:rPr>
        <w:t>the foreign student would become the muse of statecraft and academic bureaucracy, a personage that would later on become part of a new strategic situation built around the simultaneous regulation and affirmation of the minor and the foreign</w:t>
      </w:r>
      <w:r>
        <w:rPr>
          <w:sz w:val="20"/>
          <w:szCs w:val="20"/>
        </w:rPr>
        <w:t xml:space="preserve">. </w:t>
      </w:r>
      <w:r>
        <w:rPr>
          <w:b/>
          <w:sz w:val="20"/>
          <w:szCs w:val="20"/>
          <w:u w:val="single"/>
        </w:rPr>
        <w:t>The institutional changes motivated by and productive of international student migration would help make elite migrants, in particular, part of the pageantry of minoritized subjects who could purportedly replen- ish American institutions as domains affirming national culture and independence</w:t>
      </w:r>
      <w:r>
        <w:rPr>
          <w:sz w:val="20"/>
          <w:szCs w:val="20"/>
        </w:rPr>
        <w:t xml:space="preserve">, obscuring the ways in which foreign peoples and communities were articles not only for affirmation but for regulation as well. </w:t>
      </w:r>
    </w:p>
    <w:p xmlns:wp14="http://schemas.microsoft.com/office/word/2010/wordml" w:rsidR="00054398" w:rsidP="00054398" w:rsidRDefault="00054398" w14:paraId="75CF4315" wp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3CB648E9" wp14:textId="77777777"/>
    <w:p xmlns:wp14="http://schemas.microsoft.com/office/word/2010/wordml" w:rsidR="00054398" w:rsidP="00054398" w:rsidRDefault="00054398" w14:paraId="72DD5612" wp14:textId="77777777">
      <w:pPr>
        <w:pStyle w:val="Heading3"/>
      </w:pPr>
      <w:r>
        <w:lastRenderedPageBreak/>
        <w:t>I: Multicultural Capitalism</w:t>
      </w:r>
    </w:p>
    <w:p xmlns:wp14="http://schemas.microsoft.com/office/word/2010/wordml" w:rsidR="00054398" w:rsidP="00054398" w:rsidRDefault="00054398" w14:paraId="6CAE5BE0" wp14:textId="77777777">
      <w:pPr>
        <w:pStyle w:val="Heading4"/>
      </w:pPr>
      <w:r>
        <w:t>The advent of multiculturalism enables the broadened capacities of state regulatory regimes that represent antiracist ideals while simultaneously concealing material inequalities and writing newly included minorities as local, parochial, and undeveloped. This justifies transnational capitalism and turns the aff.</w:t>
      </w:r>
    </w:p>
    <w:p xmlns:wp14="http://schemas.microsoft.com/office/word/2010/wordml" w:rsidR="00054398" w:rsidP="00054398" w:rsidRDefault="00054398" w14:paraId="4946A27D" wp14:textId="77777777">
      <w:pPr>
        <w:rPr>
          <w:sz w:val="20"/>
          <w:szCs w:val="20"/>
        </w:rPr>
      </w:pPr>
      <w:r w:rsidRPr="001710C3">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189-190]</w:t>
      </w:r>
    </w:p>
    <w:p xmlns:wp14="http://schemas.microsoft.com/office/word/2010/wordml" w:rsidR="00054398" w:rsidP="00054398" w:rsidRDefault="00054398" w14:paraId="0C178E9E" wp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19B64AD1" wp14:textId="77777777">
      <w:pPr>
        <w:rPr>
          <w:sz w:val="20"/>
          <w:szCs w:val="20"/>
          <w:u w:val="single"/>
        </w:rPr>
      </w:pPr>
      <w:r>
        <w:rPr>
          <w:sz w:val="18"/>
          <w:szCs w:val="18"/>
        </w:rPr>
        <w:t xml:space="preserve">Yet, </w:t>
      </w:r>
      <w:r>
        <w:rPr>
          <w:b/>
          <w:sz w:val="20"/>
          <w:szCs w:val="20"/>
          <w:u w:val="single"/>
        </w:rPr>
        <w:t>with the widening of state and civil society's capacities for identification came the expansion of regulatory regimes</w:t>
      </w:r>
      <w:r>
        <w:rPr>
          <w:sz w:val="20"/>
          <w:szCs w:val="20"/>
        </w:rPr>
        <w:t xml:space="preserve">. </w:t>
      </w:r>
      <w:r>
        <w:rPr>
          <w:b/>
          <w:sz w:val="20"/>
          <w:szCs w:val="20"/>
          <w:u w:val="single"/>
        </w:rPr>
        <w:t xml:space="preserve">As those various movements helped </w:t>
      </w:r>
      <w:r>
        <w:rPr>
          <w:b/>
          <w:sz w:val="16"/>
          <w:szCs w:val="16"/>
          <w:u w:val="single"/>
        </w:rPr>
        <w:t xml:space="preserve">to </w:t>
      </w:r>
      <w:r>
        <w:rPr>
          <w:b/>
          <w:sz w:val="20"/>
          <w:szCs w:val="20"/>
          <w:u w:val="single"/>
        </w:rPr>
        <w:t>enter minoritized and colonized cultures into social articulation, minority culture and difference also became items for the development of a new phase of global capital, a phase that would engage elite minorities as its facilitators.</w:t>
      </w:r>
      <w:r>
        <w:rPr>
          <w:sz w:val="20"/>
          <w:szCs w:val="20"/>
        </w:rPr>
        <w:t xml:space="preserve"> In this context,</w:t>
      </w:r>
      <w:r>
        <w:rPr>
          <w:sz w:val="20"/>
          <w:szCs w:val="20"/>
          <w:u w:val="single"/>
        </w:rPr>
        <w:t xml:space="preserve"> </w:t>
      </w:r>
      <w:r>
        <w:rPr>
          <w:b/>
          <w:sz w:val="20"/>
          <w:szCs w:val="20"/>
          <w:u w:val="single"/>
        </w:rPr>
        <w:t>minoritized subjects and practices would enter on the condition that they be regulated, making state and academy within the years after civil rights contradictory sites that claimed demo- cratic representation at the same time that they disciplined minoritized sub- jects as local, parochial, and undeveloped constituencies or as the fragile embodiments of canonical and state ideals.</w:t>
      </w:r>
      <w:r>
        <w:rPr>
          <w:sz w:val="20"/>
          <w:szCs w:val="20"/>
          <w:u w:val="single"/>
        </w:rPr>
        <w:t xml:space="preserve"> </w:t>
      </w:r>
      <w:r>
        <w:rPr>
          <w:sz w:val="20"/>
          <w:szCs w:val="20"/>
        </w:rPr>
        <w:t xml:space="preserve">The entrance of minoritized subjects into the academy, the rise of ethnic and women's studies depart-ments, and the emergence of multiculturalism were part of a context geared toward the development of regimes of identification, incorporation, and regulation, developments that ensured that all things organized in the name of minority difference- people, programs, departments, and centers-would be subject to an ever-present danger. In her book </w:t>
      </w:r>
      <w:r>
        <w:rPr>
          <w:i/>
          <w:sz w:val="20"/>
          <w:szCs w:val="20"/>
        </w:rPr>
        <w:t xml:space="preserve">Represent and Destroy: Rationalizing Violence in the New Racial Capitalism, </w:t>
      </w:r>
      <w:r>
        <w:rPr>
          <w:sz w:val="20"/>
          <w:szCs w:val="20"/>
        </w:rPr>
        <w:t xml:space="preserve">Jodi Melamed argues that </w:t>
      </w:r>
      <w:r>
        <w:rPr>
          <w:b/>
          <w:sz w:val="20"/>
          <w:szCs w:val="20"/>
          <w:u w:val="single"/>
        </w:rPr>
        <w:t xml:space="preserve">the period in which regimes of identification, incorporation, and regulation developed was one in which the </w:t>
      </w:r>
      <w:r>
        <w:rPr>
          <w:b/>
          <w:sz w:val="26"/>
          <w:szCs w:val="26"/>
          <w:u w:val="single"/>
        </w:rPr>
        <w:t xml:space="preserve">u.s. </w:t>
      </w:r>
      <w:r>
        <w:rPr>
          <w:b/>
          <w:sz w:val="20"/>
          <w:szCs w:val="20"/>
          <w:u w:val="single"/>
        </w:rPr>
        <w:t xml:space="preserve">nation-state attempted to absorb antiracism into the state's machin- ery. </w:t>
      </w:r>
      <w:r>
        <w:rPr>
          <w:sz w:val="20"/>
          <w:szCs w:val="20"/>
        </w:rPr>
        <w:t xml:space="preserve">According to Melamed, the </w:t>
      </w:r>
      <w:r>
        <w:t xml:space="preserve">U.s. </w:t>
      </w:r>
      <w:r>
        <w:rPr>
          <w:sz w:val="20"/>
          <w:szCs w:val="20"/>
        </w:rPr>
        <w:t xml:space="preserve">nation-state's engagement with official antiracism began in the 1940s and lasts until the present day, and before World War II, "white supremacy justified economic inequality within the </w:t>
      </w:r>
      <w:r>
        <w:t xml:space="preserve">U.s. </w:t>
      </w:r>
      <w:r>
        <w:rPr>
          <w:sz w:val="20"/>
          <w:szCs w:val="20"/>
        </w:rPr>
        <w:t xml:space="preserve">and European nations and between colonizers and their colonies." After World War II, </w:t>
      </w:r>
      <w:r>
        <w:rPr>
          <w:b/>
          <w:sz w:val="20"/>
          <w:szCs w:val="20"/>
          <w:u w:val="single"/>
        </w:rPr>
        <w:t>U.S. global ascendancy and leadership for transnational capitalism required new strategies that "[construed] and [calculated] dif- ference in ways that represent and settle social conflict on liberal capital-ist political terrains that conceal material inequalities.</w:t>
      </w:r>
      <w:r>
        <w:rPr>
          <w:sz w:val="18"/>
          <w:szCs w:val="18"/>
        </w:rPr>
        <w:t xml:space="preserve">"23 </w:t>
      </w:r>
      <w:r>
        <w:rPr>
          <w:sz w:val="20"/>
          <w:szCs w:val="20"/>
        </w:rPr>
        <w:t>Discussing the years from 1970 to 1990 and the state's incorporation of antiracist social movements, she states: "</w:t>
      </w:r>
      <w:r>
        <w:rPr>
          <w:sz w:val="20"/>
          <w:szCs w:val="20"/>
          <w:u w:val="single"/>
        </w:rPr>
        <w:t>[Liberal] multiculturalism would incorporate and abstract the anti-racist materialisms of the new race-based movements</w:t>
      </w:r>
      <w:r>
        <w:rPr>
          <w:sz w:val="20"/>
          <w:szCs w:val="20"/>
        </w:rPr>
        <w:t xml:space="preserve">. Liberal multiculturalism would likewise deploy literary discourse as a cul- tural technology to make anti-racist knowledges productive for the next phases of capitalism development."24 </w:t>
      </w:r>
      <w:r>
        <w:rPr>
          <w:sz w:val="20"/>
          <w:szCs w:val="20"/>
          <w:u w:val="single"/>
        </w:rPr>
        <w:t>Liberal multiculturalism would signal the moment in which state and capital would use antiracism to forestall the redistribution of resources to economically and racially disfranchised communities.</w:t>
      </w:r>
      <w:r>
        <w:rPr>
          <w:sz w:val="20"/>
          <w:szCs w:val="20"/>
        </w:rPr>
        <w:t xml:space="preserve"> </w:t>
      </w:r>
      <w:r>
        <w:rPr>
          <w:sz w:val="20"/>
          <w:szCs w:val="20"/>
          <w:u w:val="single"/>
        </w:rPr>
        <w:t xml:space="preserve">In this moment of liberal multiculturalism, redistribution would be dismantled while minority difference wore the garb of indepen- dence and realization. </w:t>
      </w:r>
    </w:p>
    <w:p xmlns:wp14="http://schemas.microsoft.com/office/word/2010/wordml" w:rsidR="00054398" w:rsidP="00054398" w:rsidRDefault="00054398" w14:paraId="3C0395D3" wp14:textId="77777777">
      <w:pPr>
        <w:rPr>
          <w:sz w:val="20"/>
          <w:szCs w:val="20"/>
        </w:rPr>
      </w:pPr>
    </w:p>
    <w:p xmlns:wp14="http://schemas.microsoft.com/office/word/2010/wordml" w:rsidR="00054398" w:rsidP="00054398" w:rsidRDefault="00054398" w14:paraId="3254BC2F" wp14:textId="77777777">
      <w:pPr>
        <w:rPr>
          <w:sz w:val="20"/>
          <w:szCs w:val="20"/>
        </w:rPr>
      </w:pPr>
    </w:p>
    <w:p xmlns:wp14="http://schemas.microsoft.com/office/word/2010/wordml" w:rsidR="00054398" w:rsidP="00054398" w:rsidRDefault="00054398" w14:paraId="651E9592" wp14:textId="77777777">
      <w:pPr>
        <w:rPr>
          <w:sz w:val="20"/>
          <w:szCs w:val="20"/>
        </w:rPr>
      </w:pPr>
    </w:p>
    <w:p xmlns:wp14="http://schemas.microsoft.com/office/word/2010/wordml" w:rsidR="00054398" w:rsidP="00054398" w:rsidRDefault="00054398" w14:paraId="269E314A" wp14:textId="77777777">
      <w:pPr>
        <w:rPr>
          <w:sz w:val="20"/>
          <w:szCs w:val="20"/>
        </w:rPr>
      </w:pPr>
    </w:p>
    <w:p xmlns:wp14="http://schemas.microsoft.com/office/word/2010/wordml" w:rsidR="00054398" w:rsidP="00054398" w:rsidRDefault="00054398" w14:paraId="47341341" wp14:textId="77777777">
      <w:pPr>
        <w:rPr>
          <w:sz w:val="20"/>
          <w:szCs w:val="20"/>
        </w:rPr>
      </w:pPr>
    </w:p>
    <w:p xmlns:wp14="http://schemas.microsoft.com/office/word/2010/wordml" w:rsidR="00054398" w:rsidP="00054398" w:rsidRDefault="00054398" w14:paraId="6C97994D" wp14:textId="77777777">
      <w:pPr>
        <w:pStyle w:val="Heading2"/>
      </w:pPr>
      <w:r>
        <w:lastRenderedPageBreak/>
        <w:t>Alternatives/Framings</w:t>
      </w:r>
    </w:p>
    <w:p xmlns:wp14="http://schemas.microsoft.com/office/word/2010/wordml" w:rsidR="00054398" w:rsidP="00054398" w:rsidRDefault="00054398" w14:paraId="42EF2083" wp14:textId="77777777">
      <w:pPr>
        <w:rPr>
          <w:sz w:val="20"/>
          <w:szCs w:val="20"/>
        </w:rPr>
      </w:pPr>
    </w:p>
    <w:p xmlns:wp14="http://schemas.microsoft.com/office/word/2010/wordml" w:rsidR="00054398" w:rsidP="00054398" w:rsidRDefault="00054398" w14:paraId="6E05EC66" wp14:textId="77777777">
      <w:pPr>
        <w:pStyle w:val="Heading3"/>
      </w:pPr>
      <w:r>
        <w:lastRenderedPageBreak/>
        <w:t>A: OPACITY</w:t>
      </w:r>
    </w:p>
    <w:p xmlns:wp14="http://schemas.microsoft.com/office/word/2010/wordml" w:rsidR="00054398" w:rsidP="00054398" w:rsidRDefault="00054398" w14:paraId="7B40C951" wp14:textId="77777777">
      <w:pPr>
        <w:jc w:val="center"/>
        <w:rPr>
          <w:sz w:val="20"/>
          <w:szCs w:val="20"/>
        </w:rPr>
      </w:pPr>
    </w:p>
    <w:p xmlns:wp14="http://schemas.microsoft.com/office/word/2010/wordml" w:rsidR="00054398" w:rsidP="00054398" w:rsidRDefault="00054398" w14:paraId="1AD9C64D" wp14:textId="77777777">
      <w:pPr>
        <w:pStyle w:val="Heading4"/>
        <w:rPr>
          <w:rFonts w:eastAsia="Calibri"/>
        </w:rPr>
      </w:pPr>
      <w:bookmarkStart w:name="_c32hysn9bk2s" w:colFirst="0" w:colLast="0" w:id="17"/>
      <w:bookmarkEnd w:id="17"/>
      <w:r>
        <w:rPr>
          <w:rFonts w:eastAsia="Calibri"/>
        </w:rPr>
        <w:t>Imperceptible refusals are the only outside of policing-- disidentification from the existing political order produces opaque strategies that refuse the current regime of control and fracture the logic of the cops. Escape is the heart of social transformation.</w:t>
      </w:r>
    </w:p>
    <w:p xmlns:wp14="http://schemas.microsoft.com/office/word/2010/wordml" w:rsidR="00054398" w:rsidP="00054398" w:rsidRDefault="00054398" w14:paraId="29F698AF" wp14:textId="77777777">
      <w:pPr>
        <w:rPr>
          <w:rFonts w:ascii="Calibri" w:hAnsi="Calibri" w:eastAsia="Calibri" w:cs="Calibri"/>
        </w:rPr>
      </w:pPr>
      <w:r w:rsidRPr="001710C3">
        <w:rPr>
          <w:rStyle w:val="Style13ptBold"/>
        </w:rPr>
        <w:t>Papadopoulos et al. 8</w:t>
      </w:r>
      <w:r>
        <w:rPr>
          <w:rFonts w:ascii="Calibri" w:hAnsi="Calibri" w:eastAsia="Calibri" w:cs="Calibri"/>
        </w:rPr>
        <w:t xml:space="preserve"> (Dmitris – Reader in Sociology and Organisation at the University of Leicester, Niamh Stephenson – teaches social science at the University of New South Wales, and Vassilis Tsianos – teaches sociology at the University of Hamburg, Germany, </w:t>
      </w:r>
      <w:r>
        <w:rPr>
          <w:rFonts w:ascii="Calibri" w:hAnsi="Calibri" w:eastAsia="Calibri" w:cs="Calibri"/>
          <w:i/>
        </w:rPr>
        <w:t>Escape Routes: Control and Subversion in the Twenty-First Century</w:t>
      </w:r>
      <w:r>
        <w:rPr>
          <w:rFonts w:ascii="Calibri" w:hAnsi="Calibri" w:eastAsia="Calibri" w:cs="Calibri"/>
        </w:rPr>
        <w:t>, p. 69-70)</w:t>
      </w:r>
    </w:p>
    <w:p xmlns:wp14="http://schemas.microsoft.com/office/word/2010/wordml" w:rsidR="00054398" w:rsidP="00054398" w:rsidRDefault="00054398" w14:paraId="253BB449" wp14:textId="77777777">
      <w:pPr>
        <w:rPr>
          <w:rFonts w:ascii="Calibri" w:hAnsi="Calibri" w:eastAsia="Calibri" w:cs="Calibri"/>
          <w:sz w:val="14"/>
          <w:szCs w:val="14"/>
        </w:rPr>
      </w:pPr>
      <w:r>
        <w:rPr>
          <w:rFonts w:ascii="Calibri" w:hAnsi="Calibri" w:eastAsia="Calibri" w:cs="Calibri"/>
          <w:b/>
          <w:highlight w:val="green"/>
          <w:u w:val="single"/>
        </w:rPr>
        <w:t>To escape policing and start doing politics necessitates dis-identification</w:t>
      </w:r>
      <w:r>
        <w:rPr>
          <w:rFonts w:ascii="Calibri" w:hAnsi="Calibri" w:eastAsia="Calibri" w:cs="Calibri"/>
          <w:sz w:val="14"/>
          <w:szCs w:val="14"/>
        </w:rPr>
        <w:t xml:space="preserve"> - </w:t>
      </w:r>
      <w:r>
        <w:rPr>
          <w:rFonts w:ascii="Calibri" w:hAnsi="Calibri" w:eastAsia="Calibri" w:cs="Calibri"/>
          <w:highlight w:val="green"/>
          <w:u w:val="single"/>
        </w:rPr>
        <w:t>the refusal of assigned</w:t>
      </w:r>
      <w:r>
        <w:rPr>
          <w:rFonts w:ascii="Calibri" w:hAnsi="Calibri" w:eastAsia="Calibri" w:cs="Calibri"/>
          <w:sz w:val="16"/>
          <w:szCs w:val="16"/>
        </w:rPr>
        <w:t xml:space="preserve">, </w:t>
      </w:r>
      <w:r>
        <w:rPr>
          <w:rFonts w:ascii="Calibri" w:hAnsi="Calibri" w:eastAsia="Calibri" w:cs="Calibri"/>
          <w:highlight w:val="green"/>
          <w:u w:val="single"/>
        </w:rPr>
        <w:t>proper places for participation</w:t>
      </w:r>
      <w:r>
        <w:rPr>
          <w:rFonts w:ascii="Calibri" w:hAnsi="Calibri" w:eastAsia="Calibri" w:cs="Calibri"/>
          <w:sz w:val="14"/>
          <w:szCs w:val="14"/>
        </w:rPr>
        <w:t xml:space="preserve"> in society. As indicated earlier, </w:t>
      </w:r>
      <w:r>
        <w:rPr>
          <w:rFonts w:ascii="Calibri" w:hAnsi="Calibri" w:eastAsia="Calibri" w:cs="Calibri"/>
          <w:u w:val="single"/>
        </w:rPr>
        <w:t>escape</w:t>
      </w:r>
      <w:r>
        <w:rPr>
          <w:rFonts w:ascii="Calibri" w:hAnsi="Calibri" w:eastAsia="Calibri" w:cs="Calibri"/>
          <w:sz w:val="14"/>
          <w:szCs w:val="14"/>
        </w:rPr>
        <w:t xml:space="preserve"> functions not as a form of exile, nor as mere opposition or protest, but as an interval which </w:t>
      </w:r>
      <w:r>
        <w:rPr>
          <w:rFonts w:ascii="Calibri" w:hAnsi="Calibri" w:eastAsia="Calibri" w:cs="Calibri"/>
          <w:u w:val="single"/>
        </w:rPr>
        <w:t>interrupts everyday policing</w:t>
      </w:r>
      <w:r>
        <w:rPr>
          <w:rFonts w:ascii="Calibri" w:hAnsi="Calibri" w:eastAsia="Calibri" w:cs="Calibri"/>
          <w:sz w:val="14"/>
          <w:szCs w:val="14"/>
        </w:rPr>
        <w:t xml:space="preserve"> (Ranciere, 1998). </w:t>
      </w:r>
      <w:r>
        <w:rPr>
          <w:rFonts w:ascii="Calibri" w:hAnsi="Calibri" w:eastAsia="Calibri" w:cs="Calibri"/>
          <w:highlight w:val="green"/>
          <w:u w:val="single"/>
        </w:rPr>
        <w:t>Political disputes</w:t>
      </w:r>
      <w:r>
        <w:rPr>
          <w:rFonts w:ascii="Calibri" w:hAnsi="Calibri" w:eastAsia="Calibri" w:cs="Calibri"/>
          <w:sz w:val="14"/>
          <w:szCs w:val="14"/>
        </w:rPr>
        <w:t xml:space="preserve"> - as distinct from disputes over policing - </w:t>
      </w:r>
      <w:r>
        <w:rPr>
          <w:rFonts w:ascii="Calibri" w:hAnsi="Calibri" w:eastAsia="Calibri" w:cs="Calibri"/>
          <w:u w:val="single"/>
        </w:rPr>
        <w:t>are not concerned with rights or representation or with the construction of a majoritarian position</w:t>
      </w:r>
      <w:r>
        <w:rPr>
          <w:rFonts w:ascii="Calibri" w:hAnsi="Calibri" w:eastAsia="Calibri" w:cs="Calibri"/>
          <w:sz w:val="14"/>
          <w:szCs w:val="14"/>
        </w:rPr>
        <w:t xml:space="preserve"> in the political arena. </w:t>
      </w:r>
      <w:r>
        <w:rPr>
          <w:rFonts w:ascii="Calibri" w:hAnsi="Calibri" w:eastAsia="Calibri" w:cs="Calibri"/>
          <w:u w:val="single"/>
        </w:rPr>
        <w:t>They are not even disputes over the terms of inclusion or the features of a minority</w:t>
      </w:r>
      <w:r>
        <w:rPr>
          <w:rFonts w:ascii="Calibri" w:hAnsi="Calibri" w:eastAsia="Calibri" w:cs="Calibri"/>
          <w:sz w:val="14"/>
          <w:szCs w:val="14"/>
        </w:rPr>
        <w:t xml:space="preserve">. </w:t>
      </w:r>
      <w:r>
        <w:rPr>
          <w:rFonts w:ascii="Calibri" w:hAnsi="Calibri" w:eastAsia="Calibri" w:cs="Calibri"/>
          <w:u w:val="single"/>
        </w:rPr>
        <w:t>They occur prior to inclusion</w:t>
      </w:r>
      <w:r>
        <w:rPr>
          <w:rFonts w:ascii="Calibri" w:hAnsi="Calibri" w:eastAsia="Calibri" w:cs="Calibri"/>
          <w:sz w:val="14"/>
          <w:szCs w:val="14"/>
        </w:rPr>
        <w:t xml:space="preserve">, beyond the terms of the double-R axiom, beyond the majority-minority duality. </w:t>
      </w:r>
      <w:r>
        <w:rPr>
          <w:rFonts w:ascii="Calibri" w:hAnsi="Calibri" w:eastAsia="Calibri" w:cs="Calibri"/>
          <w:b/>
          <w:u w:val="single"/>
        </w:rPr>
        <w:t xml:space="preserve">They </w:t>
      </w:r>
      <w:r>
        <w:rPr>
          <w:rFonts w:ascii="Calibri" w:hAnsi="Calibri" w:eastAsia="Calibri" w:cs="Calibri"/>
          <w:b/>
          <w:highlight w:val="green"/>
          <w:u w:val="single"/>
        </w:rPr>
        <w:t>are disputes over the existence of those who have no part</w:t>
      </w:r>
      <w:r>
        <w:rPr>
          <w:rFonts w:ascii="Calibri" w:hAnsi="Calibri" w:eastAsia="Calibri" w:cs="Calibri"/>
          <w:sz w:val="14"/>
          <w:szCs w:val="14"/>
        </w:rPr>
        <w:t xml:space="preserve"> (and in this sense they are disputes about justice in a Benjaminian sense of the word, Benjamin, 1996a). </w:t>
      </w:r>
      <w:r>
        <w:rPr>
          <w:rFonts w:ascii="Calibri" w:hAnsi="Calibri" w:eastAsia="Calibri" w:cs="Calibri"/>
          <w:highlight w:val="green"/>
          <w:u w:val="single"/>
        </w:rPr>
        <w:t xml:space="preserve">Politics arises from the </w:t>
      </w:r>
      <w:r>
        <w:rPr>
          <w:rFonts w:ascii="Calibri" w:hAnsi="Calibri" w:eastAsia="Calibri" w:cs="Calibri"/>
          <w:b/>
          <w:highlight w:val="green"/>
          <w:u w:val="single"/>
        </w:rPr>
        <w:t>emergence</w:t>
      </w:r>
      <w:r>
        <w:rPr>
          <w:rFonts w:ascii="Calibri" w:hAnsi="Calibri" w:eastAsia="Calibri" w:cs="Calibri"/>
          <w:highlight w:val="green"/>
          <w:u w:val="single"/>
        </w:rPr>
        <w:t xml:space="preserve"> of the</w:t>
      </w:r>
      <w:r>
        <w:rPr>
          <w:rFonts w:ascii="Calibri" w:hAnsi="Calibri" w:eastAsia="Calibri" w:cs="Calibri"/>
          <w:sz w:val="14"/>
          <w:szCs w:val="14"/>
        </w:rPr>
        <w:t xml:space="preserve"> miscounted, the </w:t>
      </w:r>
      <w:r>
        <w:rPr>
          <w:rFonts w:ascii="Calibri" w:hAnsi="Calibri" w:eastAsia="Calibri" w:cs="Calibri"/>
          <w:b/>
          <w:highlight w:val="green"/>
          <w:u w:val="single"/>
        </w:rPr>
        <w:t>imperceptible</w:t>
      </w:r>
      <w:r>
        <w:rPr>
          <w:rFonts w:ascii="Calibri" w:hAnsi="Calibri" w:eastAsia="Calibri" w:cs="Calibri"/>
          <w:sz w:val="14"/>
          <w:szCs w:val="14"/>
        </w:rPr>
        <w:t xml:space="preserve">, </w:t>
      </w:r>
      <w:r>
        <w:rPr>
          <w:rFonts w:ascii="Calibri" w:hAnsi="Calibri" w:eastAsia="Calibri" w:cs="Calibri"/>
          <w:u w:val="single"/>
        </w:rPr>
        <w:t>those who have no place within the normalising organisation of the social realm</w:t>
      </w:r>
      <w:r>
        <w:rPr>
          <w:rFonts w:ascii="Calibri" w:hAnsi="Calibri" w:eastAsia="Calibri" w:cs="Calibri"/>
          <w:sz w:val="14"/>
          <w:szCs w:val="14"/>
        </w:rPr>
        <w:t xml:space="preserve">. </w:t>
      </w:r>
      <w:r>
        <w:rPr>
          <w:rFonts w:ascii="Calibri" w:hAnsi="Calibri" w:eastAsia="Calibri" w:cs="Calibri"/>
          <w:highlight w:val="green"/>
          <w:u w:val="single"/>
        </w:rPr>
        <w:t>The refusal of representation is</w:t>
      </w:r>
      <w:r>
        <w:rPr>
          <w:rFonts w:ascii="Calibri" w:hAnsi="Calibri" w:eastAsia="Calibri" w:cs="Calibri"/>
          <w:u w:val="single"/>
        </w:rPr>
        <w:t xml:space="preserve"> a way of introducing </w:t>
      </w:r>
      <w:r>
        <w:rPr>
          <w:rFonts w:ascii="Calibri" w:hAnsi="Calibri" w:eastAsia="Calibri" w:cs="Calibri"/>
          <w:highlight w:val="green"/>
          <w:u w:val="single"/>
        </w:rPr>
        <w:t xml:space="preserve">the part </w:t>
      </w:r>
      <w:r>
        <w:rPr>
          <w:rFonts w:ascii="Calibri" w:hAnsi="Calibri" w:eastAsia="Calibri" w:cs="Calibri"/>
          <w:u w:val="single"/>
        </w:rPr>
        <w:t xml:space="preserve">which is </w:t>
      </w:r>
      <w:r>
        <w:rPr>
          <w:rFonts w:ascii="Calibri" w:hAnsi="Calibri" w:eastAsia="Calibri" w:cs="Calibri"/>
          <w:highlight w:val="green"/>
          <w:u w:val="single"/>
        </w:rPr>
        <w:t>outside of policing</w:t>
      </w:r>
      <w:r>
        <w:rPr>
          <w:rFonts w:ascii="Calibri" w:hAnsi="Calibri" w:eastAsia="Calibri" w:cs="Calibri"/>
          <w:sz w:val="14"/>
          <w:szCs w:val="14"/>
        </w:rPr>
        <w:t xml:space="preserve">, which is </w:t>
      </w:r>
      <w:r>
        <w:rPr>
          <w:rFonts w:ascii="Calibri" w:hAnsi="Calibri" w:eastAsia="Calibri" w:cs="Calibri"/>
          <w:u w:val="single"/>
        </w:rPr>
        <w:t>not a part of community</w:t>
      </w:r>
      <w:r>
        <w:rPr>
          <w:rFonts w:ascii="Calibri" w:hAnsi="Calibri" w:eastAsia="Calibri" w:cs="Calibri"/>
          <w:sz w:val="14"/>
          <w:szCs w:val="14"/>
        </w:rPr>
        <w:t xml:space="preserve">, which is </w:t>
      </w:r>
      <w:r>
        <w:rPr>
          <w:rFonts w:ascii="Calibri" w:hAnsi="Calibri" w:eastAsia="Calibri" w:cs="Calibri"/>
          <w:u w:val="single"/>
        </w:rPr>
        <w:t>neither a minority nor intends to be included within the majority</w:t>
      </w:r>
      <w:r>
        <w:rPr>
          <w:rFonts w:ascii="Calibri" w:hAnsi="Calibri" w:eastAsia="Calibri" w:cs="Calibri"/>
          <w:sz w:val="14"/>
          <w:szCs w:val="14"/>
        </w:rPr>
        <w:t xml:space="preserve">. </w:t>
      </w:r>
      <w:r>
        <w:rPr>
          <w:rFonts w:ascii="Calibri" w:hAnsi="Calibri" w:eastAsia="Calibri" w:cs="Calibri"/>
          <w:b/>
          <w:highlight w:val="green"/>
          <w:u w:val="single"/>
        </w:rPr>
        <w:t>Outside politics is the way to escape the controlling and repressive force of contemporary politics</w:t>
      </w:r>
      <w:r>
        <w:rPr>
          <w:rFonts w:ascii="Calibri" w:hAnsi="Calibri" w:eastAsia="Calibri" w:cs="Calibri"/>
          <w:sz w:val="14"/>
          <w:szCs w:val="14"/>
        </w:rPr>
        <w:t xml:space="preserve"> (that is of contemporary policing); or else it is </w:t>
      </w:r>
      <w:r>
        <w:rPr>
          <w:rFonts w:ascii="Calibri" w:hAnsi="Calibri" w:eastAsia="Calibri" w:cs="Calibri"/>
          <w:highlight w:val="green"/>
          <w:u w:val="single"/>
        </w:rPr>
        <w:t>a way to change our</w:t>
      </w:r>
      <w:r>
        <w:rPr>
          <w:rFonts w:ascii="Calibri" w:hAnsi="Calibri" w:eastAsia="Calibri" w:cs="Calibri"/>
          <w:u w:val="single"/>
        </w:rPr>
        <w:t xml:space="preserve"> senses, our habits, our </w:t>
      </w:r>
      <w:r>
        <w:rPr>
          <w:rFonts w:ascii="Calibri" w:hAnsi="Calibri" w:eastAsia="Calibri" w:cs="Calibri"/>
          <w:highlight w:val="green"/>
          <w:u w:val="single"/>
        </w:rPr>
        <w:t>practices in order to experiment together with those who have no part</w:t>
      </w:r>
      <w:r>
        <w:rPr>
          <w:rFonts w:ascii="Calibri" w:hAnsi="Calibri" w:eastAsia="Calibri" w:cs="Calibri"/>
          <w:sz w:val="14"/>
          <w:szCs w:val="14"/>
        </w:rPr>
        <w:t xml:space="preserve">, </w:t>
      </w:r>
      <w:r>
        <w:rPr>
          <w:rFonts w:ascii="Calibri" w:hAnsi="Calibri" w:eastAsia="Calibri" w:cs="Calibri"/>
          <w:highlight w:val="green"/>
          <w:u w:val="single"/>
        </w:rPr>
        <w:t>instead of attempting to include them into the</w:t>
      </w:r>
      <w:r>
        <w:rPr>
          <w:rFonts w:ascii="Calibri" w:hAnsi="Calibri" w:eastAsia="Calibri" w:cs="Calibri"/>
          <w:u w:val="single"/>
        </w:rPr>
        <w:t xml:space="preserve"> current </w:t>
      </w:r>
      <w:r>
        <w:rPr>
          <w:rFonts w:ascii="Calibri" w:hAnsi="Calibri" w:eastAsia="Calibri" w:cs="Calibri"/>
          <w:highlight w:val="green"/>
          <w:u w:val="single"/>
        </w:rPr>
        <w:t>regime of control</w:t>
      </w:r>
      <w:r>
        <w:rPr>
          <w:rFonts w:ascii="Calibri" w:hAnsi="Calibri" w:eastAsia="Calibri" w:cs="Calibri"/>
          <w:sz w:val="14"/>
          <w:szCs w:val="14"/>
        </w:rPr>
        <w:t xml:space="preserve">. </w:t>
      </w:r>
      <w:r>
        <w:rPr>
          <w:rFonts w:ascii="Calibri" w:hAnsi="Calibri" w:eastAsia="Calibri" w:cs="Calibri"/>
          <w:b/>
          <w:highlight w:val="green"/>
          <w:u w:val="single"/>
        </w:rPr>
        <w:t>This</w:t>
      </w:r>
      <w:r>
        <w:rPr>
          <w:rFonts w:ascii="Calibri" w:hAnsi="Calibri" w:eastAsia="Calibri" w:cs="Calibri"/>
          <w:sz w:val="14"/>
          <w:szCs w:val="14"/>
        </w:rPr>
        <w:t xml:space="preserve"> emergence </w:t>
      </w:r>
      <w:r>
        <w:rPr>
          <w:rFonts w:ascii="Calibri" w:hAnsi="Calibri" w:eastAsia="Calibri" w:cs="Calibri"/>
          <w:b/>
          <w:highlight w:val="green"/>
          <w:u w:val="single"/>
        </w:rPr>
        <w:t>fractures normalising</w:t>
      </w:r>
      <w:r>
        <w:rPr>
          <w:rFonts w:ascii="Calibri" w:hAnsi="Calibri" w:eastAsia="Calibri" w:cs="Calibri"/>
          <w:sz w:val="14"/>
          <w:szCs w:val="14"/>
        </w:rPr>
        <w:t xml:space="preserve">, </w:t>
      </w:r>
      <w:r>
        <w:rPr>
          <w:rFonts w:ascii="Calibri" w:hAnsi="Calibri" w:eastAsia="Calibri" w:cs="Calibri"/>
          <w:b/>
          <w:highlight w:val="green"/>
          <w:u w:val="single"/>
        </w:rPr>
        <w:t>police logic</w:t>
      </w:r>
      <w:r>
        <w:rPr>
          <w:rFonts w:ascii="Calibri" w:hAnsi="Calibri" w:eastAsia="Calibri" w:cs="Calibri"/>
          <w:sz w:val="14"/>
          <w:szCs w:val="14"/>
        </w:rPr>
        <w:t xml:space="preserve">. </w:t>
      </w:r>
      <w:r>
        <w:rPr>
          <w:rFonts w:ascii="Calibri" w:hAnsi="Calibri" w:eastAsia="Calibri" w:cs="Calibri"/>
          <w:u w:val="single"/>
        </w:rPr>
        <w:t>It refigures the perceptible</w:t>
      </w:r>
      <w:r>
        <w:rPr>
          <w:rFonts w:ascii="Calibri" w:hAnsi="Calibri" w:eastAsia="Calibri" w:cs="Calibri"/>
          <w:sz w:val="14"/>
          <w:szCs w:val="14"/>
        </w:rPr>
        <w:t xml:space="preserve">, </w:t>
      </w:r>
      <w:r>
        <w:rPr>
          <w:rFonts w:ascii="Calibri" w:hAnsi="Calibri" w:eastAsia="Calibri" w:cs="Calibri"/>
          <w:u w:val="single"/>
        </w:rPr>
        <w:t>not so that others can finally recognise one's proper place</w:t>
      </w:r>
      <w:r>
        <w:rPr>
          <w:rFonts w:ascii="Calibri" w:hAnsi="Calibri" w:eastAsia="Calibri" w:cs="Calibri"/>
          <w:sz w:val="14"/>
          <w:szCs w:val="14"/>
        </w:rPr>
        <w:t xml:space="preserve"> in the social order, </w:t>
      </w:r>
      <w:r>
        <w:rPr>
          <w:rFonts w:ascii="Calibri" w:hAnsi="Calibri" w:eastAsia="Calibri" w:cs="Calibri"/>
          <w:u w:val="single"/>
        </w:rPr>
        <w:t>but to make evident the incommensurability of worlds</w:t>
      </w:r>
      <w:r>
        <w:rPr>
          <w:rFonts w:ascii="Calibri" w:hAnsi="Calibri" w:eastAsia="Calibri" w:cs="Calibri"/>
          <w:sz w:val="14"/>
          <w:szCs w:val="14"/>
        </w:rPr>
        <w:t xml:space="preserve">, </w:t>
      </w:r>
      <w:r>
        <w:rPr>
          <w:rFonts w:ascii="Calibri" w:hAnsi="Calibri" w:eastAsia="Calibri" w:cs="Calibri"/>
          <w:u w:val="single"/>
        </w:rPr>
        <w:t>the incommensurability of an existing distribution of bodies and subjectivities with the principle of equality</w:t>
      </w:r>
      <w:r>
        <w:rPr>
          <w:rFonts w:ascii="Calibri" w:hAnsi="Calibri" w:eastAsia="Calibri" w:cs="Calibri"/>
          <w:sz w:val="14"/>
          <w:szCs w:val="14"/>
        </w:rPr>
        <w:t xml:space="preserve">. </w:t>
      </w:r>
      <w:r>
        <w:rPr>
          <w:rFonts w:ascii="Calibri" w:hAnsi="Calibri" w:eastAsia="Calibri" w:cs="Calibri"/>
          <w:u w:val="single"/>
        </w:rPr>
        <w:t>Politics is a refusal of representation</w:t>
      </w:r>
      <w:r>
        <w:rPr>
          <w:rFonts w:ascii="Calibri" w:hAnsi="Calibri" w:eastAsia="Calibri" w:cs="Calibri"/>
          <w:sz w:val="14"/>
          <w:szCs w:val="14"/>
        </w:rPr>
        <w:t xml:space="preserve">. Politics happens beyond, before representation. Outside politics is the materialisation of the attempt to occupy this space outside the controlling force of becoming majoritarian through the process of representation. If we return to our initial question of how people contest control, then we can say that </w:t>
      </w:r>
      <w:r>
        <w:rPr>
          <w:rFonts w:ascii="Calibri" w:hAnsi="Calibri" w:eastAsia="Calibri" w:cs="Calibri"/>
          <w:u w:val="single"/>
        </w:rPr>
        <w:t xml:space="preserve">when </w:t>
      </w:r>
      <w:r>
        <w:rPr>
          <w:rFonts w:ascii="Calibri" w:hAnsi="Calibri" w:eastAsia="Calibri" w:cs="Calibri"/>
          <w:highlight w:val="green"/>
          <w:u w:val="single"/>
        </w:rPr>
        <w:t>regimes of control</w:t>
      </w:r>
      <w:r>
        <w:rPr>
          <w:rFonts w:ascii="Calibri" w:hAnsi="Calibri" w:eastAsia="Calibri" w:cs="Calibri"/>
          <w:u w:val="single"/>
        </w:rPr>
        <w:t xml:space="preserve"> encounter escape they instigate processes of naming and representation</w:t>
      </w:r>
      <w:r>
        <w:rPr>
          <w:rFonts w:ascii="Calibri" w:hAnsi="Calibri" w:eastAsia="Calibri" w:cs="Calibri"/>
          <w:sz w:val="14"/>
          <w:szCs w:val="14"/>
        </w:rPr>
        <w:t xml:space="preserve">. </w:t>
      </w:r>
      <w:r>
        <w:rPr>
          <w:rFonts w:ascii="Calibri" w:hAnsi="Calibri" w:eastAsia="Calibri" w:cs="Calibri"/>
          <w:b/>
          <w:u w:val="single"/>
        </w:rPr>
        <w:t xml:space="preserve">They </w:t>
      </w:r>
      <w:r>
        <w:rPr>
          <w:rFonts w:ascii="Calibri" w:hAnsi="Calibri" w:eastAsia="Calibri" w:cs="Calibri"/>
          <w:b/>
          <w:highlight w:val="green"/>
          <w:u w:val="single"/>
        </w:rPr>
        <w:t>attempt to reinsert escaping subjectivities into the subject-form</w:t>
      </w:r>
      <w:r>
        <w:rPr>
          <w:rFonts w:ascii="Calibri" w:hAnsi="Calibri" w:eastAsia="Calibri" w:cs="Calibri"/>
          <w:sz w:val="14"/>
          <w:szCs w:val="14"/>
        </w:rPr>
        <w:t xml:space="preserve">. </w:t>
      </w:r>
      <w:r>
        <w:rPr>
          <w:rFonts w:ascii="Calibri" w:hAnsi="Calibri" w:eastAsia="Calibri" w:cs="Calibri"/>
          <w:u w:val="single"/>
        </w:rPr>
        <w:t>Outside politics arises as people attempt to evade the imposition of control through their subsumption into the subject-form</w:t>
      </w:r>
      <w:r>
        <w:rPr>
          <w:rFonts w:ascii="Calibri" w:hAnsi="Calibri" w:eastAsia="Calibri" w:cs="Calibri"/>
          <w:sz w:val="14"/>
          <w:szCs w:val="14"/>
        </w:rPr>
        <w:t xml:space="preserve">. This is not an attempt simply to move against or to negate representation. Nor is it a matter of introducing pure potential and imagination in reaction to the constraining power of control. Rather, </w:t>
      </w:r>
      <w:r>
        <w:rPr>
          <w:rFonts w:ascii="Calibri" w:hAnsi="Calibri" w:eastAsia="Calibri" w:cs="Calibri"/>
          <w:u w:val="single"/>
        </w:rPr>
        <w:t>escape is a constructive and creative movement - it is a literal</w:t>
      </w:r>
      <w:r>
        <w:rPr>
          <w:rFonts w:ascii="Calibri" w:hAnsi="Calibri" w:eastAsia="Calibri" w:cs="Calibri"/>
          <w:sz w:val="14"/>
          <w:szCs w:val="14"/>
        </w:rPr>
        <w:t xml:space="preserve">, </w:t>
      </w:r>
      <w:r>
        <w:rPr>
          <w:rFonts w:ascii="Calibri" w:hAnsi="Calibri" w:eastAsia="Calibri" w:cs="Calibri"/>
          <w:u w:val="single"/>
        </w:rPr>
        <w:t>material</w:t>
      </w:r>
      <w:r>
        <w:rPr>
          <w:rFonts w:ascii="Calibri" w:hAnsi="Calibri" w:eastAsia="Calibri" w:cs="Calibri"/>
          <w:sz w:val="14"/>
          <w:szCs w:val="14"/>
        </w:rPr>
        <w:t xml:space="preserve">, </w:t>
      </w:r>
      <w:r>
        <w:rPr>
          <w:rFonts w:ascii="Calibri" w:hAnsi="Calibri" w:eastAsia="Calibri" w:cs="Calibri"/>
          <w:u w:val="single"/>
        </w:rPr>
        <w:t>embodied movement towards something which cannot be named</w:t>
      </w:r>
      <w:r>
        <w:rPr>
          <w:rFonts w:ascii="Calibri" w:hAnsi="Calibri" w:eastAsia="Calibri" w:cs="Calibri"/>
          <w:sz w:val="14"/>
          <w:szCs w:val="14"/>
        </w:rPr>
        <w:t xml:space="preserve">, </w:t>
      </w:r>
      <w:r>
        <w:rPr>
          <w:rFonts w:ascii="Calibri" w:hAnsi="Calibri" w:eastAsia="Calibri" w:cs="Calibri"/>
          <w:u w:val="single"/>
        </w:rPr>
        <w:t>towards something which is fictional</w:t>
      </w:r>
      <w:r>
        <w:rPr>
          <w:rFonts w:ascii="Calibri" w:hAnsi="Calibri" w:eastAsia="Calibri" w:cs="Calibri"/>
          <w:sz w:val="14"/>
          <w:szCs w:val="14"/>
        </w:rPr>
        <w:t xml:space="preserve">. </w:t>
      </w:r>
      <w:r>
        <w:rPr>
          <w:rFonts w:ascii="Calibri" w:hAnsi="Calibri" w:eastAsia="Calibri" w:cs="Calibri"/>
          <w:b/>
          <w:highlight w:val="green"/>
          <w:u w:val="single"/>
        </w:rPr>
        <w:t>Escape is</w:t>
      </w:r>
      <w:r>
        <w:rPr>
          <w:rFonts w:ascii="Calibri" w:hAnsi="Calibri" w:eastAsia="Calibri" w:cs="Calibri"/>
          <w:b/>
          <w:u w:val="single"/>
        </w:rPr>
        <w:t xml:space="preserve"> simultaneously </w:t>
      </w:r>
      <w:r>
        <w:rPr>
          <w:rFonts w:ascii="Calibri" w:hAnsi="Calibri" w:eastAsia="Calibri" w:cs="Calibri"/>
          <w:b/>
          <w:highlight w:val="green"/>
          <w:u w:val="single"/>
        </w:rPr>
        <w:t>in the heart of social transformation and outside of it</w:t>
      </w:r>
      <w:r>
        <w:rPr>
          <w:rFonts w:ascii="Calibri" w:hAnsi="Calibri" w:eastAsia="Calibri" w:cs="Calibri"/>
          <w:sz w:val="14"/>
          <w:szCs w:val="14"/>
        </w:rPr>
        <w:t>. Escape is always here because it is non-literal, witty and hopeful.</w:t>
      </w:r>
    </w:p>
    <w:p xmlns:wp14="http://schemas.microsoft.com/office/word/2010/wordml" w:rsidR="00054398" w:rsidP="00054398" w:rsidRDefault="00054398" w14:paraId="4B4D7232" wp14:textId="77777777">
      <w:pPr>
        <w:rPr>
          <w:sz w:val="20"/>
          <w:szCs w:val="20"/>
        </w:rPr>
      </w:pPr>
    </w:p>
    <w:p xmlns:wp14="http://schemas.microsoft.com/office/word/2010/wordml" w:rsidR="00054398" w:rsidP="00054398" w:rsidRDefault="00054398" w14:paraId="2093CA67" wp14:textId="77777777">
      <w:pPr>
        <w:jc w:val="center"/>
        <w:rPr>
          <w:sz w:val="20"/>
          <w:szCs w:val="20"/>
        </w:rPr>
      </w:pPr>
    </w:p>
    <w:p xmlns:wp14="http://schemas.microsoft.com/office/word/2010/wordml" w:rsidR="00054398" w:rsidP="00054398" w:rsidRDefault="00054398" w14:paraId="523DB487" wp14:textId="77777777">
      <w:pPr>
        <w:pStyle w:val="Heading4"/>
      </w:pPr>
      <w:r>
        <w:lastRenderedPageBreak/>
        <w:t>The aff makes a request on the state for the provision of legal rights-- against the coherence of this demand, the alternative enacts a call that situates an already existing response. We are already in something. Rather than the enactment of a legal demand that seeks to make a legal claim in the voice of sovereignty, the call of the alternative makes a fugitive, riotous, disorderly pronouncement that something has already been happening.</w:t>
      </w:r>
    </w:p>
    <w:p xmlns:wp14="http://schemas.microsoft.com/office/word/2010/wordml" w:rsidR="00054398" w:rsidP="00054398" w:rsidRDefault="00054398" w14:paraId="286A2820" wp14:textId="77777777">
      <w:r w:rsidRPr="001710C3">
        <w:rPr>
          <w:rStyle w:val="Style13ptBold"/>
        </w:rPr>
        <w:t>Harney and Moten 13</w:t>
      </w:r>
      <w:r>
        <w:t xml:space="preserve"> [The Undercommons: Fugitive Planning and Black Study, Minor Compositions, p 133-135 //tjb]</w:t>
      </w:r>
    </w:p>
    <w:p xmlns:wp14="http://schemas.microsoft.com/office/word/2010/wordml" w:rsidR="00054398" w:rsidP="00054398" w:rsidRDefault="00054398" w14:paraId="2503B197" wp14:textId="77777777"/>
    <w:p xmlns:wp14="http://schemas.microsoft.com/office/word/2010/wordml" w:rsidR="00054398" w:rsidP="00054398" w:rsidRDefault="00054398" w14:paraId="4758AB00" wp14:textId="77777777">
      <w:r>
        <w:t xml:space="preserve">STEFANO: For me, with regard to the occupation movement, </w:t>
      </w:r>
      <w:r w:rsidRPr="00E11F0B">
        <w:rPr>
          <w:rStyle w:val="StyleUnderline"/>
        </w:rPr>
        <w:t>there were three things in play at once, which you might call the request, the demand, and the call</w:t>
      </w:r>
      <w:r>
        <w:t xml:space="preserve">. </w:t>
      </w:r>
      <w:r w:rsidRPr="00E11F0B">
        <w:rPr>
          <w:rStyle w:val="StyleUnderline"/>
        </w:rPr>
        <w:t>The request is basically the stuff that Wendy Brown is herself always so paranoid about: that one is making a request to authority and by making a request to authority one is therefore already implicating oneself</w:t>
      </w:r>
      <w:r>
        <w:t xml:space="preserve">. Sure, </w:t>
      </w:r>
      <w:r w:rsidRPr="00E11F0B">
        <w:rPr>
          <w:rStyle w:val="StyleUnderline"/>
        </w:rPr>
        <w:t>there were occupation people for whom when people were saying ‘demand’ what they were really hearing was ‘request’ – request to someone – “we want you to reform banking, we want you to do this.” Then, there’s the demand, which is non-negotiable</w:t>
      </w:r>
      <w:r>
        <w:t xml:space="preserve">, which is I think what Kathi Weeks is interested in. But then, a minute ago, </w:t>
      </w:r>
      <w:r w:rsidRPr="00E11F0B">
        <w:rPr>
          <w:rStyle w:val="StyleUnderline"/>
        </w:rPr>
        <w:t>you were talking about a call, a call to disorder, which is already an enactment, an ontological enactment of something</w:t>
      </w:r>
      <w:r>
        <w:t xml:space="preserve">. So, </w:t>
      </w:r>
      <w:r w:rsidRPr="00E11F0B">
        <w:rPr>
          <w:rStyle w:val="StyleUnderline"/>
        </w:rPr>
        <w:t>the demand is uncompromising, but it’s still in the realm of positing something that’s not there, which is fine because there are indeed things that are not here. But I think the call, in the way I would understand it, the call, as in the call and response, the response is already there before the call goes out. You’re already in something</w:t>
      </w:r>
      <w:r>
        <w:t xml:space="preserve">. To me, the call is what these guys were trying to say when they said, “but these are biopolitical demands,” or “this is a biopolitical politics,” which is to say, </w:t>
      </w:r>
      <w:r w:rsidRPr="00E11F0B">
        <w:rPr>
          <w:rStyle w:val="StyleUnderline"/>
        </w:rPr>
        <w:t>it’s neither a politics of requesting something from authority nor of demanding something despite authority. Rather some kind of demand was already being enacted, fulfilled in the call itself</w:t>
      </w:r>
      <w:r>
        <w:t xml:space="preserve">. I don’t think that was totally clear to me or maybe to some occupy people – maybe to some it was scary when it was clear; it was certainly scary to authority when it was clear. And it was, of course, most clear not in the occupy movement but, for me, in the London riots, because </w:t>
      </w:r>
      <w:r w:rsidRPr="00E11F0B">
        <w:rPr>
          <w:rStyle w:val="StyleUnderline"/>
        </w:rPr>
        <w:t>the London riots</w:t>
      </w:r>
      <w:r>
        <w:t xml:space="preserve">, which – and Fred has written beautifully on them elsewhere and here we talk about them as irruptions – of logisticality, that which gives rise to the capitalist science of logistics, and today in rampant form.” </w:t>
      </w:r>
      <w:r w:rsidRPr="00E11F0B">
        <w:rPr>
          <w:rStyle w:val="StyleUnderline"/>
        </w:rPr>
        <w:t>What’s interesting about these riots, and I’ve talked to kids about it, after the three days, and they all said the same thing: “for three days we ran London. For three days London was ours. For three days it worked according to how we wanted it to work.” And, basically, they didn’t demand anything. They just started. There was a call: come out and let’s just run the city for three days. Now, maybe they didn’t run it exactly in the way everybody would have run it if the call was fuller or different.</w:t>
      </w:r>
      <w:r>
        <w:t xml:space="preserve"> And, of course, those kids have all received incredibly ridiculous jail sentences and everything else. Occupy has been nothing compared to that in respect to vicious state repression in the court system. I mean, not to minimise some of the violence against occupy people in the US. The riots were really a place where you saw this kind of call. So, to me it’s no surprise that the call through social media was what they criminalised most quickly. </w:t>
      </w:r>
    </w:p>
    <w:p xmlns:wp14="http://schemas.microsoft.com/office/word/2010/wordml" w:rsidRPr="00E11F0B" w:rsidR="00054398" w:rsidP="00054398" w:rsidRDefault="00054398" w14:paraId="7FFE6523" wp14:textId="77777777">
      <w:pPr>
        <w:rPr>
          <w:rStyle w:val="StyleUnderline"/>
        </w:rPr>
      </w:pPr>
      <w:r>
        <w:lastRenderedPageBreak/>
        <w:t xml:space="preserve">FRED: </w:t>
      </w:r>
      <w:r w:rsidRPr="00E11F0B">
        <w:rPr>
          <w:rStyle w:val="StyleUnderline"/>
        </w:rPr>
        <w:t>I want to say something else about the demand. I still kinda want to hang on to that term.</w:t>
      </w:r>
      <w:r>
        <w:t xml:space="preserve"> The reason I do is because, I certainly see the difference between request and call, I want to get back into </w:t>
      </w:r>
      <w:r w:rsidRPr="00E11F0B">
        <w:rPr>
          <w:rStyle w:val="StyleUnderline"/>
        </w:rPr>
        <w:t>the history of the word ‘demand,’ where it also means ‘to make a claim,’ and sometimes ‘to make a legal claim’ – and the whole notion of demand is that you speak with a kind of authority.</w:t>
      </w:r>
      <w:r>
        <w:t xml:space="preserve"> </w:t>
      </w:r>
      <w:r w:rsidRPr="00E11F0B">
        <w:rPr>
          <w:rStyle w:val="StyleUnderline"/>
        </w:rPr>
        <w:t>The authority of the demand could be supplied by the state, insofar as you serve as an officer of the state, so that you have the state and its powers of violence and coercion behind you when you make the demand.</w:t>
      </w:r>
      <w:r>
        <w:t xml:space="preserve"> But, </w:t>
      </w:r>
      <w:r w:rsidRPr="00E11F0B">
        <w:rPr>
          <w:rStyle w:val="StyleUnderline"/>
        </w:rPr>
        <w:t>there’s also the notion of a claim or a demand in which the authority of the demand is from some kind of multiphonic delirium or fantasy that undermines the univocal authority of sovereignty.</w:t>
      </w:r>
      <w:r>
        <w:t xml:space="preserve"> That’s what I’m thinking of with regard to McPhee and his tone. You listen to that record. It’s 1970. Coltrane died in ‘67, but he’s still in the air everywhere. And his tone, which was a tone of appeal – ‘appeal’ is a cool word, ‘appeal’ as in to make an appeal but also peal; there was an urgent intensity to his sound, a stridency. So, </w:t>
      </w:r>
      <w:r w:rsidRPr="00E11F0B">
        <w:rPr>
          <w:rStyle w:val="StyleUnderline"/>
        </w:rPr>
        <w:t>what I’m trying to get at is there was this notion of the cacophony of the demand. Folks who were basically saying “we don’t want to make any demands” – there were two elements to it. One potential way of saying that we were resisting making the demand is to say that what we were really resisting was to make a request</w:t>
      </w:r>
      <w:r>
        <w:t xml:space="preserve">. </w:t>
      </w:r>
      <w:r w:rsidRPr="00E11F0B">
        <w:rPr>
          <w:rStyle w:val="StyleUnderline"/>
        </w:rPr>
        <w:t xml:space="preserve">We did not want to make a demand, because to make a demand is essentially to make a request, which is essentially then already to accede to the authority of the state to either grant or refuse your request, after the fact of having recognized your standing, your right to request, even though it is the source of your injury, even though your recognition by the state redoubles, rather than remedies, that injury. </w:t>
      </w:r>
      <w:r>
        <w:t xml:space="preserve">So, that’s a kind of Wendy Brown formulation. </w:t>
      </w:r>
      <w:r w:rsidRPr="00E11F0B">
        <w:rPr>
          <w:rStyle w:val="StyleUnderline"/>
        </w:rPr>
        <w:t xml:space="preserve">Then, another version of it, I thought, had to do with the fact that the demand emerges from a certain kind of authority. The properly authorised and authoritative speech of a demand takes the form of a univocal, single speech. Essentially, a kind of sovereign speaker is now drowning out, or trying to collect within his own anthemic speech, all these other kinds of speech. So, again, some single, univocal notion of the demand emerges, when in fact what you’ve got is a whole bunch of people making a whole bunch of demands, some of which are contradictory – and we wanted to maintain that sort of ana(n)themic multiplicity, because that was the whole point. </w:t>
      </w:r>
    </w:p>
    <w:p xmlns:wp14="http://schemas.microsoft.com/office/word/2010/wordml" w:rsidR="00054398" w:rsidP="00054398" w:rsidRDefault="00054398" w14:paraId="38288749" wp14:textId="77777777"/>
    <w:p xmlns:wp14="http://schemas.microsoft.com/office/word/2010/wordml" w:rsidR="00054398" w:rsidP="00054398" w:rsidRDefault="00054398" w14:paraId="20BD9A1A" wp14:textId="77777777">
      <w:pPr>
        <w:rPr>
          <w:sz w:val="20"/>
          <w:szCs w:val="20"/>
        </w:rPr>
      </w:pPr>
    </w:p>
    <w:p xmlns:wp14="http://schemas.microsoft.com/office/word/2010/wordml" w:rsidR="00054398" w:rsidP="00054398" w:rsidRDefault="00054398" w14:paraId="0C136CF1" wp14:textId="77777777">
      <w:pPr>
        <w:jc w:val="center"/>
        <w:rPr>
          <w:sz w:val="20"/>
          <w:szCs w:val="20"/>
        </w:rPr>
      </w:pPr>
    </w:p>
    <w:p xmlns:wp14="http://schemas.microsoft.com/office/word/2010/wordml" w:rsidR="00054398" w:rsidP="00054398" w:rsidRDefault="00054398" w14:paraId="0A392C6A" wp14:textId="77777777">
      <w:pPr>
        <w:jc w:val="center"/>
        <w:rPr>
          <w:sz w:val="20"/>
          <w:szCs w:val="20"/>
        </w:rPr>
      </w:pPr>
    </w:p>
    <w:p xmlns:wp14="http://schemas.microsoft.com/office/word/2010/wordml" w:rsidR="00054398" w:rsidP="00054398" w:rsidRDefault="00054398" w14:paraId="290583F9" wp14:textId="77777777">
      <w:pPr>
        <w:jc w:val="center"/>
        <w:rPr>
          <w:sz w:val="20"/>
          <w:szCs w:val="20"/>
        </w:rPr>
      </w:pPr>
    </w:p>
    <w:p xmlns:wp14="http://schemas.microsoft.com/office/word/2010/wordml" w:rsidR="00054398" w:rsidP="00054398" w:rsidRDefault="00054398" w14:paraId="68F21D90" wp14:textId="77777777">
      <w:pPr>
        <w:jc w:val="center"/>
        <w:rPr>
          <w:sz w:val="20"/>
          <w:szCs w:val="20"/>
        </w:rPr>
      </w:pPr>
    </w:p>
    <w:p xmlns:wp14="http://schemas.microsoft.com/office/word/2010/wordml" w:rsidR="00054398" w:rsidP="00054398" w:rsidRDefault="00054398" w14:paraId="13C326F3" wp14:textId="77777777">
      <w:pPr>
        <w:jc w:val="center"/>
        <w:rPr>
          <w:sz w:val="20"/>
          <w:szCs w:val="20"/>
        </w:rPr>
      </w:pPr>
    </w:p>
    <w:p xmlns:wp14="http://schemas.microsoft.com/office/word/2010/wordml" w:rsidR="00054398" w:rsidP="00054398" w:rsidRDefault="00054398" w14:paraId="4853B841" wp14:textId="77777777">
      <w:pPr>
        <w:jc w:val="center"/>
        <w:rPr>
          <w:sz w:val="20"/>
          <w:szCs w:val="20"/>
        </w:rPr>
      </w:pPr>
    </w:p>
    <w:p xmlns:wp14="http://schemas.microsoft.com/office/word/2010/wordml" w:rsidR="00054398" w:rsidP="00054398" w:rsidRDefault="00054398" w14:paraId="50125231" wp14:textId="77777777">
      <w:pPr>
        <w:jc w:val="center"/>
        <w:rPr>
          <w:sz w:val="20"/>
          <w:szCs w:val="20"/>
        </w:rPr>
      </w:pPr>
    </w:p>
    <w:p xmlns:wp14="http://schemas.microsoft.com/office/word/2010/wordml" w:rsidR="00054398" w:rsidP="00054398" w:rsidRDefault="00054398" w14:paraId="5A25747A" wp14:textId="77777777">
      <w:pPr>
        <w:jc w:val="center"/>
        <w:rPr>
          <w:sz w:val="20"/>
          <w:szCs w:val="20"/>
        </w:rPr>
      </w:pPr>
    </w:p>
    <w:p xmlns:wp14="http://schemas.microsoft.com/office/word/2010/wordml" w:rsidR="00054398" w:rsidP="00054398" w:rsidRDefault="00054398" w14:paraId="09B8D95D" wp14:textId="77777777">
      <w:pPr>
        <w:jc w:val="center"/>
        <w:rPr>
          <w:sz w:val="20"/>
          <w:szCs w:val="20"/>
        </w:rPr>
      </w:pPr>
    </w:p>
    <w:p xmlns:wp14="http://schemas.microsoft.com/office/word/2010/wordml" w:rsidR="00054398" w:rsidP="00054398" w:rsidRDefault="00054398" w14:paraId="78BEFD2A" wp14:textId="77777777">
      <w:pPr>
        <w:jc w:val="center"/>
        <w:rPr>
          <w:sz w:val="20"/>
          <w:szCs w:val="20"/>
        </w:rPr>
      </w:pPr>
    </w:p>
    <w:p xmlns:wp14="http://schemas.microsoft.com/office/word/2010/wordml" w:rsidR="00054398" w:rsidP="00054398" w:rsidRDefault="00054398" w14:paraId="27A76422" wp14:textId="77777777">
      <w:pPr>
        <w:jc w:val="center"/>
        <w:rPr>
          <w:sz w:val="20"/>
          <w:szCs w:val="20"/>
        </w:rPr>
      </w:pPr>
    </w:p>
    <w:p xmlns:wp14="http://schemas.microsoft.com/office/word/2010/wordml" w:rsidR="00054398" w:rsidP="00054398" w:rsidRDefault="00054398" w14:paraId="49206A88" wp14:textId="77777777">
      <w:pPr>
        <w:jc w:val="center"/>
        <w:rPr>
          <w:sz w:val="20"/>
          <w:szCs w:val="20"/>
        </w:rPr>
      </w:pPr>
    </w:p>
    <w:p xmlns:wp14="http://schemas.microsoft.com/office/word/2010/wordml" w:rsidR="00054398" w:rsidP="00054398" w:rsidRDefault="00054398" w14:paraId="67B7A70C" wp14:textId="77777777">
      <w:pPr>
        <w:jc w:val="center"/>
        <w:rPr>
          <w:sz w:val="20"/>
          <w:szCs w:val="20"/>
        </w:rPr>
      </w:pPr>
    </w:p>
    <w:p xmlns:wp14="http://schemas.microsoft.com/office/word/2010/wordml" w:rsidR="00054398" w:rsidP="00054398" w:rsidRDefault="00054398" w14:paraId="71887C79" wp14:textId="77777777">
      <w:pPr>
        <w:jc w:val="center"/>
        <w:rPr>
          <w:sz w:val="20"/>
          <w:szCs w:val="20"/>
        </w:rPr>
      </w:pPr>
    </w:p>
    <w:p xmlns:wp14="http://schemas.microsoft.com/office/word/2010/wordml" w:rsidR="00054398" w:rsidP="00054398" w:rsidRDefault="00054398" w14:paraId="3B7FD67C" wp14:textId="77777777">
      <w:pPr>
        <w:jc w:val="center"/>
        <w:rPr>
          <w:sz w:val="20"/>
          <w:szCs w:val="20"/>
        </w:rPr>
      </w:pPr>
    </w:p>
    <w:p xmlns:wp14="http://schemas.microsoft.com/office/word/2010/wordml" w:rsidR="00054398" w:rsidP="00054398" w:rsidRDefault="00054398" w14:paraId="38D6B9B6" wp14:textId="77777777">
      <w:pPr>
        <w:jc w:val="center"/>
        <w:rPr>
          <w:sz w:val="20"/>
          <w:szCs w:val="20"/>
        </w:rPr>
      </w:pPr>
    </w:p>
    <w:p xmlns:wp14="http://schemas.microsoft.com/office/word/2010/wordml" w:rsidR="00054398" w:rsidP="00054398" w:rsidRDefault="00054398" w14:paraId="22F860BB" wp14:textId="77777777">
      <w:pPr>
        <w:jc w:val="center"/>
        <w:rPr>
          <w:sz w:val="20"/>
          <w:szCs w:val="20"/>
        </w:rPr>
      </w:pPr>
    </w:p>
    <w:p xmlns:wp14="http://schemas.microsoft.com/office/word/2010/wordml" w:rsidR="00054398" w:rsidP="00054398" w:rsidRDefault="00054398" w14:paraId="2F00A65C" wp14:textId="77777777">
      <w:pPr>
        <w:pStyle w:val="Heading3"/>
      </w:pPr>
      <w:r>
        <w:lastRenderedPageBreak/>
        <w:t>A: Subversive Intellectual</w:t>
      </w:r>
    </w:p>
    <w:p xmlns:wp14="http://schemas.microsoft.com/office/word/2010/wordml" w:rsidR="00054398" w:rsidP="00054398" w:rsidRDefault="00054398" w14:paraId="698536F5" wp14:textId="77777777">
      <w:pPr>
        <w:jc w:val="center"/>
        <w:rPr>
          <w:sz w:val="20"/>
          <w:szCs w:val="20"/>
        </w:rPr>
      </w:pPr>
    </w:p>
    <w:p xmlns:wp14="http://schemas.microsoft.com/office/word/2010/wordml" w:rsidR="00054398" w:rsidP="00054398" w:rsidRDefault="00054398" w14:paraId="18BBF37D" wp14:textId="77777777">
      <w:pPr>
        <w:pStyle w:val="Heading4"/>
        <w:rPr>
          <w:rFonts w:eastAsia="Calibri"/>
        </w:rPr>
      </w:pPr>
      <w:bookmarkStart w:name="_t24mlxrpn6kz" w:colFirst="0" w:colLast="0" w:id="18"/>
      <w:bookmarkEnd w:id="18"/>
      <w:r>
        <w:rPr>
          <w:rFonts w:eastAsia="Calibri"/>
        </w:rPr>
        <w:t>The only alternative is to be subversive intellectuals-- refuse the aff’s transparent project and instead be in the profound indebtedness of the undercommons that refuses that which has been refused.</w:t>
      </w:r>
    </w:p>
    <w:p xmlns:wp14="http://schemas.microsoft.com/office/word/2010/wordml" w:rsidR="00054398" w:rsidP="00054398" w:rsidRDefault="00054398" w14:paraId="5A272DD5" wp14:textId="77777777">
      <w:pPr>
        <w:rPr>
          <w:rFonts w:ascii="Calibri" w:hAnsi="Calibri" w:eastAsia="Calibri" w:cs="Calibri"/>
          <w:sz w:val="16"/>
          <w:szCs w:val="16"/>
        </w:rPr>
      </w:pPr>
      <w:r w:rsidRPr="001710C3">
        <w:rPr>
          <w:rStyle w:val="Style13ptBold"/>
        </w:rPr>
        <w:t>Halberstam et al. 13</w:t>
      </w:r>
      <w:r>
        <w:rPr>
          <w:rFonts w:ascii="Calibri" w:hAnsi="Calibri" w:eastAsia="Calibri" w:cs="Calibri"/>
          <w:sz w:val="16"/>
          <w:szCs w:val="16"/>
        </w:rPr>
        <w:t xml:space="preserve"> (Jack, et al. Jack Halberstam is Professor of American Studies and Ethnicity, Gender Studies and Comparative Literature at the University of Southern California. Halberstam is the author of five books including: Skin Shows: othic Horror and the Technology of Monsters (Duke UP, 1995), Female Masculinity (Duke UP, 1998), In A Queer Time and Place (NYU Press, 2005), The Queer Art of Failure (Duke UP, 2011) and Gaga Feminism: Sex, Gender, and the End of Normal(Beacon Press, 2012) and has written articles that have appeared in numerous journals, magazines and collections. Halberstam is currently working on several projects including a book on Fascism and (homo)sexuality. The Wild Beyond: With and for the Undercommons . The Undercommons: Fugitive Planning &amp; Black Study, Minor Compositons, 2013, pp. 5–12. // #CS)</w:t>
      </w:r>
    </w:p>
    <w:p xmlns:wp14="http://schemas.microsoft.com/office/word/2010/wordml" w:rsidR="00054398" w:rsidP="00054398" w:rsidRDefault="00054398" w14:paraId="2CF58C73" wp14:textId="77777777">
      <w:pPr>
        <w:rPr>
          <w:rFonts w:ascii="Calibri" w:hAnsi="Calibri" w:eastAsia="Calibri" w:cs="Calibri"/>
          <w:b/>
          <w:highlight w:val="cyan"/>
          <w:u w:val="single"/>
        </w:rPr>
      </w:pPr>
      <w:r>
        <w:rPr>
          <w:rFonts w:ascii="Calibri" w:hAnsi="Calibri" w:eastAsia="Calibri" w:cs="Calibri"/>
          <w:b/>
          <w:highlight w:val="cyan"/>
          <w:u w:val="single"/>
        </w:rPr>
        <w:t>Moten and Harney want to gesture to another place, a wild place that is not simply the left over space that limns real and regulated zones of polite society; rather, it is a wild place that continuously produces its own unregulated wildness</w:t>
      </w:r>
      <w:r>
        <w:rPr>
          <w:rFonts w:ascii="Calibri" w:hAnsi="Calibri" w:eastAsia="Calibri" w:cs="Calibri"/>
          <w:b/>
          <w:u w:val="single"/>
        </w:rPr>
        <w:t xml:space="preserve">. </w:t>
      </w:r>
      <w:r>
        <w:rPr>
          <w:rFonts w:ascii="Calibri" w:hAnsi="Calibri" w:eastAsia="Calibri" w:cs="Calibri"/>
          <w:sz w:val="14"/>
          <w:szCs w:val="14"/>
        </w:rPr>
        <w:t xml:space="preserve">The zone we enter through Moten and Harney is ongoing and exists in the present and, as Harney puts it, some kind of demand was already being enacted, fulfilled in the call itself. </w:t>
      </w:r>
      <w:r>
        <w:rPr>
          <w:rFonts w:ascii="Calibri" w:hAnsi="Calibri" w:eastAsia="Calibri" w:cs="Calibri"/>
          <w:u w:val="single"/>
        </w:rPr>
        <w:t xml:space="preserve">While describing the London Riots of 2011, </w:t>
      </w:r>
      <w:r>
        <w:rPr>
          <w:rFonts w:ascii="Calibri" w:hAnsi="Calibri" w:eastAsia="Calibri" w:cs="Calibri"/>
          <w:highlight w:val="cyan"/>
          <w:u w:val="single"/>
        </w:rPr>
        <w:t xml:space="preserve">Harney suggests that the riots and insurrections do not separate out the request, the demand and the call – rather, they enact the one in the other: I think the call, </w:t>
      </w:r>
      <w:r>
        <w:rPr>
          <w:rFonts w:ascii="Calibri" w:hAnsi="Calibri" w:eastAsia="Calibri" w:cs="Calibri"/>
          <w:u w:val="single"/>
        </w:rPr>
        <w:t>in the way I would understand it, the call, as in the call and respons</w:t>
      </w:r>
      <w:r>
        <w:rPr>
          <w:rFonts w:ascii="Calibri" w:hAnsi="Calibri" w:eastAsia="Calibri" w:cs="Calibri"/>
          <w:highlight w:val="cyan"/>
          <w:u w:val="single"/>
        </w:rPr>
        <w:t xml:space="preserve">e, the response is already there before the call goes out. </w:t>
      </w:r>
      <w:r>
        <w:rPr>
          <w:rFonts w:ascii="Calibri" w:hAnsi="Calibri" w:eastAsia="Calibri" w:cs="Calibri"/>
          <w:u w:val="single"/>
        </w:rPr>
        <w:t>You re already in something.</w:t>
      </w:r>
      <w:r>
        <w:rPr>
          <w:rFonts w:ascii="Calibri" w:hAnsi="Calibri" w:eastAsia="Calibri" w:cs="Calibri"/>
          <w:sz w:val="14"/>
          <w:szCs w:val="14"/>
        </w:rPr>
        <w:t xml:space="preserve"> You are already in it. For Moten too, </w:t>
      </w:r>
      <w:r>
        <w:rPr>
          <w:rFonts w:ascii="Calibri" w:hAnsi="Calibri" w:eastAsia="Calibri" w:cs="Calibri"/>
          <w:b/>
          <w:u w:val="single"/>
        </w:rPr>
        <w:t>y</w:t>
      </w:r>
      <w:r>
        <w:rPr>
          <w:rFonts w:ascii="Calibri" w:hAnsi="Calibri" w:eastAsia="Calibri" w:cs="Calibri"/>
          <w:b/>
          <w:highlight w:val="cyan"/>
          <w:u w:val="single"/>
        </w:rPr>
        <w:t>ou are always already in the thing that you call for and that calls you</w:t>
      </w:r>
      <w:r>
        <w:rPr>
          <w:rFonts w:ascii="Calibri" w:hAnsi="Calibri" w:eastAsia="Calibri" w:cs="Calibri"/>
          <w:sz w:val="14"/>
          <w:szCs w:val="14"/>
          <w:highlight w:val="cyan"/>
        </w:rPr>
        <w:t>.</w:t>
      </w:r>
      <w:r>
        <w:rPr>
          <w:rFonts w:ascii="Calibri" w:hAnsi="Calibri" w:eastAsia="Calibri" w:cs="Calibri"/>
          <w:sz w:val="14"/>
          <w:szCs w:val="14"/>
        </w:rPr>
        <w:t xml:space="preserve"> What s more, the call is always a call to dis-order and this disorder or wildness shows up in many places: in jazz, in improvisation, in noise. </w:t>
      </w:r>
      <w:r>
        <w:rPr>
          <w:rFonts w:ascii="Calibri" w:hAnsi="Calibri" w:eastAsia="Calibri" w:cs="Calibri"/>
          <w:u w:val="single"/>
        </w:rPr>
        <w:t>The disordered sounds that we refer to as cacophony will always be cast as extra-musical</w:t>
      </w:r>
      <w:r>
        <w:rPr>
          <w:rFonts w:ascii="Calibri" w:hAnsi="Calibri" w:eastAsia="Calibri" w:cs="Calibri"/>
          <w:sz w:val="14"/>
          <w:szCs w:val="14"/>
        </w:rPr>
        <w:t xml:space="preserve">, as Moten puts it, </w:t>
      </w:r>
      <w:r>
        <w:rPr>
          <w:rFonts w:ascii="Calibri" w:hAnsi="Calibri" w:eastAsia="Calibri" w:cs="Calibri"/>
          <w:u w:val="single"/>
        </w:rPr>
        <w:t>precisely because we hear something in them that reminds us that our desire for harmony is arbitrary and in another world, harmony would sound incomprehensible</w:t>
      </w:r>
      <w:r>
        <w:rPr>
          <w:rFonts w:ascii="Calibri" w:hAnsi="Calibri" w:eastAsia="Calibri" w:cs="Calibri"/>
          <w:sz w:val="14"/>
          <w:szCs w:val="14"/>
        </w:rPr>
        <w:t xml:space="preserve">. Listening to cacophony and noise tells us that there is a wild beyond to the structures we inhabit and that inhabit us. And when we are called to this other place, the wild beyond, beyond the beyond in Moten and Harney s apt terminology, we have to give ourselves over to a certain kind of craziness. Moten reminds us that </w:t>
      </w:r>
      <w:r>
        <w:rPr>
          <w:rFonts w:ascii="Calibri" w:hAnsi="Calibri" w:eastAsia="Calibri" w:cs="Calibri"/>
          <w:highlight w:val="cyan"/>
          <w:u w:val="single"/>
        </w:rPr>
        <w:t xml:space="preserve">even as Fanon took an anti-colonial stance, </w:t>
      </w:r>
      <w:r>
        <w:rPr>
          <w:rFonts w:ascii="Calibri" w:hAnsi="Calibri" w:eastAsia="Calibri" w:cs="Calibri"/>
          <w:u w:val="single"/>
        </w:rPr>
        <w:t>he knew that it looks crazy but, Fanon</w:t>
      </w:r>
      <w:r>
        <w:rPr>
          <w:rFonts w:ascii="Calibri" w:hAnsi="Calibri" w:eastAsia="Calibri" w:cs="Calibri"/>
          <w:highlight w:val="cyan"/>
          <w:u w:val="single"/>
        </w:rPr>
        <w:t xml:space="preserve">, as a psychiatrist, </w:t>
      </w:r>
      <w:r>
        <w:rPr>
          <w:rFonts w:ascii="Calibri" w:hAnsi="Calibri" w:eastAsia="Calibri" w:cs="Calibri"/>
          <w:u w:val="single"/>
        </w:rPr>
        <w:t xml:space="preserve">also </w:t>
      </w:r>
      <w:r>
        <w:rPr>
          <w:rFonts w:ascii="Calibri" w:hAnsi="Calibri" w:eastAsia="Calibri" w:cs="Calibri"/>
          <w:highlight w:val="cyan"/>
          <w:u w:val="single"/>
        </w:rPr>
        <w:t>knew not to accept this organic division between the rational and the crazy and he knew that it would be crazy for him not to take that stance in a world that had assigned to him the role of the unreal, the primitive and the wild.</w:t>
      </w:r>
      <w:r>
        <w:rPr>
          <w:rFonts w:ascii="Calibri" w:hAnsi="Calibri" w:eastAsia="Calibri" w:cs="Calibri"/>
          <w:sz w:val="14"/>
          <w:szCs w:val="14"/>
        </w:rPr>
        <w:t xml:space="preserve"> Fanon, according to Moten, wants </w:t>
      </w:r>
      <w:r>
        <w:rPr>
          <w:rFonts w:ascii="Calibri" w:hAnsi="Calibri" w:eastAsia="Calibri" w:cs="Calibri"/>
          <w:b/>
          <w:highlight w:val="cyan"/>
          <w:u w:val="single"/>
        </w:rPr>
        <w:t>not the end of colonialism but the end of the standpoint from which colonialism makes sense</w:t>
      </w:r>
      <w:r>
        <w:rPr>
          <w:rFonts w:ascii="Calibri" w:hAnsi="Calibri" w:eastAsia="Calibri" w:cs="Calibri"/>
          <w:b/>
          <w:u w:val="single"/>
        </w:rPr>
        <w:t>.</w:t>
      </w:r>
      <w:r>
        <w:rPr>
          <w:rFonts w:ascii="Calibri" w:hAnsi="Calibri" w:eastAsia="Calibri" w:cs="Calibri"/>
          <w:sz w:val="14"/>
          <w:szCs w:val="14"/>
        </w:rPr>
        <w:t xml:space="preserve"> In order to bring colonialism to an end then, one does not speak truth to power, </w:t>
      </w:r>
      <w:r>
        <w:rPr>
          <w:rFonts w:ascii="Calibri" w:hAnsi="Calibri" w:eastAsia="Calibri" w:cs="Calibri"/>
          <w:u w:val="single"/>
        </w:rPr>
        <w:t>one has to inhabit the crazy, nonsensical, ranting language of the other, the other who has been rendered a nonentity by colonialism</w:t>
      </w:r>
      <w:r>
        <w:rPr>
          <w:rFonts w:ascii="Calibri" w:hAnsi="Calibri" w:eastAsia="Calibri" w:cs="Calibri"/>
          <w:sz w:val="14"/>
          <w:szCs w:val="14"/>
        </w:rPr>
        <w:t xml:space="preserve">. Indeed, </w:t>
      </w:r>
      <w:r>
        <w:rPr>
          <w:rFonts w:ascii="Calibri" w:hAnsi="Calibri" w:eastAsia="Calibri" w:cs="Calibri"/>
          <w:u w:val="single"/>
        </w:rPr>
        <w:t>blackness</w:t>
      </w:r>
      <w:r>
        <w:rPr>
          <w:rFonts w:ascii="Calibri" w:hAnsi="Calibri" w:eastAsia="Calibri" w:cs="Calibri"/>
          <w:sz w:val="14"/>
          <w:szCs w:val="14"/>
        </w:rPr>
        <w:t xml:space="preserve">, for Moten and Harney by way of Fanon, </w:t>
      </w:r>
      <w:r>
        <w:rPr>
          <w:rFonts w:ascii="Calibri" w:hAnsi="Calibri" w:eastAsia="Calibri" w:cs="Calibri"/>
          <w:u w:val="single"/>
        </w:rPr>
        <w:t>is the willingness to be in the space that has been abandoned by colonialism, by rule, by order.</w:t>
      </w:r>
      <w:r>
        <w:rPr>
          <w:rFonts w:ascii="Calibri" w:hAnsi="Calibri" w:eastAsia="Calibri" w:cs="Calibri"/>
          <w:sz w:val="14"/>
          <w:szCs w:val="14"/>
        </w:rPr>
        <w:t xml:space="preserve"> Moten takes us there, saying of Fanon finally: Eventually, I believe, he comes to believe in the world, which is to say the other world, where we inhabit and maybe even cultivate this absence, this place which shows up here and now, in the sovereign s space and time, as absence, darkness, death, things which are not (as John Donne would say). </w:t>
      </w:r>
      <w:r>
        <w:rPr>
          <w:rFonts w:ascii="Calibri" w:hAnsi="Calibri" w:eastAsia="Calibri" w:cs="Calibri"/>
          <w:b/>
          <w:highlight w:val="cyan"/>
          <w:u w:val="single"/>
        </w:rPr>
        <w:t>The path to the wild beyond is paved with refusal.</w:t>
      </w:r>
      <w:r>
        <w:rPr>
          <w:rFonts w:ascii="Calibri" w:hAnsi="Calibri" w:eastAsia="Calibri" w:cs="Calibri"/>
          <w:sz w:val="14"/>
          <w:szCs w:val="14"/>
        </w:rPr>
        <w:t xml:space="preserve"> In The Undercommons </w:t>
      </w:r>
      <w:r>
        <w:rPr>
          <w:rFonts w:ascii="Calibri" w:hAnsi="Calibri" w:eastAsia="Calibri" w:cs="Calibri"/>
          <w:b/>
          <w:highlight w:val="cyan"/>
          <w:u w:val="single"/>
        </w:rPr>
        <w:t>if we begin anywhere, we begin with the right to refuse what has been refused to you</w:t>
      </w:r>
      <w:r>
        <w:rPr>
          <w:rFonts w:ascii="Calibri" w:hAnsi="Calibri" w:eastAsia="Calibri" w:cs="Calibri"/>
          <w:sz w:val="14"/>
          <w:szCs w:val="14"/>
        </w:rPr>
        <w:t>. Citing Gayatri Spivak, Moten and Harney call this refusal the first right and it is a game-changing kind of refusal in that it signals</w:t>
      </w:r>
      <w:r>
        <w:rPr>
          <w:rFonts w:ascii="Calibri" w:hAnsi="Calibri" w:eastAsia="Calibri" w:cs="Calibri"/>
          <w:b/>
          <w:u w:val="single"/>
        </w:rPr>
        <w:t xml:space="preserve"> </w:t>
      </w:r>
      <w:r>
        <w:rPr>
          <w:rFonts w:ascii="Calibri" w:hAnsi="Calibri" w:eastAsia="Calibri" w:cs="Calibri"/>
          <w:b/>
          <w:highlight w:val="cyan"/>
          <w:u w:val="single"/>
        </w:rPr>
        <w:t>the refusal of the choices as offered</w:t>
      </w:r>
      <w:r>
        <w:rPr>
          <w:rFonts w:ascii="Calibri" w:hAnsi="Calibri" w:eastAsia="Calibri" w:cs="Calibri"/>
          <w:sz w:val="14"/>
          <w:szCs w:val="14"/>
        </w:rPr>
        <w:t xml:space="preserve">. We can understand this refusal in terms that Chandan Reddy lays out in Freedom With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offered. Moten and Harney also study what it would mean to refuse what they term the call to order. </w:t>
      </w:r>
      <w:r>
        <w:rPr>
          <w:rFonts w:ascii="Calibri" w:hAnsi="Calibri" w:eastAsia="Calibri" w:cs="Calibri"/>
          <w:u w:val="single"/>
        </w:rPr>
        <w:t xml:space="preserve">And what would it mean, furthermore, to refuse to call others to order, to refuse interpellation and the reinstantiation of the law. When we refuse, Moten and Harney suggest, we create dissonance and more importantly, we allow dissonance to continue – </w:t>
      </w:r>
      <w:r>
        <w:rPr>
          <w:rFonts w:ascii="Calibri" w:hAnsi="Calibri" w:eastAsia="Calibri" w:cs="Calibri"/>
          <w:highlight w:val="cyan"/>
          <w:u w:val="single"/>
        </w:rPr>
        <w:t xml:space="preserve">when we enter a classroom and we refuse to call it to order, we are allowing study to continue, dissonant study perhaps, disorganized study, but study that precedes our call and will </w:t>
      </w:r>
      <w:r>
        <w:rPr>
          <w:rFonts w:ascii="Calibri" w:hAnsi="Calibri" w:eastAsia="Calibri" w:cs="Calibri"/>
          <w:highlight w:val="cyan"/>
          <w:u w:val="single"/>
        </w:rPr>
        <w:lastRenderedPageBreak/>
        <w:t>continue after we have left the room.</w:t>
      </w:r>
      <w:r>
        <w:rPr>
          <w:rFonts w:ascii="Calibri" w:hAnsi="Calibri" w:eastAsia="Calibri" w:cs="Calibri"/>
          <w:sz w:val="14"/>
          <w:szCs w:val="14"/>
        </w:rPr>
        <w:t xml:space="preserve">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t>
      </w:r>
      <w:r>
        <w:rPr>
          <w:rFonts w:ascii="Calibri" w:hAnsi="Calibri" w:eastAsia="Calibri" w:cs="Calibri"/>
          <w:b/>
          <w:u w:val="single"/>
        </w:rPr>
        <w:t>when we refuse the call to order</w:t>
      </w:r>
      <w:r>
        <w:rPr>
          <w:rFonts w:ascii="Calibri" w:hAnsi="Calibri" w:eastAsia="Calibri" w:cs="Calibri"/>
          <w:b/>
          <w:highlight w:val="cyan"/>
          <w:u w:val="single"/>
        </w:rPr>
        <w:t xml:space="preserve"> – the teacher picking up the book, the conductor raising his baton, the speaker asking for silence, the torturer tightening the noose – we refuse order as the distinction between noise and music, chatter and knowledge, pain and truth. </w:t>
      </w:r>
      <w:r>
        <w:rPr>
          <w:rFonts w:ascii="Calibri" w:hAnsi="Calibri" w:eastAsia="Calibri" w:cs="Calibri"/>
          <w:sz w:val="14"/>
          <w:szCs w:val="14"/>
        </w:rPr>
        <w:t xml:space="preserve">These kinds of examples get to the heart of Moten and Harney s world of the undercommons – </w:t>
      </w:r>
      <w:r>
        <w:rPr>
          <w:rFonts w:ascii="Calibri" w:hAnsi="Calibri" w:eastAsia="Calibri" w:cs="Calibri"/>
          <w:highlight w:val="cyan"/>
          <w:u w:val="single"/>
        </w:rPr>
        <w:t>the undercommons is not a realm where we rebel and we create critique; it is not a place where we take arms against a sea of troubles/and by opposing end them. The undercommons is a space and time which is always here.</w:t>
      </w:r>
      <w:r>
        <w:rPr>
          <w:rFonts w:ascii="Calibri" w:hAnsi="Calibri" w:eastAsia="Calibri" w:cs="Calibri"/>
          <w:sz w:val="14"/>
          <w:szCs w:val="14"/>
          <w:highlight w:val="cyan"/>
        </w:rPr>
        <w:t xml:space="preserve"> </w:t>
      </w:r>
      <w:r>
        <w:rPr>
          <w:rFonts w:ascii="Calibri" w:hAnsi="Calibri" w:eastAsia="Calibri" w:cs="Calibri"/>
          <w:b/>
          <w:highlight w:val="cyan"/>
          <w:u w:val="single"/>
        </w:rPr>
        <w:t>Our goal – and the we is always the right mode of address here – is not to end the troubles but to end the world that created those particular troubles as the ones that must be opposed.</w:t>
      </w:r>
      <w:r>
        <w:rPr>
          <w:rFonts w:ascii="Calibri" w:hAnsi="Calibri" w:eastAsia="Calibri" w:cs="Calibri"/>
          <w:sz w:val="14"/>
          <w:szCs w:val="14"/>
        </w:rPr>
        <w:t xml:space="preserve"> Moten and Harney refuse the logic that stages refusal as inactivity, as the absence of a plan and as a mode of stalling real politics. Moten and Harney tell us to listen to the noise we make and to refuse the offers we receive to shape that noise into music. In the essay that many people already know best from this volume, The University and the Undercommons, Moten and Harney come closest to explaining their mission. </w:t>
      </w:r>
      <w:r>
        <w:rPr>
          <w:rFonts w:ascii="Calibri" w:hAnsi="Calibri" w:eastAsia="Calibri" w:cs="Calibri"/>
          <w:b/>
          <w:highlight w:val="cyan"/>
          <w:u w:val="single"/>
        </w:rPr>
        <w:t>Refusing to be for or against the university and in fact marking the critical academic as the player who holds the for and against logic in place, Moten and Harney lead us to the Undercommons of the Enlightenment where subversive intellectuals engage both the university and fugitivity: where the work gets done, where the work gets subverted, where the revolution is still black, still strong.</w:t>
      </w:r>
      <w:r>
        <w:rPr>
          <w:rFonts w:ascii="Calibri" w:hAnsi="Calibri" w:eastAsia="Calibri" w:cs="Calibri"/>
          <w:sz w:val="14"/>
          <w:szCs w:val="14"/>
        </w:rPr>
        <w:t xml:space="preserve"> The subversive intellectual, we learn, is unprofessional, uncollegial, passionate and disloyal.</w:t>
      </w:r>
      <w:r>
        <w:rPr>
          <w:rFonts w:ascii="Calibri" w:hAnsi="Calibri" w:eastAsia="Calibri" w:cs="Calibri"/>
          <w:u w:val="single"/>
        </w:rPr>
        <w:t xml:space="preserve"> The subversive intellectual is neither trying to extend the university nor change the university, the subversive intellectual is not toiling in misery and from this place of misery articulating a general antagonism.</w:t>
      </w:r>
      <w:r>
        <w:rPr>
          <w:rFonts w:ascii="Calibri" w:hAnsi="Calibri" w:eastAsia="Calibri" w:cs="Calibri"/>
          <w:sz w:val="14"/>
          <w:szCs w:val="14"/>
        </w:rPr>
        <w:t xml:space="preserve"> In fact, the subversive intellectual enjoys the ride and wants it to be faster and wilder; she does not want a room of his or her own, she wants to be in the world, in the world with others and making the world anew. Moten insists: </w:t>
      </w:r>
      <w:r>
        <w:rPr>
          <w:rFonts w:ascii="Calibri" w:hAnsi="Calibri" w:eastAsia="Calibri" w:cs="Calibri"/>
          <w:u w:val="single"/>
        </w:rPr>
        <w:t xml:space="preserve">Like Deleuze. </w:t>
      </w:r>
      <w:r>
        <w:rPr>
          <w:rFonts w:ascii="Calibri" w:hAnsi="Calibri" w:eastAsia="Calibri" w:cs="Calibri"/>
          <w:highlight w:val="cyan"/>
          <w:u w:val="single"/>
        </w:rPr>
        <w:t xml:space="preserve">I believe in the world and want to be in it. </w:t>
      </w:r>
      <w:r>
        <w:rPr>
          <w:rFonts w:ascii="Calibri" w:hAnsi="Calibri" w:eastAsia="Calibri" w:cs="Calibri"/>
          <w:u w:val="single"/>
        </w:rPr>
        <w:t xml:space="preserve">I want to be in it all the way to the end of it because I believe in another world in the world and I want to be in that. And I plan to stay a believer, like Curtis Mayfield. But that s beyond me, and even beyond me and Stefano, and out into the world, the other thing, </w:t>
      </w:r>
      <w:r>
        <w:rPr>
          <w:rFonts w:ascii="Calibri" w:hAnsi="Calibri" w:eastAsia="Calibri" w:cs="Calibri"/>
          <w:highlight w:val="cyan"/>
          <w:u w:val="single"/>
        </w:rPr>
        <w:t>the other world, the joyful noise of the scattered, scatted eschaton, the undercommon refusal of the academy of misery.</w:t>
      </w:r>
      <w:r>
        <w:rPr>
          <w:rFonts w:ascii="Calibri" w:hAnsi="Calibri" w:eastAsia="Calibri" w:cs="Calibri"/>
          <w:sz w:val="14"/>
          <w:szCs w:val="14"/>
        </w:rPr>
        <w:t xml:space="preserve"> The mission then for the denizens of the undercommons is to recognize that </w:t>
      </w:r>
      <w:r>
        <w:rPr>
          <w:rFonts w:ascii="Calibri" w:hAnsi="Calibri" w:eastAsia="Calibri" w:cs="Calibri"/>
          <w:u w:val="single"/>
        </w:rPr>
        <w:t xml:space="preserve">when you seek to make things better, you are not just doing it for the Other, you must also be doing it for yourself. While men may think they are being sensitive by turning to feminism, while white people may think they are being right on by opposing racism, </w:t>
      </w:r>
      <w:r>
        <w:rPr>
          <w:rFonts w:ascii="Calibri" w:hAnsi="Calibri" w:eastAsia="Calibri" w:cs="Calibri"/>
          <w:highlight w:val="cyan"/>
          <w:u w:val="single"/>
        </w:rPr>
        <w:t xml:space="preserve">no one will really be able to embrace the mission of tearing this shit down until they realize that the structures they oppose are </w:t>
      </w:r>
      <w:r>
        <w:rPr>
          <w:rFonts w:ascii="Calibri" w:hAnsi="Calibri" w:eastAsia="Calibri" w:cs="Calibri"/>
          <w:u w:val="single"/>
        </w:rPr>
        <w:t xml:space="preserve">not only bad for some of us, they are </w:t>
      </w:r>
      <w:r>
        <w:rPr>
          <w:rFonts w:ascii="Calibri" w:hAnsi="Calibri" w:eastAsia="Calibri" w:cs="Calibri"/>
          <w:highlight w:val="cyan"/>
          <w:u w:val="single"/>
        </w:rPr>
        <w:t>bad for all of us.</w:t>
      </w:r>
      <w:r>
        <w:rPr>
          <w:rFonts w:ascii="Calibri" w:hAnsi="Calibri" w:eastAsia="Calibri" w:cs="Calibri"/>
          <w:sz w:val="14"/>
          <w:szCs w:val="14"/>
          <w:highlight w:val="cyan"/>
        </w:rPr>
        <w:t xml:space="preserve"> </w:t>
      </w:r>
      <w:r>
        <w:rPr>
          <w:rFonts w:ascii="Calibri" w:hAnsi="Calibri" w:eastAsia="Calibri" w:cs="Calibri"/>
          <w:highlight w:val="cyan"/>
          <w:u w:val="single"/>
        </w:rPr>
        <w:t>Gender hierarchies are bad for men as well as women and they are really bad for the rest of us. Racial hierarchies are not rational and ordered, they are chaotic and nonsensical and must be opposed by precisely all those who benefit in any way from them.</w:t>
      </w:r>
      <w:r>
        <w:rPr>
          <w:rFonts w:ascii="Calibri" w:hAnsi="Calibri" w:eastAsia="Calibri" w:cs="Calibri"/>
          <w:sz w:val="14"/>
          <w:szCs w:val="14"/>
        </w:rPr>
        <w:t xml:space="preserve"> Or, as Moten puts it: </w:t>
      </w:r>
      <w:r>
        <w:rPr>
          <w:rFonts w:ascii="Calibri" w:hAnsi="Calibri" w:eastAsia="Calibri" w:cs="Calibri"/>
          <w:b/>
          <w:u w:val="single"/>
        </w:rPr>
        <w:t>T</w:t>
      </w:r>
      <w:r>
        <w:rPr>
          <w:rFonts w:ascii="Calibri" w:hAnsi="Calibri" w:eastAsia="Calibri" w:cs="Calibri"/>
          <w:b/>
          <w:highlight w:val="cyan"/>
          <w:u w:val="single"/>
        </w:rPr>
        <w:t>he coalition emerges out of your recognition that it s fucked up for you, in the same way that we ve already recognized that it s fucked up for us. I don t need your help. I just need you to recognize that this shit is killing you, too, however much more softly</w:t>
      </w:r>
      <w:r>
        <w:rPr>
          <w:rFonts w:ascii="Calibri" w:hAnsi="Calibri" w:eastAsia="Calibri" w:cs="Calibri"/>
          <w:b/>
          <w:u w:val="single"/>
        </w:rPr>
        <w:t xml:space="preserve">, you stupid motherfucker, you know? </w:t>
      </w:r>
      <w:r>
        <w:rPr>
          <w:rFonts w:ascii="Calibri" w:hAnsi="Calibri" w:eastAsia="Calibri" w:cs="Calibri"/>
          <w:sz w:val="14"/>
          <w:szCs w:val="14"/>
        </w:rPr>
        <w:t xml:space="preserve">The coalition unites us in the recognition that we must change things or die. All of us. We must all change the things that are fucked up and change cannot come in the form that we think of as revolutionary – not as a masculinist surge or an armed confrontation. </w:t>
      </w:r>
      <w:r>
        <w:rPr>
          <w:rFonts w:ascii="Calibri" w:hAnsi="Calibri" w:eastAsia="Calibri" w:cs="Calibri"/>
          <w:b/>
          <w:highlight w:val="cyan"/>
          <w:u w:val="single"/>
        </w:rPr>
        <w:t>Revolution will come in a form we cannot yet imagine</w:t>
      </w:r>
      <w:r>
        <w:rPr>
          <w:rFonts w:ascii="Calibri" w:hAnsi="Calibri" w:eastAsia="Calibri" w:cs="Calibri"/>
          <w:sz w:val="14"/>
          <w:szCs w:val="14"/>
        </w:rPr>
        <w:t xml:space="preserve">. Moten and Harney propose that we prepare now for what will come by entering into study. </w:t>
      </w:r>
      <w:r>
        <w:rPr>
          <w:rFonts w:ascii="Calibri" w:hAnsi="Calibri" w:eastAsia="Calibri" w:cs="Calibri"/>
          <w:u w:val="single"/>
        </w:rPr>
        <w:t>Study, a mode of thinking with others separate from the thinking that the institution requires of you, prepares us to be embedded in what Harney calls the with and for and allows you to spend less time antagonized and antagonizing.</w:t>
      </w:r>
      <w:r>
        <w:rPr>
          <w:rFonts w:ascii="Calibri" w:hAnsi="Calibri" w:eastAsia="Calibri" w:cs="Calibri"/>
          <w:sz w:val="14"/>
          <w:szCs w:val="14"/>
        </w:rPr>
        <w:t xml:space="preserve"> Like all world-making and all world-shattering encounters, when you enter this book and learn how to be with and for, in coalition, and on the way to the place we are already making, you will also feel fear, trepidation, concern, and disorientation. The </w:t>
      </w:r>
      <w:r>
        <w:rPr>
          <w:rFonts w:ascii="Calibri" w:hAnsi="Calibri" w:eastAsia="Calibri" w:cs="Calibri"/>
          <w:highlight w:val="cyan"/>
          <w:u w:val="single"/>
        </w:rPr>
        <w:t>disorientation</w:t>
      </w:r>
      <w:r>
        <w:rPr>
          <w:rFonts w:ascii="Calibri" w:hAnsi="Calibri" w:eastAsia="Calibri" w:cs="Calibri"/>
          <w:sz w:val="14"/>
          <w:szCs w:val="14"/>
        </w:rPr>
        <w:t>, Moten and Harney will tell you is not just unfortunate, it</w:t>
      </w:r>
      <w:r>
        <w:rPr>
          <w:rFonts w:ascii="Calibri" w:hAnsi="Calibri" w:eastAsia="Calibri" w:cs="Calibri"/>
          <w:sz w:val="14"/>
          <w:szCs w:val="14"/>
          <w:highlight w:val="cyan"/>
        </w:rPr>
        <w:t xml:space="preserve"> </w:t>
      </w:r>
      <w:r>
        <w:rPr>
          <w:rFonts w:ascii="Calibri" w:hAnsi="Calibri" w:eastAsia="Calibri" w:cs="Calibri"/>
          <w:highlight w:val="cyan"/>
          <w:u w:val="single"/>
        </w:rPr>
        <w:t xml:space="preserve">is necessary because you will </w:t>
      </w:r>
      <w:r>
        <w:rPr>
          <w:rFonts w:ascii="Calibri" w:hAnsi="Calibri" w:eastAsia="Calibri" w:cs="Calibri"/>
          <w:u w:val="single"/>
        </w:rPr>
        <w:t xml:space="preserve">no longer be in one location moving forward to another, instead you will already </w:t>
      </w:r>
      <w:r>
        <w:rPr>
          <w:rFonts w:ascii="Calibri" w:hAnsi="Calibri" w:eastAsia="Calibri" w:cs="Calibri"/>
          <w:highlight w:val="cyan"/>
          <w:u w:val="single"/>
        </w:rPr>
        <w:t>be part of the movement of things and on the way to this outlawed social life of nothing</w:t>
      </w:r>
      <w:r>
        <w:rPr>
          <w:rFonts w:ascii="Calibri" w:hAnsi="Calibri" w:eastAsia="Calibri" w:cs="Calibri"/>
          <w:sz w:val="14"/>
          <w:szCs w:val="14"/>
        </w:rPr>
        <w:t xml:space="preserve">. The movement of things can be felt and touched and exists in language and in fantasy, it is flight, it is motion, it is fugitivity itself. Fugitivity is not only </w:t>
      </w:r>
      <w:r>
        <w:rPr>
          <w:rFonts w:ascii="Calibri" w:hAnsi="Calibri" w:eastAsia="Calibri" w:cs="Calibri"/>
          <w:sz w:val="14"/>
          <w:szCs w:val="14"/>
        </w:rPr>
        <w:lastRenderedPageBreak/>
        <w:t xml:space="preserve">escape, exit as Paolo Virno might put it, or exodus in the terms offered by Hardt and Negri, </w:t>
      </w:r>
      <w:r>
        <w:rPr>
          <w:rFonts w:ascii="Calibri" w:hAnsi="Calibri" w:eastAsia="Calibri" w:cs="Calibri"/>
          <w:b/>
          <w:highlight w:val="cyan"/>
          <w:u w:val="single"/>
        </w:rPr>
        <w:t>fugitivity is being separate from settling.</w:t>
      </w:r>
      <w:r>
        <w:rPr>
          <w:rFonts w:ascii="Calibri" w:hAnsi="Calibri" w:eastAsia="Calibri" w:cs="Calibri"/>
          <w:sz w:val="14"/>
          <w:szCs w:val="14"/>
        </w:rPr>
        <w:t xml:space="preserve"> It is a being in motion that has learned that organizations are obstacles to organising ourselves (The Invisible Committee in The Coming Insurrection) and that there are spaces and modalities that exist separate from the logical, logistical, the housed and the positioned. Moten and Harney call this mode a being together in homelessness which does not idealize homelessness nor merely metaphorize it. Homelessness is the state of dispossession that we seek and that we embrace: </w:t>
      </w:r>
      <w:r>
        <w:rPr>
          <w:rFonts w:ascii="Calibri" w:hAnsi="Calibri" w:eastAsia="Calibri" w:cs="Calibri"/>
          <w:u w:val="single"/>
        </w:rPr>
        <w:t>Can this being together in homelessness, this interplay of the refusal of what has been refused, this undercommon appositionality, be a place from which emerges neither self-consciousness nor knowledge of the other but an improvisation that proceeds from somewhere on the other side of an unasked question?</w:t>
      </w:r>
      <w:r>
        <w:rPr>
          <w:rFonts w:ascii="Calibri" w:hAnsi="Calibri" w:eastAsia="Calibri" w:cs="Calibri"/>
          <w:sz w:val="14"/>
          <w:szCs w:val="14"/>
        </w:rPr>
        <w:t xml:space="preserve"> I think this is what Jay-Z and Kanye West (another collaborative unit of study) call no church in the wild. For Fred Moten and Stefano Harney, </w:t>
      </w:r>
      <w:r>
        <w:rPr>
          <w:rFonts w:ascii="Calibri" w:hAnsi="Calibri" w:eastAsia="Calibri" w:cs="Calibri"/>
          <w:highlight w:val="cyan"/>
          <w:u w:val="single"/>
        </w:rPr>
        <w:t>we must make common cause with those desires and (non) positions that seem crazy and unimaginable: we must, on behalf of this alignment, refuse that which was first refused to us and in this refusal reshape desire, reorient hope, reimagine possibility</w:t>
      </w:r>
      <w:r>
        <w:rPr>
          <w:rFonts w:ascii="Calibri" w:hAnsi="Calibri" w:eastAsia="Calibri" w:cs="Calibri"/>
          <w:u w:val="single"/>
        </w:rPr>
        <w:t xml:space="preserve"> and do so separate from the fantasies nestled into rights and respectability</w:t>
      </w:r>
      <w:r>
        <w:rPr>
          <w:rFonts w:ascii="Calibri" w:hAnsi="Calibri" w:eastAsia="Calibri" w:cs="Calibri"/>
          <w:sz w:val="14"/>
          <w:szCs w:val="14"/>
        </w:rPr>
        <w:t>. Instead, our fantasies must come from what Moten and Harney citing Frank B. Wilderson III call the hold : And so it is we remain in the hold, in the break, as if entering again and again the broken world, to trace the visionary company and join it. The hold here is the hold in the slave ship but it is also the hold that we have on reality and fantasy, the hold they have on us and the hold we decide to forego on the other, preferring instead to touch, to be with, to love. If there is no church in the wild, if there is study rather than knowledge production,</w:t>
      </w:r>
      <w:r>
        <w:rPr>
          <w:rFonts w:ascii="Calibri" w:hAnsi="Calibri" w:eastAsia="Calibri" w:cs="Calibri"/>
          <w:b/>
          <w:u w:val="single"/>
        </w:rPr>
        <w:t xml:space="preserve"> </w:t>
      </w:r>
      <w:r>
        <w:rPr>
          <w:rFonts w:ascii="Calibri" w:hAnsi="Calibri" w:eastAsia="Calibri" w:cs="Calibri"/>
          <w:b/>
          <w:highlight w:val="cyan"/>
          <w:u w:val="single"/>
        </w:rPr>
        <w:t xml:space="preserve">if there is a way of being together in brokenness, if there is an undercommons, then we must all find our way to it. And it will not be there where the wild things are, it will be a place where refuge is not necessary and you will find that you were already in it all along. </w:t>
      </w:r>
    </w:p>
    <w:p xmlns:wp14="http://schemas.microsoft.com/office/word/2010/wordml" w:rsidRPr="00972230" w:rsidR="00054398" w:rsidP="00054398" w:rsidRDefault="00054398" w14:paraId="4F827318" wp14:textId="77777777">
      <w:pPr>
        <w:pStyle w:val="Heading3"/>
      </w:pPr>
      <w:r w:rsidRPr="00972230">
        <w:lastRenderedPageBreak/>
        <w:t xml:space="preserve">A: </w:t>
      </w:r>
      <w:r>
        <w:t>Care</w:t>
      </w:r>
    </w:p>
    <w:p xmlns:wp14="http://schemas.microsoft.com/office/word/2010/wordml" w:rsidR="00054398" w:rsidP="00054398" w:rsidRDefault="00054398" w14:paraId="7BC1BAF2" wp14:textId="77777777">
      <w:pPr>
        <w:jc w:val="center"/>
        <w:rPr>
          <w:sz w:val="20"/>
          <w:szCs w:val="20"/>
        </w:rPr>
      </w:pPr>
    </w:p>
    <w:p xmlns:wp14="http://schemas.microsoft.com/office/word/2010/wordml" w:rsidR="00054398" w:rsidP="00054398" w:rsidRDefault="00054398" w14:paraId="6F4AEA8A" wp14:textId="77777777">
      <w:pPr>
        <w:pStyle w:val="Heading4"/>
      </w:pPr>
      <w:r>
        <w:t xml:space="preserve">The alternative is an elaboration of care and love that begins with the world we actually want to live in. Rather than the politics of debunking as an end that characterize the aff, we are more preoccupied with responding to one another in service of how to build sociality in a different way. </w:t>
      </w:r>
    </w:p>
    <w:p xmlns:wp14="http://schemas.microsoft.com/office/word/2010/wordml" w:rsidR="00054398" w:rsidP="00054398" w:rsidRDefault="00054398" w14:paraId="7A12CD58" wp14:textId="77777777">
      <w:r w:rsidRPr="001710C3">
        <w:rPr>
          <w:rStyle w:val="Style13ptBold"/>
        </w:rPr>
        <w:t>Harney and Moten 13</w:t>
      </w:r>
      <w:r>
        <w:t xml:space="preserve"> [The Undercommons: Fugitive Planning and Black Study, Minor Compositions, p 120-121 //tjb]</w:t>
      </w:r>
    </w:p>
    <w:p xmlns:wp14="http://schemas.microsoft.com/office/word/2010/wordml" w:rsidR="00054398" w:rsidP="00054398" w:rsidRDefault="00054398" w14:paraId="61C988F9" wp14:textId="77777777">
      <w:r>
        <w:tab/>
      </w:r>
      <w:r>
        <w:tab/>
      </w:r>
      <w:r>
        <w:tab/>
      </w:r>
      <w:r>
        <w:tab/>
      </w:r>
      <w:r>
        <w:tab/>
      </w:r>
    </w:p>
    <w:p xmlns:wp14="http://schemas.microsoft.com/office/word/2010/wordml" w:rsidR="00054398" w:rsidP="00054398" w:rsidRDefault="00054398" w14:paraId="3B6FE8B3" wp14:textId="77777777">
      <w:r>
        <w:rPr>
          <w:sz w:val="20"/>
          <w:szCs w:val="20"/>
        </w:rPr>
        <w:t xml:space="preserve">STEFANO: </w:t>
      </w:r>
      <w:r>
        <w:t xml:space="preserve">Yeah, I feel that’s true. What I think is that each one is a different way to get at a similar set of questions, to think about the general antagonism, to think about blackness, to think about the un- dercommons. I think </w:t>
      </w:r>
      <w:r w:rsidRPr="00E11F0B">
        <w:rPr>
          <w:rStyle w:val="StyleUnderline"/>
        </w:rPr>
        <w:t>the impulse for me and Fred is always to try and move towards the stuff that we like, and to move towards the mode of living that we like</w:t>
      </w:r>
      <w:r>
        <w:t xml:space="preserve">. We know that </w:t>
      </w:r>
      <w:r w:rsidRPr="00E11F0B">
        <w:rPr>
          <w:rStyle w:val="StyleUnderline"/>
        </w:rPr>
        <w:t>sometimes that involves moving through certain kinds of critique of what’s holding us back. But, for me, each time, what’s going on is that I’m trying to elaborate a different mode of living together with others, of being with others, not just with other people but with other things and other kinds of senses</w:t>
      </w:r>
      <w:r>
        <w:t xml:space="preserve">. At one point, for me anyway, I felt very strongly that this kind of policy world was emerging everywhere – and I wanted to talk with Fred about </w:t>
      </w:r>
      <w:r w:rsidRPr="00E11F0B">
        <w:rPr>
          <w:rStyle w:val="StyleUnderline"/>
        </w:rPr>
        <w:t>how to find our stuff again amidst all this kind of policy work in which everybody seemed from every spot at any moment to be making policy</w:t>
      </w:r>
      <w:r>
        <w:t xml:space="preserve">. I had this image in my head of </w:t>
      </w:r>
      <w:r w:rsidRPr="00E11F0B">
        <w:rPr>
          <w:rStyle w:val="StyleUnderline"/>
        </w:rPr>
        <w:t>a kind of return to a world in which every self-determined individual had the right to make brutal policy on the spot for every person who was not self- determined, which essentially is a colonial or slave situation – and the kind of ubiquity of policy, which all of a sudden, didn’t emanate any- more just from government but from fucking policy shops in every university, and from independent policy shops, and from bloggers, etc. These policy people to me are like night riders.</w:t>
      </w:r>
      <w:r>
        <w:t xml:space="preserve"> So, I felt at that moment it was necessary to deal with it in terms of, </w:t>
      </w:r>
      <w:r w:rsidRPr="00E11F0B">
        <w:rPr>
          <w:rStyle w:val="StyleUnderline"/>
        </w:rPr>
        <w:t>what would you say is going on that occasioned that kind of frenzied attack, this total mobilisation of the  ‘fixed’? What provoked this? That’s why we ended up talking about planning</w:t>
      </w:r>
      <w:r>
        <w:t xml:space="preserve">. But there’s also a part where Fred is very directly able to address blackness in a piece. So, we were able to start with something that we were feeling was an elaboration of our mode of living, our inherited black radical tradition. Then, that piece ends up with </w:t>
      </w:r>
      <w:r w:rsidRPr="00E11F0B">
        <w:rPr>
          <w:rStyle w:val="StyleUnderline"/>
        </w:rPr>
        <w:t>a kind of caution around governance.</w:t>
      </w:r>
      <w:r>
        <w:t xml:space="preserve"> </w:t>
      </w:r>
    </w:p>
    <w:p xmlns:wp14="http://schemas.microsoft.com/office/word/2010/wordml" w:rsidR="00054398" w:rsidP="00054398" w:rsidRDefault="00054398" w14:paraId="5A72107E" wp14:textId="77777777">
      <w:pPr>
        <w:rPr>
          <w:b/>
          <w:u w:val="single"/>
        </w:rPr>
      </w:pPr>
      <w:r>
        <w:t xml:space="preserve">At least from my point of view, I’m always approaching Fred, hanging out with Fred, to say, </w:t>
      </w:r>
      <w:r w:rsidRPr="00E11F0B">
        <w:rPr>
          <w:rStyle w:val="StyleUnderline"/>
        </w:rPr>
        <w:t>we know that there are things we like, so how can we elaborate them this time, not just for each other but also for other people, to say to others let’s keep fighting, keep doing our thing</w:t>
      </w:r>
      <w:r>
        <w:t xml:space="preserve">. So, it’s true that </w:t>
      </w:r>
      <w:r w:rsidRPr="00E11F0B">
        <w:rPr>
          <w:rStyle w:val="StyleUnderline"/>
        </w:rPr>
        <w:t>it isn’t an argument that builds</w:t>
      </w:r>
      <w:r>
        <w:t xml:space="preserve">. To me, </w:t>
      </w:r>
      <w:r w:rsidRPr="00E11F0B">
        <w:rPr>
          <w:rStyle w:val="StyleUnderline"/>
        </w:rPr>
        <w:t>it’s picking up different toys to see if we can get back to what we’re really interested in.</w:t>
      </w:r>
      <w:r>
        <w:t xml:space="preserve"> Not to say that that doesn’t change. I have a richer understanding of social life than I did a few years ago. </w:t>
      </w:r>
      <w:r w:rsidRPr="00E11F0B">
        <w:rPr>
          <w:rStyle w:val="StyleUnderline"/>
        </w:rPr>
        <w:t>When I started working with Fred, social life, to me, had a lot to do with friendship, and it had a lot to do with refusal – refusal to do certain kinds of things. And then gradually I got more and more interested in this term, ‘preservation,</w:t>
      </w:r>
      <w:r>
        <w:t>’ where I started to think about, “well,</w:t>
      </w:r>
      <w:r w:rsidRPr="00E11F0B">
        <w:rPr>
          <w:rStyle w:val="StyleUnderline"/>
        </w:rPr>
        <w:t xml:space="preserve"> </w:t>
      </w:r>
      <w:r>
        <w:rPr>
          <w:b/>
          <w:u w:val="single"/>
        </w:rPr>
        <w:t xml:space="preserve">refusal’s something that we do because of them, what do we do because of ourselves?” Recently, I’ve started to think more about elaborations of care and love. </w:t>
      </w:r>
      <w:r w:rsidRPr="00E11F0B">
        <w:rPr>
          <w:rStyle w:val="StyleUnderline"/>
        </w:rPr>
        <w:t xml:space="preserve">So, my social world is </w:t>
      </w:r>
      <w:r w:rsidRPr="00E11F0B">
        <w:rPr>
          <w:rStyle w:val="StyleUnderline"/>
        </w:rPr>
        <w:lastRenderedPageBreak/>
        <w:t xml:space="preserve">getting bigger with our work. But, </w:t>
      </w:r>
      <w:r>
        <w:rPr>
          <w:b/>
          <w:u w:val="single"/>
        </w:rPr>
        <w:t xml:space="preserve">each piece for me is still another way to come at what we love and what’s keeping us from what we love. So, it isn’t in that sense a scientific investigation that starts at one end and finishes at the other end. </w:t>
      </w:r>
    </w:p>
    <w:p xmlns:wp14="http://schemas.microsoft.com/office/word/2010/wordml" w:rsidRPr="00E11F0B" w:rsidR="00054398" w:rsidP="00054398" w:rsidRDefault="00054398" w14:paraId="666ABACE" wp14:textId="77777777">
      <w:pPr>
        <w:rPr>
          <w:rStyle w:val="StyleUnderline"/>
        </w:rPr>
      </w:pPr>
      <w:r>
        <w:t xml:space="preserve">FRED: It’s funny, </w:t>
      </w:r>
      <w:r w:rsidRPr="00E11F0B">
        <w:rPr>
          <w:rStyle w:val="StyleUnderline"/>
        </w:rPr>
        <w:t>this ubiquity of policy making, the constant deputisation of academic laborers into the apparatuses of police power.</w:t>
      </w:r>
      <w:r>
        <w:t xml:space="preserve"> And they are like night riders, paddy rollers, </w:t>
      </w:r>
      <w:r w:rsidRPr="00E11F0B">
        <w:rPr>
          <w:rStyle w:val="StyleUnderline"/>
        </w:rPr>
        <w:t>everybody’s on patrol, trying to capture the ones who are trying to get out – especially themselves, trying to capture their own fugitivity.</w:t>
      </w:r>
      <w:r>
        <w:t xml:space="preserve"> </w:t>
      </w:r>
      <w:r w:rsidRPr="00E11F0B">
        <w:rPr>
          <w:rStyle w:val="StyleUnderline"/>
        </w:rPr>
        <w:t xml:space="preserve">That’s actually the first place at which policy is directed. </w:t>
      </w:r>
      <w:r>
        <w:t xml:space="preserve">I think that </w:t>
      </w:r>
      <w:r w:rsidRPr="00E11F0B">
        <w:rPr>
          <w:rStyle w:val="StyleUnderline"/>
        </w:rPr>
        <w:t>a huge part of it has to do simply with</w:t>
      </w:r>
      <w:r>
        <w:t xml:space="preserve">, let’s call it, </w:t>
      </w:r>
      <w:r>
        <w:rPr>
          <w:b/>
          <w:u w:val="single"/>
        </w:rPr>
        <w:t>a certain reduction of intellectual life – to reduce study into critique, and then at the same time, a really, really horrific, brutal reduction of critique to debunking, which operates under the general assumption that naturalised academic misery loves company in its isolation, like some kind of warped communal alienation in which people are tied together not by blood or a common language but by the bad feeling they compete over.</w:t>
      </w:r>
      <w:r>
        <w:t xml:space="preserve"> And so, what ends up happening is </w:t>
      </w:r>
      <w:r w:rsidRPr="00E11F0B">
        <w:rPr>
          <w:rStyle w:val="StyleUnderline"/>
        </w:rPr>
        <w:t>you get a whole lot of people who</w:t>
      </w:r>
      <w:r>
        <w:t xml:space="preserve">, as Stefano was suggesting, </w:t>
      </w:r>
      <w:r w:rsidRPr="00E11F0B">
        <w:rPr>
          <w:rStyle w:val="StyleUnderline"/>
        </w:rPr>
        <w:t xml:space="preserve">spend a whole lot of time thinking about stuff that they don’t want to do, thinking about stuff that they don’t want to be, rather than beginning with, and acting out, what they want. </w:t>
      </w:r>
    </w:p>
    <w:p xmlns:wp14="http://schemas.microsoft.com/office/word/2010/wordml" w:rsidR="00054398" w:rsidP="00054398" w:rsidRDefault="00054398" w14:paraId="3B22BB7D" wp14:textId="77777777">
      <w:pPr>
        <w:rPr>
          <w:sz w:val="20"/>
          <w:szCs w:val="20"/>
        </w:rPr>
      </w:pPr>
    </w:p>
    <w:p xmlns:wp14="http://schemas.microsoft.com/office/word/2010/wordml" w:rsidR="00054398" w:rsidP="00054398" w:rsidRDefault="00054398" w14:paraId="50CD8AC2" wp14:textId="77777777">
      <w:pPr>
        <w:pStyle w:val="Heading4"/>
        <w:rPr>
          <w:rFonts w:eastAsia="Calibri"/>
        </w:rPr>
      </w:pPr>
      <w:r>
        <w:rPr>
          <w:rFonts w:eastAsia="Calibri"/>
        </w:rPr>
        <w:t>Love, exchange, and fellowship in the break all characterize our care for one another in mutual brokenness and dispossession. All we know is the world is irreparable, and we must tear down the structure that limits our ability to find each other.</w:t>
      </w:r>
    </w:p>
    <w:p xmlns:wp14="http://schemas.microsoft.com/office/word/2010/wordml" w:rsidR="00054398" w:rsidP="00054398" w:rsidRDefault="00054398" w14:paraId="56079F85" wp14:textId="77777777">
      <w:pPr>
        <w:rPr>
          <w:rFonts w:ascii="Calibri" w:hAnsi="Calibri" w:eastAsia="Calibri" w:cs="Calibri"/>
        </w:rPr>
      </w:pPr>
      <w:r w:rsidRPr="001710C3">
        <w:rPr>
          <w:rStyle w:val="Style13ptBold"/>
        </w:rPr>
        <w:t>Halberstam et al. 13,</w:t>
      </w:r>
      <w:r>
        <w:rPr>
          <w:rFonts w:ascii="Calibri" w:hAnsi="Calibri" w:eastAsia="Calibri" w:cs="Calibri"/>
        </w:rPr>
        <w:t xml:space="preserve"> Jack (Jack Halberstam is Professor of American Studies and Ethnicity, Gender Studies and Comparative Literature at the University of Southern California. Halberstam is the author of five books including: </w:t>
      </w:r>
      <w:hyperlink r:id="rId134">
        <w:r>
          <w:rPr>
            <w:rFonts w:ascii="Calibri" w:hAnsi="Calibri" w:eastAsia="Calibri" w:cs="Calibri"/>
          </w:rPr>
          <w:t>Skin Shows: othic Horror and the Technology of Monsters</w:t>
        </w:r>
      </w:hyperlink>
      <w:r>
        <w:rPr>
          <w:rFonts w:ascii="Calibri" w:hAnsi="Calibri" w:eastAsia="Calibri" w:cs="Calibri"/>
        </w:rPr>
        <w:t xml:space="preserve"> (Duke UP, 1995), </w:t>
      </w:r>
      <w:hyperlink r:id="rId135">
        <w:r>
          <w:rPr>
            <w:rFonts w:ascii="Calibri" w:hAnsi="Calibri" w:eastAsia="Calibri" w:cs="Calibri"/>
          </w:rPr>
          <w:t>Female Masculinity</w:t>
        </w:r>
      </w:hyperlink>
      <w:r>
        <w:rPr>
          <w:rFonts w:ascii="Calibri" w:hAnsi="Calibri" w:eastAsia="Calibri" w:cs="Calibri"/>
        </w:rPr>
        <w:t xml:space="preserve"> (Duke UP, 1998), </w:t>
      </w:r>
      <w:hyperlink r:id="rId136">
        <w:r>
          <w:rPr>
            <w:rFonts w:ascii="Calibri" w:hAnsi="Calibri" w:eastAsia="Calibri" w:cs="Calibri"/>
          </w:rPr>
          <w:t>In A Queer Time and Place</w:t>
        </w:r>
      </w:hyperlink>
      <w:r>
        <w:rPr>
          <w:rFonts w:ascii="Calibri" w:hAnsi="Calibri" w:eastAsia="Calibri" w:cs="Calibri"/>
        </w:rPr>
        <w:t xml:space="preserve"> (NYU Press, 2005), </w:t>
      </w:r>
      <w:hyperlink r:id="rId137">
        <w:r>
          <w:rPr>
            <w:rFonts w:ascii="Calibri" w:hAnsi="Calibri" w:eastAsia="Calibri" w:cs="Calibri"/>
          </w:rPr>
          <w:t>The Queer Art of Failure</w:t>
        </w:r>
      </w:hyperlink>
      <w:r>
        <w:rPr>
          <w:rFonts w:ascii="Calibri" w:hAnsi="Calibri" w:eastAsia="Calibri" w:cs="Calibri"/>
        </w:rPr>
        <w:t xml:space="preserve"> (Duke UP, 2011) and </w:t>
      </w:r>
      <w:hyperlink r:id="rId138">
        <w:r>
          <w:rPr>
            <w:rFonts w:ascii="Calibri" w:hAnsi="Calibri" w:eastAsia="Calibri" w:cs="Calibri"/>
          </w:rPr>
          <w:t>Gaga Feminism: Sex, Gender, and the End of Normal</w:t>
        </w:r>
      </w:hyperlink>
      <w:r>
        <w:rPr>
          <w:rFonts w:ascii="Calibri" w:hAnsi="Calibri" w:eastAsia="Calibri" w:cs="Calibri"/>
        </w:rPr>
        <w:t>(Beacon Press, 2012) and has written articles that have appeared in numerous journals, magazines and collections. Halberstam is currently working on several projects including a book on Fascism and (homo)sexuality. “The Wild Beyond: With and for the Undercommons .” The Undercommons: Fugitive Planning &amp; Black Study, Minor Compositons, 2013, pp. 5–12. // #CS)</w:t>
      </w:r>
    </w:p>
    <w:p xmlns:wp14="http://schemas.microsoft.com/office/word/2010/wordml" w:rsidR="00054398" w:rsidP="00054398" w:rsidRDefault="00054398" w14:paraId="1AD4C84D" wp14:textId="77777777">
      <w:pPr>
        <w:rPr>
          <w:sz w:val="20"/>
          <w:szCs w:val="20"/>
          <w:highlight w:val="cyan"/>
          <w:u w:val="single"/>
        </w:rPr>
      </w:pPr>
      <w:r>
        <w:rPr>
          <w:rFonts w:ascii="Calibri" w:hAnsi="Calibri" w:eastAsia="Calibri" w:cs="Calibri"/>
          <w:highlight w:val="cyan"/>
          <w:u w:val="single"/>
        </w:rPr>
        <w:t>It ends with love, exchange, fellowship. It ends as it begins, in motion, in between various modes of being and belonging, and on the way to new economies of giving, taking, being with and for and it ends with a ride in a Buick Skylark on the way to another place altogether</w:t>
      </w:r>
      <w:r>
        <w:rPr>
          <w:rFonts w:ascii="Calibri" w:hAnsi="Calibri" w:eastAsia="Calibri" w:cs="Calibri"/>
        </w:rPr>
        <w:t>. Surprising, perhaps, after we have engaged dispossession, debt, dislocation and violence. But not surprising when you have understood that the projects of “</w:t>
      </w:r>
      <w:r>
        <w:rPr>
          <w:rFonts w:ascii="Calibri" w:hAnsi="Calibri" w:eastAsia="Calibri" w:cs="Calibri"/>
          <w:highlight w:val="cyan"/>
          <w:u w:val="single"/>
        </w:rPr>
        <w:t>fugitive planning and black study” are mostly about reaching out to find connection; they are about making common cause with the brokenness of being, a brokenness, I would venture to say, that is also blackness, that remains blackness, and will, despite all, remain broken because this book is not a prescription for repair.</w:t>
      </w:r>
      <w:r>
        <w:rPr>
          <w:rFonts w:ascii="Calibri" w:hAnsi="Calibri" w:eastAsia="Calibri" w:cs="Calibri"/>
        </w:rPr>
        <w:t xml:space="preserve"> If we do not seek to fix what has been broken, then what? How do we resolve to live with brokenness, with being broke, which is also what Moten and Harney call “debt.” Well, given that debt is sometimes a history of giving, at other times a history of taking, at all times a history of capitalism and given that debt also signifies a promise of ownership but never delivers on that promise, we have to understand that debt is something that cannot be paid off. Debt, as Harney puts it, presumes a kind of individualized relation to a naturalized economy that is </w:t>
      </w:r>
      <w:r>
        <w:rPr>
          <w:rFonts w:ascii="Calibri" w:hAnsi="Calibri" w:eastAsia="Calibri" w:cs="Calibri"/>
        </w:rPr>
        <w:lastRenderedPageBreak/>
        <w:t xml:space="preserve">predicated upon exploitation. </w:t>
      </w:r>
      <w:r>
        <w:rPr>
          <w:rFonts w:ascii="Calibri" w:hAnsi="Calibri" w:eastAsia="Calibri" w:cs="Calibri"/>
          <w:u w:val="single"/>
        </w:rPr>
        <w:t>Can we have</w:t>
      </w:r>
      <w:r>
        <w:rPr>
          <w:rFonts w:ascii="Calibri" w:hAnsi="Calibri" w:eastAsia="Calibri" w:cs="Calibri"/>
        </w:rPr>
        <w:t xml:space="preserve">, he asks, </w:t>
      </w:r>
      <w:r>
        <w:rPr>
          <w:rFonts w:ascii="Calibri" w:hAnsi="Calibri" w:eastAsia="Calibri" w:cs="Calibri"/>
          <w:u w:val="single"/>
        </w:rPr>
        <w:t>another sense of what is owed that does not presume a nexus of activities like recognition and acknowledgement, payment and gratitude. Can debt “become a principle of elaboration”?</w:t>
      </w:r>
      <w:r>
        <w:rPr>
          <w:rFonts w:ascii="Calibri" w:hAnsi="Calibri" w:eastAsia="Calibri" w:cs="Calibri"/>
        </w:rPr>
        <w:t xml:space="preserve"> Moten links economic debt to the brokenness of being in the interview with Stevphen Shukaitis; he acknowledges that some debts should be paid, and that much is owed especially to black people by white people, and yet, he says: “</w:t>
      </w:r>
      <w:r>
        <w:rPr>
          <w:rFonts w:ascii="Calibri" w:hAnsi="Calibri" w:eastAsia="Calibri" w:cs="Calibri"/>
          <w:b/>
          <w:highlight w:val="cyan"/>
          <w:u w:val="single"/>
        </w:rPr>
        <w:t>I also know that what it is that is supposed to be repaired is irreparable. It can’t be repaired. The only thing we can do is tear this shit down completely and build something new.”</w:t>
      </w:r>
      <w:r>
        <w:rPr>
          <w:rFonts w:ascii="Calibri" w:hAnsi="Calibri" w:eastAsia="Calibri" w:cs="Calibri"/>
        </w:rPr>
        <w:t xml:space="preserve"> The undercommons do not come to pay their debts, to repair what has been broken, to fix what has come undone. If you want to know what the undercommons wants, what Moten and Harney want, what black people, indigenous peoples, queers and poor people want, what we (the “we” who cohabit in the space of the undercommons) want, it is this – </w:t>
      </w:r>
      <w:r>
        <w:rPr>
          <w:rFonts w:ascii="Calibri" w:hAnsi="Calibri" w:eastAsia="Calibri" w:cs="Calibri"/>
          <w:highlight w:val="cyan"/>
          <w:u w:val="single"/>
        </w:rPr>
        <w:t xml:space="preserve">we cannot be satisfied with the recognition and acknowledgement generated by the very system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 </w:t>
      </w:r>
      <w:r>
        <w:rPr>
          <w:rFonts w:ascii="Calibri" w:hAnsi="Calibri" w:eastAsia="Calibri" w:cs="Calibri"/>
          <w:u w:val="single"/>
        </w:rPr>
        <w:t xml:space="preserve">We cannot say what new structures will replace the ones we live with yet, because once we have torn shit down, we will inevitably see more and see differently and feel a new sense of wanting and being and becoming. </w:t>
      </w:r>
      <w:r>
        <w:rPr>
          <w:rFonts w:ascii="Calibri" w:hAnsi="Calibri" w:eastAsia="Calibri" w:cs="Calibri"/>
          <w:highlight w:val="cyan"/>
          <w:u w:val="single"/>
        </w:rPr>
        <w:t>What we want after “the break” will be different from what we think we want before the break and both are necessarily different from the desire that issues from being in the break.</w:t>
      </w:r>
    </w:p>
    <w:p xmlns:wp14="http://schemas.microsoft.com/office/word/2010/wordml" w:rsidR="00054398" w:rsidP="00054398" w:rsidRDefault="00054398" w14:paraId="17B246DD" wp14:textId="77777777">
      <w:pPr>
        <w:rPr>
          <w:sz w:val="20"/>
          <w:szCs w:val="20"/>
        </w:rPr>
      </w:pPr>
    </w:p>
    <w:p xmlns:wp14="http://schemas.microsoft.com/office/word/2010/wordml" w:rsidR="00054398" w:rsidP="00054398" w:rsidRDefault="00054398" w14:paraId="5732B42A" wp14:textId="77777777">
      <w:pPr>
        <w:pStyle w:val="Heading3"/>
      </w:pPr>
      <w:r>
        <w:lastRenderedPageBreak/>
        <w:t>A: Planning</w:t>
      </w:r>
    </w:p>
    <w:p xmlns:wp14="http://schemas.microsoft.com/office/word/2010/wordml" w:rsidR="00054398" w:rsidP="00054398" w:rsidRDefault="00054398" w14:paraId="6BF89DA3" wp14:textId="77777777"/>
    <w:p xmlns:wp14="http://schemas.microsoft.com/office/word/2010/wordml" w:rsidR="00054398" w:rsidP="00054398" w:rsidRDefault="00054398" w14:paraId="56BFC3DB" wp14:textId="77777777">
      <w:pPr>
        <w:pStyle w:val="Heading4"/>
      </w:pPr>
      <w:r>
        <w:t>The alternative is planning in militant preservation of the undercommons – planning comes prior to policy because policy is the management of insurgent life</w:t>
      </w:r>
    </w:p>
    <w:p xmlns:wp14="http://schemas.microsoft.com/office/word/2010/wordml" w:rsidR="00054398" w:rsidP="00054398" w:rsidRDefault="00054398" w14:paraId="4C8A51C4" wp14:textId="77777777">
      <w:r w:rsidRPr="001710C3">
        <w:rPr>
          <w:rStyle w:val="Style13ptBold"/>
        </w:rPr>
        <w:t>Harney and Moten 13</w:t>
      </w:r>
      <w:r>
        <w:t xml:space="preserve"> [The Undercommons: Fugitive Planning and Black Study, Minor Compositions, p 74-76 //tjb]</w:t>
      </w:r>
      <w:r>
        <w:tab/>
      </w:r>
    </w:p>
    <w:p xmlns:wp14="http://schemas.microsoft.com/office/word/2010/wordml" w:rsidR="00054398" w:rsidP="00054398" w:rsidRDefault="00054398" w14:paraId="5C3E0E74" wp14:textId="77777777">
      <w:r>
        <w:tab/>
      </w:r>
      <w:r>
        <w:tab/>
      </w:r>
      <w:r>
        <w:tab/>
      </w:r>
      <w:r>
        <w:tab/>
      </w:r>
      <w:r>
        <w:tab/>
      </w:r>
    </w:p>
    <w:p xmlns:wp14="http://schemas.microsoft.com/office/word/2010/wordml" w:rsidR="00054398" w:rsidP="00054398" w:rsidRDefault="00054398" w14:paraId="24B422C6" wp14:textId="77777777">
      <w:pPr>
        <w:rPr>
          <w:b/>
          <w:u w:val="single"/>
        </w:rPr>
      </w:pPr>
      <w:r>
        <w:rPr>
          <w:b/>
          <w:u w:val="single"/>
        </w:rPr>
        <w:t>What we are calling policy is the new form command takes as command takes hold</w:t>
      </w:r>
      <w:r>
        <w:t xml:space="preserve">. </w:t>
      </w:r>
      <w:r w:rsidRPr="00E11F0B">
        <w:rPr>
          <w:rStyle w:val="StyleUnderline"/>
        </w:rPr>
        <w:t>It has been noted that with new uncertainties in how and where surplus value is generated, and how and where it will be generated next, economic mechanisms of compulsion have been replaced by directly political forms</w:t>
      </w:r>
      <w:r>
        <w:t xml:space="preserve">. Of course for the colonial sub- ject this change is no change as Fanon understood; and as Nahum Chandler has pointed out, the problem of the color line is neither a matter of a new nor an old primitive accumulation. </w:t>
      </w:r>
      <w:r>
        <w:rPr>
          <w:b/>
          <w:u w:val="single"/>
        </w:rPr>
        <w:t>The problem is nothing other than the way the diffierence between labor and capital remains prior to its remainder and is made abundant or into abundance.</w:t>
      </w:r>
      <w:r>
        <w:t xml:space="preserve"> Moreover what we are calling </w:t>
      </w:r>
      <w:r>
        <w:rPr>
          <w:b/>
          <w:u w:val="single"/>
        </w:rPr>
        <w:t>policy comes into view now not because management has failed in the workplace, where it proliferates as never before, but because economic management cannot win the battle that rages in the realm of social reproduction.</w:t>
      </w:r>
      <w:r>
        <w:t xml:space="preserve"> Here </w:t>
      </w:r>
      <w:r>
        <w:rPr>
          <w:b/>
          <w:u w:val="single"/>
        </w:rPr>
        <w:t>management encounters forms of what we will call planning that resist its every effort to impose a compulsion of scarcity through seizing the means of social reproduction.</w:t>
      </w:r>
      <w:r>
        <w:t xml:space="preserve"> </w:t>
      </w:r>
      <w:r w:rsidRPr="00E11F0B">
        <w:rPr>
          <w:rStyle w:val="StyleUnderline"/>
        </w:rPr>
        <w:t>In the undercommons of the social re- productive realm the means, which is to say the planners, are still part of the plan. And the plan is to invent the means in a common experi- ment launched from any kitchen, any back porch, any basement, any hall, any park bench, any improvised party, every night.</w:t>
      </w:r>
      <w:r>
        <w:t xml:space="preserve"> </w:t>
      </w:r>
      <w:r>
        <w:rPr>
          <w:b/>
          <w:u w:val="single"/>
        </w:rPr>
        <w:t xml:space="preserve">This ongoing experiment with the informal, carried out by and on the means of social reproduction, as the to come of the forms of life, is what we mean by planning; planning in the undercommons is not an activity, </w:t>
      </w:r>
      <w:r>
        <w:t xml:space="preserve">not shing or dancing or teaching or loving, </w:t>
      </w:r>
      <w:r>
        <w:rPr>
          <w:b/>
          <w:u w:val="single"/>
        </w:rPr>
        <w:t xml:space="preserve">but the ceaseless experiment with the futurial presence of the forms of life that make such activities possible. </w:t>
      </w:r>
      <w:r>
        <w:t xml:space="preserve">It is these means that were eventually stolen by, in having been willingly given up to, state socialism whose perversion of planning was a crime second only to the deployment of policy in to- day’s command economy. Of course, the old forms of command have never gone away. </w:t>
      </w:r>
      <w:r>
        <w:rPr>
          <w:b/>
          <w:u w:val="single"/>
        </w:rPr>
        <w:t xml:space="preserve">The carceral state is still in effect and strategic wars on drugs, youth, violence, and terrorism have even given way to logistic wars of drones and credit. </w:t>
      </w:r>
      <w:r>
        <w:t xml:space="preserve">But horrible as such state command remains, it now deputises and delegates its power to seemingly countless and utterly account- able and accounted for agents who perform contemporary internal versions of the knightriders and settlers of earlier state violence depu- tisations. Or rather, since </w:t>
      </w:r>
      <w:r>
        <w:rPr>
          <w:b/>
          <w:u w:val="single"/>
        </w:rPr>
        <w:t xml:space="preserve">nightriders and settlers never really went away, deputised for segregation, anti-communism, migration, and nuclear family heteropatriarchy in much of the Global North, what policy represents is a new weapon in the hands of these citizen-deputies. </w:t>
      </w:r>
      <w:r>
        <w:t xml:space="preserve">Stand your ground – because man was not born to run away, because his color won’t run, because again and again the settler must incant the disavowal and target the epidermalised trace of his own desire for refuge – is only the most notorious iteration of this renewed dispersal and deputisation of state violence, aimed into the fugitive, ambling neighbourhoods of the undercommons. Content neither with abandoning the realm of social reproduction nor </w:t>
      </w:r>
      <w:r>
        <w:lastRenderedPageBreak/>
        <w:t xml:space="preserve">conditioning it for the workplace, the two always related moves of the relative autonomy of the capitalist state, today </w:t>
      </w:r>
      <w:r>
        <w:rPr>
          <w:b/>
          <w:u w:val="single"/>
        </w:rPr>
        <w:t>capital</w:t>
      </w:r>
      <w:r>
        <w:t xml:space="preserve"> wants in. It </w:t>
      </w:r>
      <w:r>
        <w:rPr>
          <w:b/>
          <w:u w:val="single"/>
        </w:rPr>
        <w:t>has glimpsed the value of social reproduction and wants control of the means, and no longer just by converting them into productivities within formal industrialisations of care, food, education, sex, etc. but by gaining access to and directly controlling the informal experiment with the social reproduction of life itself</w:t>
      </w:r>
      <w:r>
        <w:t xml:space="preserve">. </w:t>
      </w:r>
      <w:r>
        <w:rPr>
          <w:b/>
          <w:u w:val="single"/>
        </w:rPr>
        <w:t>To do this, it has to break up the ongoing plans of the undercommons</w:t>
      </w:r>
      <w:r>
        <w:t xml:space="preserve">. And here, with bitter irony, is where the hope West could still speak of in 1984, which has subsequently gone back underground, is conjured as an image whose fecklessness is also its monstrosity. What we talk about, in its survival, as planning appears, in its waning, as hope, which has been deployed against us in ever more perverted and reduced form by the Clinton- Obama axis for much of the last twenty years. </w:t>
      </w:r>
      <w:r>
        <w:rPr>
          <w:b/>
          <w:u w:val="single"/>
        </w:rPr>
        <w:t>Planning is self-sufficiency at the social level, and it reproduces in its experiment not just what it needs, life, but what it wants, life in difference, in the play of the general antagonism. Planning starts from the solidity, the continuity, and the rest of this social self-sufficiency, though it does not end there in having placed all these complex motion</w:t>
      </w:r>
      <w:r>
        <w:t xml:space="preserve">. </w:t>
      </w:r>
      <w:r>
        <w:rPr>
          <w:b/>
          <w:u w:val="single"/>
        </w:rPr>
        <w:t>It begins, as this disruption of beginning, with what we might call a militant preservation.</w:t>
      </w:r>
      <w:r>
        <w:t xml:space="preserve"> And these are its means. </w:t>
      </w:r>
      <w:r w:rsidRPr="00E11F0B">
        <w:rPr>
          <w:rStyle w:val="StyleUnderline"/>
        </w:rPr>
        <w:t>Policy deputises those willing to, those who come to want to, break up these means as a way of controlling them, as once it was neces- sary to de-skill a worker in a factory by breaking up his means of production. And it does this by diagnosing the planners.</w:t>
      </w:r>
      <w:r>
        <w:t xml:space="preserve"> </w:t>
      </w:r>
      <w:r>
        <w:rPr>
          <w:b/>
          <w:u w:val="single"/>
        </w:rPr>
        <w:t>Policy says that those who plan have something wrong with them, something deeply – ontologically – wrong with them.</w:t>
      </w:r>
      <w:r>
        <w:t xml:space="preserve"> This is the first thrust of policy as dispersed, deputised command. What’s wrong with them? </w:t>
      </w:r>
      <w:r>
        <w:rPr>
          <w:b/>
          <w:u w:val="single"/>
        </w:rPr>
        <w:t>They won’t change. They won’t embrace change. They’ve lost hope. So say the policy deputies</w:t>
      </w:r>
      <w:r>
        <w:t xml:space="preserve">. They need to be given hope. They need to see that change is the only option. </w:t>
      </w:r>
      <w:r>
        <w:rPr>
          <w:b/>
          <w:u w:val="single"/>
        </w:rPr>
        <w:t>By change what the policy deputies mean is contingency, risk, exibility, and adaptability to the groundless ground of the hollow capitalist subject, in the realm of automatic subjection that is capital</w:t>
      </w:r>
      <w:r>
        <w:t xml:space="preserve">. </w:t>
      </w:r>
      <w:r>
        <w:rPr>
          <w:b/>
          <w:u w:val="single"/>
        </w:rPr>
        <w:t xml:space="preserve">Policy is thus arrayed in the exclusive and exclusionary uniform/ity of contingency as imposed consensus, which both denies and at the very same time seeks to destroy the ongoing plans, the fugitive initiations, the black operations, of the multitude. </w:t>
      </w:r>
    </w:p>
    <w:p xmlns:wp14="http://schemas.microsoft.com/office/word/2010/wordml" w:rsidR="00054398" w:rsidP="00054398" w:rsidRDefault="00054398" w14:paraId="66A1FAB9" wp14:textId="77777777">
      <w:pPr>
        <w:rPr>
          <w:sz w:val="20"/>
          <w:szCs w:val="20"/>
        </w:rPr>
      </w:pPr>
    </w:p>
    <w:p xmlns:wp14="http://schemas.microsoft.com/office/word/2010/wordml" w:rsidR="00054398" w:rsidP="00054398" w:rsidRDefault="00054398" w14:paraId="1E12F816" wp14:textId="77777777">
      <w:pPr>
        <w:pStyle w:val="Heading3"/>
      </w:pPr>
      <w:r>
        <w:lastRenderedPageBreak/>
        <w:t>A: Critical Disciplinarity</w:t>
      </w:r>
    </w:p>
    <w:p xmlns:wp14="http://schemas.microsoft.com/office/word/2010/wordml" w:rsidR="00054398" w:rsidP="00054398" w:rsidRDefault="00054398" w14:paraId="76BB753C" wp14:textId="77777777">
      <w:pPr>
        <w:jc w:val="center"/>
        <w:rPr>
          <w:sz w:val="20"/>
          <w:szCs w:val="20"/>
        </w:rPr>
      </w:pPr>
    </w:p>
    <w:p xmlns:wp14="http://schemas.microsoft.com/office/word/2010/wordml" w:rsidR="00054398" w:rsidP="00054398" w:rsidRDefault="00054398" w14:paraId="7F16B2EE" wp14:textId="77777777">
      <w:pPr>
        <w:pStyle w:val="Heading4"/>
      </w:pPr>
      <w:r>
        <w:t>Thus the alternative is a critical interdisciplinarity that allows for experimentation with difference that is not overdetermined by institutionality</w:t>
      </w:r>
    </w:p>
    <w:p xmlns:wp14="http://schemas.microsoft.com/office/word/2010/wordml" w:rsidR="00054398" w:rsidP="00054398" w:rsidRDefault="00054398" w14:paraId="43F3B50E" wp14:textId="77777777">
      <w:pPr>
        <w:rPr>
          <w:sz w:val="20"/>
          <w:szCs w:val="20"/>
        </w:rPr>
      </w:pPr>
      <w:r w:rsidRPr="001710C3">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18]</w:t>
      </w:r>
    </w:p>
    <w:p xmlns:wp14="http://schemas.microsoft.com/office/word/2010/wordml" w:rsidR="00054398" w:rsidP="00054398" w:rsidRDefault="00054398" w14:paraId="513DA1E0" wp14:textId="77777777">
      <w:pPr>
        <w:rPr>
          <w:sz w:val="20"/>
          <w:szCs w:val="20"/>
        </w:rPr>
      </w:pP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4AFE389E" wp14:textId="77777777">
      <w:pPr>
        <w:rPr>
          <w:b/>
          <w:sz w:val="20"/>
          <w:szCs w:val="20"/>
          <w:u w:val="single"/>
        </w:rPr>
      </w:pPr>
      <w:r>
        <w:rPr>
          <w:sz w:val="20"/>
          <w:szCs w:val="20"/>
          <w:u w:val="single"/>
        </w:rPr>
        <w:t>Critiques of the university that presume the derivative nature of the academy from the economy implicitly and unconsciously place a ban on modes of difference as sites of political subjectivization.</w:t>
      </w:r>
      <w:r>
        <w:rPr>
          <w:sz w:val="20"/>
          <w:szCs w:val="20"/>
        </w:rPr>
        <w:t xml:space="preserve"> </w:t>
      </w:r>
      <w:r>
        <w:rPr>
          <w:sz w:val="20"/>
          <w:szCs w:val="20"/>
          <w:u w:val="single"/>
        </w:rPr>
        <w:t>They become spaces of consensus as they dismiss minority culture and minority difference as formations completely overwhelmed and determined by commodity culture, whether within or outside the academy.</w:t>
      </w:r>
      <w:r>
        <w:rPr>
          <w:sz w:val="20"/>
          <w:szCs w:val="20"/>
        </w:rPr>
        <w:t xml:space="preserve"> </w:t>
      </w:r>
      <w:r>
        <w:rPr>
          <w:sz w:val="20"/>
          <w:szCs w:val="20"/>
          <w:u w:val="single"/>
        </w:rPr>
        <w:t>Such stances disqualify minority difference and minority culture as potential sites of dissensus with the potential to create fissures and to make room for the inadmissible.</w:t>
      </w:r>
      <w:r>
        <w:rPr>
          <w:sz w:val="20"/>
          <w:szCs w:val="20"/>
        </w:rPr>
        <w:t xml:space="preserve"> </w:t>
      </w:r>
      <w:r>
        <w:rPr>
          <w:sz w:val="20"/>
          <w:szCs w:val="20"/>
          <w:u w:val="single"/>
        </w:rPr>
        <w:t>Given the flexibility of minority difference, ours must be an ongoing experimentation with the ruptural possibilities of modes of difference.</w:t>
      </w:r>
      <w:r>
        <w:rPr>
          <w:sz w:val="20"/>
          <w:szCs w:val="20"/>
        </w:rPr>
        <w:t xml:space="preserve"> </w:t>
      </w:r>
      <w:r>
        <w:rPr>
          <w:i/>
          <w:sz w:val="20"/>
          <w:szCs w:val="20"/>
        </w:rPr>
        <w:t xml:space="preserve">The Reorder of Things </w:t>
      </w:r>
      <w:r>
        <w:rPr>
          <w:sz w:val="20"/>
          <w:szCs w:val="20"/>
        </w:rPr>
        <w:t xml:space="preserve">is, therefore, a provocation to not only evaluate the vul- nerabilities of sixties social movements and the interdisciplinary formations that they inspired but also "develop modes of analyses which </w:t>
      </w:r>
      <w:r>
        <w:t xml:space="preserve">... </w:t>
      </w:r>
      <w:r>
        <w:rPr>
          <w:sz w:val="20"/>
          <w:szCs w:val="20"/>
        </w:rPr>
        <w:t>are capa- ble of discerning, in good faith, the finite but significant openness of many actual initiatives and contributions.</w:t>
      </w:r>
      <w:r>
        <w:rPr>
          <w:sz w:val="18"/>
          <w:szCs w:val="18"/>
        </w:rPr>
        <w:t xml:space="preserve">"3! </w:t>
      </w:r>
      <w:r>
        <w:rPr>
          <w:sz w:val="20"/>
          <w:szCs w:val="20"/>
          <w:u w:val="single"/>
        </w:rPr>
        <w:t>Such an investigation requires that we find ways to slip away from the archival maneuvers of power/knowl- edge, recognizing that power's archival advance is ever encroaching.</w:t>
      </w:r>
      <w:r>
        <w:rPr>
          <w:sz w:val="20"/>
          <w:szCs w:val="20"/>
        </w:rPr>
        <w:t xml:space="preserve"> </w:t>
      </w:r>
      <w:r>
        <w:rPr>
          <w:sz w:val="20"/>
          <w:szCs w:val="20"/>
          <w:u w:val="single"/>
        </w:rPr>
        <w:t>The context of power/knowledge might be the occasion for interdisciplinarity's revival rather than its demise.</w:t>
      </w:r>
      <w:r>
        <w:rPr>
          <w:sz w:val="20"/>
          <w:szCs w:val="20"/>
        </w:rPr>
        <w:t xml:space="preserve"> </w:t>
      </w:r>
      <w:r>
        <w:rPr>
          <w:sz w:val="20"/>
          <w:szCs w:val="20"/>
          <w:u w:val="single"/>
        </w:rPr>
        <w:t>The possibility for a generative inquiry into institutionality lies in the interrogation of those relationships between tex- tuality and institutionality and what they reveal about the co-constitutive anatomies of institutional belonging and minoritized subject formations.</w:t>
      </w:r>
      <w:r>
        <w:rPr>
          <w:sz w:val="20"/>
          <w:szCs w:val="20"/>
        </w:rPr>
        <w:t xml:space="preserve"> As a letter frames a plane crash, so the academic frames our social predicament. In doing so, the collage suggests the means by which minority difference is brought into regimes of representation and fundamentally reconstitutes them. </w:t>
      </w:r>
      <w:r>
        <w:rPr>
          <w:sz w:val="20"/>
          <w:szCs w:val="20"/>
          <w:u w:val="single"/>
        </w:rPr>
        <w:t xml:space="preserve">This examination </w:t>
      </w:r>
      <w:r>
        <w:rPr>
          <w:sz w:val="18"/>
          <w:szCs w:val="18"/>
          <w:u w:val="single"/>
        </w:rPr>
        <w:t xml:space="preserve">is </w:t>
      </w:r>
      <w:r>
        <w:rPr>
          <w:sz w:val="20"/>
          <w:szCs w:val="20"/>
          <w:u w:val="single"/>
        </w:rPr>
        <w:t>the business of a critical interdisciplinarity</w:t>
      </w:r>
      <w:r>
        <w:rPr>
          <w:sz w:val="20"/>
          <w:szCs w:val="20"/>
        </w:rPr>
        <w:t xml:space="preserve">. So, this is what inspires me to tell you not to forsake this image and the lessons that it bears. </w:t>
      </w:r>
      <w:r>
        <w:rPr>
          <w:sz w:val="20"/>
          <w:szCs w:val="20"/>
          <w:u w:val="single"/>
        </w:rPr>
        <w:t>Some will see this picture and become like that Watcher who "turns his eyes away in resignation" as his dreams are mocked to death by power and institutions, his cynicism validated by his experience of the facts.</w:t>
      </w:r>
      <w:r>
        <w:rPr>
          <w:sz w:val="20"/>
          <w:szCs w:val="20"/>
        </w:rPr>
        <w:t xml:space="preserve"> </w:t>
      </w:r>
      <w:r>
        <w:rPr>
          <w:b/>
          <w:sz w:val="20"/>
          <w:szCs w:val="20"/>
          <w:u w:val="single"/>
        </w:rPr>
        <w:t xml:space="preserve">Others--not beholden to any breed of positivism--will take its cautions to mind and heart, crafting deeds and working up visions that are in the institution but not of it, knowing that the dream is still the truth. </w:t>
      </w:r>
    </w:p>
    <w:p xmlns:wp14="http://schemas.microsoft.com/office/word/2010/wordml" w:rsidR="00054398" w:rsidP="00054398" w:rsidRDefault="00054398" w14:paraId="75CAC6F5" wp14:textId="77777777">
      <w:pPr>
        <w:rPr>
          <w:sz w:val="20"/>
          <w:szCs w:val="20"/>
        </w:rPr>
      </w:pPr>
    </w:p>
    <w:p xmlns:wp14="http://schemas.microsoft.com/office/word/2010/wordml" w:rsidR="00054398" w:rsidP="00054398" w:rsidRDefault="00054398" w14:paraId="5D0B53EB" wp14:textId="77777777">
      <w:pPr>
        <w:rPr>
          <w:sz w:val="20"/>
          <w:szCs w:val="20"/>
        </w:rPr>
      </w:pPr>
      <w:r w:rsidRPr="001710C3">
        <w:rPr>
          <w:rStyle w:val="Heading4Char"/>
        </w:rPr>
        <w:t>The current political moment of multiculturalism demands we engage with the terms of academic representation-- the time is now to ask questions about how the minority is made to speak in and included on the terms of institutional protocols, and to refuse to reiterate power’s hold on our interdisciplinary lives</w:t>
      </w:r>
      <w:r>
        <w:rPr>
          <w:sz w:val="20"/>
          <w:szCs w:val="20"/>
        </w:rPr>
        <w:t>.</w:t>
      </w:r>
    </w:p>
    <w:p xmlns:wp14="http://schemas.microsoft.com/office/word/2010/wordml" w:rsidR="00054398" w:rsidP="00054398" w:rsidRDefault="00054398" w14:paraId="5A73AA28" wp14:textId="77777777">
      <w:pPr>
        <w:rPr>
          <w:sz w:val="20"/>
          <w:szCs w:val="20"/>
        </w:rPr>
      </w:pPr>
      <w:r w:rsidRPr="001710C3">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229-231]</w:t>
      </w:r>
    </w:p>
    <w:p xmlns:wp14="http://schemas.microsoft.com/office/word/2010/wordml" w:rsidR="00054398" w:rsidP="00054398" w:rsidRDefault="00054398" w14:paraId="66060428" wp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49549276" wp14:textId="77777777">
      <w:pPr>
        <w:rPr>
          <w:b/>
          <w:sz w:val="20"/>
          <w:szCs w:val="20"/>
          <w:u w:val="single"/>
        </w:rPr>
      </w:pPr>
      <w:r>
        <w:rPr>
          <w:sz w:val="18"/>
          <w:szCs w:val="18"/>
        </w:rPr>
        <w:lastRenderedPageBreak/>
        <w:t xml:space="preserve">As </w:t>
      </w:r>
      <w:r>
        <w:rPr>
          <w:sz w:val="20"/>
          <w:szCs w:val="20"/>
        </w:rPr>
        <w:t xml:space="preserve">a depiction of an academic icon assimilated into state representation, the piece recalls Frederick Jackson Turner's understanding of the American university as an imperial site ready to discover and name new frontiers that the university might incorporate. Refuting the notion that the university is "the passive instrument of the State," Turner writes that </w:t>
      </w:r>
      <w:r>
        <w:rPr>
          <w:b/>
          <w:sz w:val="20"/>
          <w:szCs w:val="20"/>
          <w:u w:val="single"/>
        </w:rPr>
        <w:t>the university ex- ists to "create tendencies and to direct them.</w:t>
      </w:r>
      <w:r>
        <w:rPr>
          <w:sz w:val="20"/>
          <w:szCs w:val="20"/>
        </w:rPr>
        <w:t xml:space="preserve">"2 Believing that the land and material resources that the United States could acquire in its manifested destiny would eventually come to an end, Turner turned toward the univer- sity as the domain that could produce the conditions for "the multiplication of motives for ambition and the opening of new lines of achievement for the strongest."3 </w:t>
      </w:r>
      <w:r>
        <w:rPr>
          <w:sz w:val="20"/>
          <w:szCs w:val="20"/>
          <w:u w:val="single"/>
        </w:rPr>
        <w:t>Constructing the American academy as the new vessel of manifest destiny, Turner wrote, "In place of old frontiers of wilderness, there are new frontiers of unwon fields of science, fruitful for the needs of the race; there are frontiers of better social domains yet unexplored</w:t>
      </w:r>
      <w:r>
        <w:rPr>
          <w:sz w:val="20"/>
          <w:szCs w:val="20"/>
        </w:rPr>
        <w:t xml:space="preserve">."4 Here, </w:t>
      </w:r>
      <w:r>
        <w:rPr>
          <w:sz w:val="20"/>
          <w:szCs w:val="20"/>
          <w:u w:val="single"/>
        </w:rPr>
        <w:t>Turner identified the academy as an agent of a broadly conceived imperial power:</w:t>
      </w:r>
      <w:r>
        <w:rPr>
          <w:sz w:val="20"/>
          <w:szCs w:val="20"/>
        </w:rPr>
        <w:t xml:space="preserve"> "The [university</w:t>
      </w:r>
      <w:r>
        <w:rPr>
          <w:sz w:val="24"/>
          <w:szCs w:val="24"/>
        </w:rPr>
        <w:t xml:space="preserve"> </w:t>
      </w:r>
      <w:r>
        <w:rPr>
          <w:sz w:val="20"/>
          <w:szCs w:val="20"/>
        </w:rPr>
        <w:t>must awaken new demands and it must satisfy those demands by trained leaders with new motives, with new incentives to ambition, with higher and broader conception of what constitutes the prize in life, of what constitutes success."</w:t>
      </w:r>
      <w:r>
        <w:rPr>
          <w:sz w:val="12"/>
          <w:szCs w:val="12"/>
        </w:rPr>
        <w:t xml:space="preserve">5 </w:t>
      </w:r>
      <w:r>
        <w:rPr>
          <w:sz w:val="20"/>
          <w:szCs w:val="20"/>
        </w:rPr>
        <w:t xml:space="preserve">But even Tumer could not have imagined that minority difference would become one of the fields that the academy and other dominant institutions would attempt to win over. </w:t>
      </w:r>
      <w:r>
        <w:rPr>
          <w:b/>
          <w:sz w:val="18"/>
          <w:szCs w:val="18"/>
          <w:u w:val="single"/>
        </w:rPr>
        <w:t xml:space="preserve">As </w:t>
      </w:r>
      <w:r>
        <w:rPr>
          <w:b/>
          <w:sz w:val="20"/>
          <w:szCs w:val="20"/>
          <w:u w:val="single"/>
        </w:rPr>
        <w:t>an institution that has attempted to mobilize knowledge formations for conquest, the university provides an explanation of power's strength, that power does not simply produce repression but that it "produces effects at the level of desire-and also at the level of knowledge.</w:t>
      </w:r>
      <w:r>
        <w:rPr>
          <w:sz w:val="20"/>
          <w:szCs w:val="20"/>
        </w:rPr>
        <w:t xml:space="preserve">"6 Far from being an entity that is the reflection of capital or the impotent foundation of abstract ideas, </w:t>
      </w:r>
      <w:r>
        <w:rPr>
          <w:b/>
          <w:sz w:val="20"/>
          <w:szCs w:val="20"/>
          <w:u w:val="single"/>
        </w:rPr>
        <w:t xml:space="preserve">the academy </w:t>
      </w:r>
      <w:r>
        <w:rPr>
          <w:b/>
          <w:u w:val="single"/>
        </w:rPr>
        <w:t xml:space="preserve">is-as </w:t>
      </w:r>
      <w:r>
        <w:rPr>
          <w:b/>
          <w:sz w:val="20"/>
          <w:szCs w:val="20"/>
          <w:u w:val="single"/>
        </w:rPr>
        <w:t>this book has attempted to illustrate- part of the mechanisms of power that have functioned "outside, below, and alongside" apparatuses of state and capital.</w:t>
      </w:r>
      <w:r>
        <w:rPr>
          <w:sz w:val="20"/>
          <w:szCs w:val="20"/>
        </w:rPr>
        <w:t xml:space="preserve">? </w:t>
      </w:r>
      <w:r>
        <w:rPr>
          <w:b/>
          <w:sz w:val="18"/>
          <w:szCs w:val="18"/>
          <w:u w:val="single"/>
        </w:rPr>
        <w:t xml:space="preserve">As </w:t>
      </w:r>
      <w:r>
        <w:rPr>
          <w:b/>
          <w:sz w:val="20"/>
          <w:szCs w:val="20"/>
          <w:u w:val="single"/>
        </w:rPr>
        <w:t xml:space="preserve">an entity that invests itself in motives, incentives, ambitions, and behaviors, the academy under- </w:t>
      </w:r>
      <w:r>
        <w:rPr>
          <w:b/>
          <w:sz w:val="18"/>
          <w:szCs w:val="18"/>
          <w:u w:val="single"/>
        </w:rPr>
        <w:t xml:space="preserve">lines </w:t>
      </w:r>
      <w:r>
        <w:rPr>
          <w:b/>
          <w:sz w:val="20"/>
          <w:szCs w:val="20"/>
          <w:u w:val="single"/>
        </w:rPr>
        <w:t>the diffuse nature of institutionalization as a mode of hegemonic power.</w:t>
      </w:r>
      <w:r>
        <w:rPr>
          <w:sz w:val="20"/>
          <w:szCs w:val="20"/>
        </w:rPr>
        <w:t xml:space="preserve"> Summing up the diffuse strategies that comprise the academy's powers- that is, its simultaneous management of knowledge and subject forma- tions-Turner wrote, "The University has to deal with both the soil and sifted seed in the agriculture of the human spirit."</w:t>
      </w:r>
      <w:r>
        <w:rPr>
          <w:sz w:val="12"/>
          <w:szCs w:val="12"/>
        </w:rPr>
        <w:t xml:space="preserve">8 </w:t>
      </w:r>
      <w:r>
        <w:rPr>
          <w:sz w:val="20"/>
          <w:szCs w:val="20"/>
          <w:u w:val="single"/>
        </w:rPr>
        <w:t>The post-civil rights academy represented the moment when the acad- emy and other institutions of power would widen their "agricultural" hori- zons, tilling and harvesting forms of minority difference, preparing them for new horizons of success and attainment, culling those forms for the benefit of hegemony rather than the material well-being of disfranchised communities.</w:t>
      </w:r>
      <w:r>
        <w:rPr>
          <w:sz w:val="20"/>
          <w:szCs w:val="20"/>
        </w:rPr>
        <w:t xml:space="preserve"> This articulation of minority difference renders it into a good that bears the image of a minoritized subject but </w:t>
      </w:r>
      <w:r>
        <w:rPr>
          <w:sz w:val="18"/>
          <w:szCs w:val="18"/>
        </w:rPr>
        <w:t xml:space="preserve">is </w:t>
      </w:r>
      <w:r>
        <w:rPr>
          <w:sz w:val="20"/>
          <w:szCs w:val="20"/>
        </w:rPr>
        <w:t xml:space="preserve">too expensive to find itself in the hands of most minoritized people. As an artwork that dramatizes the irony of a representation that </w:t>
      </w:r>
      <w:r>
        <w:rPr>
          <w:sz w:val="18"/>
          <w:szCs w:val="18"/>
        </w:rPr>
        <w:t xml:space="preserve">is </w:t>
      </w:r>
      <w:r>
        <w:rPr>
          <w:sz w:val="20"/>
          <w:szCs w:val="20"/>
        </w:rPr>
        <w:t xml:space="preserve">popular and a gradation of currency that </w:t>
      </w:r>
      <w:r>
        <w:rPr>
          <w:sz w:val="18"/>
          <w:szCs w:val="18"/>
        </w:rPr>
        <w:t xml:space="preserve">is </w:t>
      </w:r>
      <w:r>
        <w:rPr>
          <w:sz w:val="20"/>
          <w:szCs w:val="20"/>
        </w:rPr>
        <w:t xml:space="preserve">exclusive, </w:t>
      </w:r>
      <w:r>
        <w:rPr>
          <w:i/>
          <w:sz w:val="18"/>
          <w:szCs w:val="18"/>
        </w:rPr>
        <w:t xml:space="preserve">Black Currency </w:t>
      </w:r>
      <w:r>
        <w:rPr>
          <w:sz w:val="20"/>
          <w:szCs w:val="20"/>
        </w:rPr>
        <w:t xml:space="preserve">raises a question central to this book: </w:t>
      </w:r>
      <w:r>
        <w:rPr>
          <w:b/>
          <w:sz w:val="20"/>
          <w:szCs w:val="20"/>
          <w:u w:val="single"/>
        </w:rPr>
        <w:t>Are there other ways to disseminate and cir- culate minority culture and difference that do not place them within dom-inant systems of value?</w:t>
      </w:r>
      <w:r>
        <w:rPr>
          <w:sz w:val="20"/>
          <w:szCs w:val="20"/>
        </w:rPr>
        <w:t xml:space="preserve"> What happens when the texts that engage minority difference disturb the expectations and systems of intelligibility put in place by disciplines and institutions? </w:t>
      </w:r>
      <w:r>
        <w:rPr>
          <w:b/>
          <w:sz w:val="20"/>
          <w:szCs w:val="20"/>
          <w:u w:val="single"/>
        </w:rPr>
        <w:t xml:space="preserve">What happens if those texts are used to imagine how minoritized subjects and knowledge might inhabit institu-tional spaces in ways dominant institutions never intended? We are now in the moment where it </w:t>
      </w:r>
      <w:r>
        <w:rPr>
          <w:b/>
          <w:sz w:val="18"/>
          <w:szCs w:val="18"/>
          <w:u w:val="single"/>
        </w:rPr>
        <w:t xml:space="preserve">is </w:t>
      </w:r>
      <w:r>
        <w:rPr>
          <w:b/>
          <w:sz w:val="20"/>
          <w:szCs w:val="20"/>
          <w:u w:val="single"/>
        </w:rPr>
        <w:t>crucial that we develop a criti- cally agnostic relationship to minority difference and culture.</w:t>
      </w:r>
      <w:r>
        <w:rPr>
          <w:sz w:val="20"/>
          <w:szCs w:val="20"/>
        </w:rPr>
        <w:t xml:space="preserve"> </w:t>
      </w:r>
      <w:r w:rsidRPr="00E11F0B">
        <w:rPr>
          <w:rStyle w:val="StyleUnderline"/>
        </w:rPr>
        <w:t xml:space="preserve">If </w:t>
      </w:r>
      <w:r>
        <w:rPr>
          <w:sz w:val="20"/>
          <w:szCs w:val="20"/>
          <w:u w:val="single"/>
        </w:rPr>
        <w:t>the his- tory of minority difference and culture in the post-World War II moment, and after the student movements, bespeaks minority difference and culture's maneuverability by dominant systems of power, then we can no longer assume their radical alterity</w:t>
      </w:r>
      <w:r>
        <w:rPr>
          <w:sz w:val="20"/>
          <w:szCs w:val="20"/>
        </w:rPr>
        <w:t xml:space="preserve">. In a period of hegemonic affirmation, </w:t>
      </w:r>
      <w:r>
        <w:rPr>
          <w:b/>
          <w:sz w:val="20"/>
          <w:szCs w:val="20"/>
          <w:u w:val="single"/>
        </w:rPr>
        <w:t xml:space="preserve">the question for us has to be how best </w:t>
      </w:r>
      <w:r>
        <w:rPr>
          <w:b/>
          <w:sz w:val="18"/>
          <w:szCs w:val="18"/>
          <w:u w:val="single"/>
        </w:rPr>
        <w:t xml:space="preserve">to </w:t>
      </w:r>
      <w:r>
        <w:rPr>
          <w:b/>
          <w:sz w:val="20"/>
          <w:szCs w:val="20"/>
          <w:u w:val="single"/>
        </w:rPr>
        <w:t>maneuver an especially flexible social artifact to disrupt dominant forms of institutionality.</w:t>
      </w:r>
      <w:r>
        <w:rPr>
          <w:sz w:val="20"/>
          <w:szCs w:val="20"/>
        </w:rPr>
        <w:t xml:space="preserve"> </w:t>
      </w:r>
      <w:r>
        <w:rPr>
          <w:b/>
          <w:u w:val="single"/>
        </w:rPr>
        <w:t xml:space="preserve">If </w:t>
      </w:r>
      <w:r>
        <w:rPr>
          <w:b/>
          <w:sz w:val="20"/>
          <w:szCs w:val="20"/>
          <w:u w:val="single"/>
        </w:rPr>
        <w:t xml:space="preserve">textual production </w:t>
      </w:r>
      <w:r>
        <w:rPr>
          <w:b/>
          <w:sz w:val="18"/>
          <w:szCs w:val="18"/>
          <w:u w:val="single"/>
        </w:rPr>
        <w:t xml:space="preserve">is </w:t>
      </w:r>
      <w:r>
        <w:rPr>
          <w:b/>
          <w:sz w:val="20"/>
          <w:szCs w:val="20"/>
          <w:u w:val="single"/>
        </w:rPr>
        <w:t>always a mode of institutional production, then how we read, write, and design minority difference and culture has everything to do with the kind of minority communities that we imagine and institutionalize and might become the very question of our reinvigorated interdisciplinary life.</w:t>
      </w:r>
      <w:r>
        <w:rPr>
          <w:sz w:val="20"/>
          <w:szCs w:val="20"/>
        </w:rPr>
        <w:t xml:space="preserve"> Isn't this the moment to wrest minority difference away from special- ization, away from "a set of authorities and canonical ideas,"9 away from that mode of expertise that compels us to turn modes of difference into credentials that will put us in the employ of power? Isn't this the hour to define critical intellectual practice as the refusal to let minority difference be the functionary of institutions? Doesn't that task entail our constant attempt to make minority difference speak </w:t>
      </w:r>
      <w:r>
        <w:rPr>
          <w:sz w:val="20"/>
          <w:szCs w:val="20"/>
        </w:rPr>
        <w:lastRenderedPageBreak/>
        <w:t xml:space="preserve">truth to a mode of power that claims to speak in our names? Isn't this the time to boldly confront the fact that resistance </w:t>
      </w:r>
      <w:r>
        <w:rPr>
          <w:sz w:val="18"/>
          <w:szCs w:val="18"/>
        </w:rPr>
        <w:t xml:space="preserve">is </w:t>
      </w:r>
      <w:r>
        <w:rPr>
          <w:sz w:val="20"/>
          <w:szCs w:val="20"/>
        </w:rPr>
        <w:t xml:space="preserve">not minority difference's taken-for-granted identity but </w:t>
      </w:r>
      <w:r>
        <w:rPr>
          <w:sz w:val="18"/>
          <w:szCs w:val="18"/>
        </w:rPr>
        <w:t xml:space="preserve">is </w:t>
      </w:r>
      <w:r>
        <w:rPr>
          <w:sz w:val="20"/>
          <w:szCs w:val="20"/>
        </w:rPr>
        <w:t xml:space="preserve">instead the redistributive practice that we devise under minority difference's various designations? The well-being of interdisciplinary departments, centers, and programs has been debated and worried over, even more so since the current eco- nomic crisis. Departments, centers, and programs across the country have been downsized, merged, and dismantled, often with little to no deference to faculty governance. Given that those departments, centers, and programs have typically been the sites of experimentation and access in the Ameri- can academy, preserving the best that they have to offer </w:t>
      </w:r>
      <w:r>
        <w:rPr>
          <w:sz w:val="18"/>
          <w:szCs w:val="18"/>
        </w:rPr>
        <w:t xml:space="preserve">is </w:t>
      </w:r>
      <w:r>
        <w:rPr>
          <w:sz w:val="20"/>
          <w:szCs w:val="20"/>
        </w:rPr>
        <w:t xml:space="preserve">a question and an effort that can never be retired. And yet </w:t>
      </w:r>
      <w:r>
        <w:rPr>
          <w:sz w:val="20"/>
          <w:szCs w:val="20"/>
          <w:u w:val="single"/>
        </w:rPr>
        <w:t xml:space="preserve">we can't let the question of interdisciplinarity and power rest there. </w:t>
      </w:r>
      <w:r>
        <w:rPr>
          <w:b/>
          <w:sz w:val="20"/>
          <w:szCs w:val="20"/>
          <w:u w:val="single"/>
        </w:rPr>
        <w:t xml:space="preserve">To do so would be to engage a repressive hypothesis that imagines relations of force and regulation as pro- cesses external to interdisciplinary formations, never wrestling with the fact that networks of power that align minority difference with institutional dominance constitute the day-to-day practices and formations of interdis- ciplinary venues; if left unattended and never brought to crisis, these net- works will persist even if the programmatic structures are gone. </w:t>
      </w:r>
    </w:p>
    <w:p xmlns:wp14="http://schemas.microsoft.com/office/word/2010/wordml" w:rsidR="00054398" w:rsidP="00054398" w:rsidRDefault="00054398" w14:paraId="1D0656FE" wp14:textId="77777777">
      <w:pPr>
        <w:rPr>
          <w:sz w:val="20"/>
          <w:szCs w:val="20"/>
        </w:rPr>
      </w:pPr>
    </w:p>
    <w:p xmlns:wp14="http://schemas.microsoft.com/office/word/2010/wordml" w:rsidR="00054398" w:rsidP="00054398" w:rsidRDefault="00054398" w14:paraId="595260E3" wp14:textId="77777777">
      <w:pPr>
        <w:rPr>
          <w:sz w:val="20"/>
          <w:szCs w:val="20"/>
        </w:rPr>
      </w:pPr>
      <w:r w:rsidRPr="001710C3">
        <w:rPr>
          <w:rStyle w:val="Heading4Char"/>
        </w:rPr>
        <w:t>To take seriously that this world is not enough means to look towards another world in the world-- a world built of small, seemingly inconsequential acts that are nonetheless potentially iterative of or subversive to power. Rather than internalizing grand political scale as the necessary locus of our politics, we must imagine critical forms of community around quotidian and everyday acts of resistance that proliferate and extend beyond institutions’ repressive and productive capacities</w:t>
      </w:r>
      <w:r>
        <w:rPr>
          <w:sz w:val="20"/>
          <w:szCs w:val="20"/>
        </w:rPr>
        <w:t>.</w:t>
      </w:r>
    </w:p>
    <w:p xmlns:wp14="http://schemas.microsoft.com/office/word/2010/wordml" w:rsidR="00054398" w:rsidP="00054398" w:rsidRDefault="00054398" w14:paraId="1FE54DDE" wp14:textId="77777777">
      <w:pPr>
        <w:rPr>
          <w:sz w:val="20"/>
          <w:szCs w:val="20"/>
        </w:rPr>
      </w:pPr>
      <w:r w:rsidRPr="001710C3">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231-232]</w:t>
      </w:r>
    </w:p>
    <w:p xmlns:wp14="http://schemas.microsoft.com/office/word/2010/wordml" w:rsidR="00054398" w:rsidP="00054398" w:rsidRDefault="00054398" w14:paraId="7B37605A" wp14:textId="77777777">
      <w:pPr>
        <w:rPr>
          <w:sz w:val="20"/>
          <w:szCs w:val="20"/>
        </w:rPr>
      </w:pP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2BC36569" wp14:textId="77777777">
      <w:pPr>
        <w:rPr>
          <w:sz w:val="20"/>
          <w:szCs w:val="20"/>
        </w:rPr>
      </w:pPr>
      <w:r>
        <w:rPr>
          <w:sz w:val="20"/>
          <w:szCs w:val="20"/>
        </w:rPr>
        <w:t>In the fifth century BC, philosophers of military maneuvers would travel China's central states, offering their insights about the tactics and strategies needed to wage war effectively. The most famous of those roving philoso- phers, Sun Tzu, observed: "</w:t>
      </w:r>
      <w:r>
        <w:rPr>
          <w:b/>
          <w:sz w:val="20"/>
          <w:szCs w:val="20"/>
          <w:u w:val="single"/>
        </w:rPr>
        <w:t xml:space="preserve">[One's] victory in battle cannot be repeated- they take their form </w:t>
      </w:r>
      <w:r>
        <w:rPr>
          <w:b/>
          <w:sz w:val="26"/>
          <w:szCs w:val="26"/>
          <w:u w:val="single"/>
        </w:rPr>
        <w:t xml:space="preserve">... </w:t>
      </w:r>
      <w:r>
        <w:rPr>
          <w:b/>
          <w:sz w:val="20"/>
          <w:szCs w:val="20"/>
          <w:u w:val="single"/>
        </w:rPr>
        <w:t>in response to inexhaustibly changing circum- stances</w:t>
      </w:r>
      <w:r>
        <w:rPr>
          <w:sz w:val="20"/>
          <w:szCs w:val="20"/>
        </w:rPr>
        <w:t>.</w:t>
      </w:r>
      <w:r>
        <w:rPr>
          <w:sz w:val="14"/>
          <w:szCs w:val="14"/>
        </w:rPr>
        <w:t xml:space="preserve">"10 </w:t>
      </w:r>
      <w:r>
        <w:rPr>
          <w:sz w:val="20"/>
          <w:szCs w:val="20"/>
        </w:rPr>
        <w:t xml:space="preserve">Perhaps with Sun Tzu in mind, Foucault defined the intellectual </w:t>
      </w:r>
      <w:r>
        <w:rPr>
          <w:sz w:val="18"/>
          <w:szCs w:val="18"/>
        </w:rPr>
        <w:t xml:space="preserve">as </w:t>
      </w:r>
      <w:r>
        <w:rPr>
          <w:sz w:val="20"/>
          <w:szCs w:val="20"/>
        </w:rPr>
        <w:t xml:space="preserve">a surveyor and strategist of sorts: "What's effectively needed </w:t>
      </w:r>
      <w:r>
        <w:rPr>
          <w:sz w:val="18"/>
          <w:szCs w:val="18"/>
        </w:rPr>
        <w:t xml:space="preserve">is </w:t>
      </w:r>
      <w:r>
        <w:rPr>
          <w:sz w:val="20"/>
          <w:szCs w:val="20"/>
        </w:rPr>
        <w:t xml:space="preserve">a rami- fied, penetrative perception of the present, one that makes it possible to locate lines of weakness, strong points, positions where the instances of power have secured and implanted themselves."l1 </w:t>
      </w:r>
      <w:r>
        <w:rPr>
          <w:b/>
          <w:sz w:val="20"/>
          <w:szCs w:val="20"/>
          <w:u w:val="single"/>
        </w:rPr>
        <w:t xml:space="preserve">In this day of institution- alized affirmations, the critical intellectual </w:t>
      </w:r>
      <w:r>
        <w:rPr>
          <w:b/>
          <w:sz w:val="18"/>
          <w:szCs w:val="18"/>
          <w:u w:val="single"/>
        </w:rPr>
        <w:t xml:space="preserve">is </w:t>
      </w:r>
      <w:r>
        <w:rPr>
          <w:b/>
          <w:sz w:val="20"/>
          <w:szCs w:val="20"/>
          <w:u w:val="single"/>
        </w:rPr>
        <w:t xml:space="preserve">that subject who understands that we determine lines of weakness and positions of strength in circum- stances that are endlessly changing, the intellectual who </w:t>
      </w:r>
      <w:r>
        <w:rPr>
          <w:b/>
          <w:sz w:val="18"/>
          <w:szCs w:val="18"/>
          <w:u w:val="single"/>
        </w:rPr>
        <w:t xml:space="preserve">is </w:t>
      </w:r>
      <w:r>
        <w:rPr>
          <w:b/>
          <w:sz w:val="20"/>
          <w:szCs w:val="20"/>
          <w:u w:val="single"/>
        </w:rPr>
        <w:t>part of a group of strategists who will gather to make interdisciplinarity into a science of crisis and subversion.</w:t>
      </w:r>
      <w:r>
        <w:rPr>
          <w:sz w:val="12"/>
          <w:szCs w:val="12"/>
        </w:rPr>
        <w:t xml:space="preserve">12 </w:t>
      </w:r>
      <w:r>
        <w:rPr>
          <w:sz w:val="20"/>
          <w:szCs w:val="20"/>
        </w:rPr>
        <w:t xml:space="preserve">In terms of the stories handed down to us, </w:t>
      </w:r>
      <w:r>
        <w:rPr>
          <w:b/>
          <w:sz w:val="20"/>
          <w:szCs w:val="20"/>
          <w:u w:val="single"/>
        </w:rPr>
        <w:t>we seem to have inherited a notion of crisis and subversion that takes the grandest structural efforts- the takeover of buildings and the inauguration of schools-as the only adven- tures worthy of our imagination and planning</w:t>
      </w:r>
      <w:r>
        <w:rPr>
          <w:sz w:val="20"/>
          <w:szCs w:val="20"/>
        </w:rPr>
        <w:t xml:space="preserve">. But if power </w:t>
      </w:r>
      <w:r>
        <w:rPr>
          <w:sz w:val="18"/>
          <w:szCs w:val="18"/>
        </w:rPr>
        <w:t xml:space="preserve">is </w:t>
      </w:r>
      <w:r>
        <w:rPr>
          <w:sz w:val="20"/>
          <w:szCs w:val="20"/>
        </w:rPr>
        <w:t xml:space="preserve">"coextensive with the social body" and "interwoven with other kinds of relations," de- scriptive of strategic situations that are "dispersed, heteromorphous, and 10calised,"13 then wouldn't it make sense </w:t>
      </w:r>
      <w:r>
        <w:t xml:space="preserve">to-at </w:t>
      </w:r>
      <w:r>
        <w:rPr>
          <w:sz w:val="20"/>
          <w:szCs w:val="20"/>
        </w:rPr>
        <w:t>least partly-make those small and seemingly insignificant acts the basis of our alternatives?14 After turning his attention to that small and insignificant thing called the body, Foucault argued that one "</w:t>
      </w:r>
      <w:r>
        <w:rPr>
          <w:b/>
          <w:sz w:val="20"/>
          <w:szCs w:val="20"/>
          <w:u w:val="single"/>
        </w:rPr>
        <w:t xml:space="preserve">advantage of conducting a critique of relations existing at a </w:t>
      </w:r>
      <w:r>
        <w:rPr>
          <w:b/>
          <w:sz w:val="20"/>
          <w:szCs w:val="20"/>
          <w:u w:val="single"/>
        </w:rPr>
        <w:lastRenderedPageBreak/>
        <w:t>minute level would be to render impossible the reproduction of the form of the State apparatus within revolutionary movements.</w:t>
      </w:r>
      <w:r>
        <w:rPr>
          <w:sz w:val="20"/>
          <w:szCs w:val="20"/>
        </w:rPr>
        <w:t xml:space="preserve">"15 </w:t>
      </w:r>
      <w:r>
        <w:rPr>
          <w:b/>
          <w:sz w:val="18"/>
          <w:szCs w:val="18"/>
          <w:u w:val="single"/>
        </w:rPr>
        <w:t xml:space="preserve">To </w:t>
      </w:r>
      <w:r>
        <w:rPr>
          <w:b/>
          <w:sz w:val="20"/>
          <w:szCs w:val="20"/>
          <w:u w:val="single"/>
        </w:rPr>
        <w:t>undermine the reproduction of hegemony in those little acts of production- reading, writing, teaching, and advising-we might discover the revolution- ary potential in such whatnots</w:t>
      </w:r>
      <w:r>
        <w:rPr>
          <w:sz w:val="20"/>
          <w:szCs w:val="20"/>
        </w:rPr>
        <w:t xml:space="preserve"> as an old woman's lemon tea and olive oil or a scholar's syllabus and research question, </w:t>
      </w:r>
      <w:r>
        <w:rPr>
          <w:b/>
          <w:sz w:val="20"/>
          <w:szCs w:val="20"/>
          <w:u w:val="single"/>
        </w:rPr>
        <w:t xml:space="preserve">knowing full well that "power can retreat here, re-organise its forces, invest itself elsewhere </w:t>
      </w:r>
      <w:r>
        <w:rPr>
          <w:b/>
          <w:sz w:val="24"/>
          <w:szCs w:val="24"/>
          <w:u w:val="single"/>
        </w:rPr>
        <w:t xml:space="preserve">... </w:t>
      </w:r>
      <w:r>
        <w:rPr>
          <w:b/>
          <w:sz w:val="20"/>
          <w:szCs w:val="20"/>
          <w:u w:val="single"/>
        </w:rPr>
        <w:t xml:space="preserve">and </w:t>
      </w:r>
      <w:r>
        <w:rPr>
          <w:b/>
          <w:sz w:val="18"/>
          <w:szCs w:val="18"/>
          <w:u w:val="single"/>
        </w:rPr>
        <w:t xml:space="preserve">so </w:t>
      </w:r>
      <w:r>
        <w:rPr>
          <w:b/>
          <w:sz w:val="20"/>
          <w:szCs w:val="20"/>
          <w:u w:val="single"/>
        </w:rPr>
        <w:t>the battle continues.</w:t>
      </w:r>
      <w:r>
        <w:rPr>
          <w:sz w:val="20"/>
          <w:szCs w:val="20"/>
        </w:rPr>
        <w:t xml:space="preserve">"16 </w:t>
      </w:r>
      <w:r>
        <w:rPr>
          <w:b/>
          <w:sz w:val="20"/>
          <w:szCs w:val="20"/>
          <w:u w:val="single"/>
        </w:rPr>
        <w:t>A syllabus, a job ad, a recruitment strategy, a memo, a book, an artwork, a report, an organizational plan, a protest-such are the little things that we can deploy in order to imagine critical forms of com- munity, forms in which minoritized subjects become the agents rather than the silent objects of knowledge formations and institutional practices.</w:t>
      </w:r>
      <w:r>
        <w:rPr>
          <w:sz w:val="20"/>
          <w:szCs w:val="20"/>
        </w:rPr>
        <w:t xml:space="preserve"> </w:t>
      </w:r>
      <w:r>
        <w:rPr>
          <w:b/>
          <w:sz w:val="20"/>
          <w:szCs w:val="20"/>
          <w:u w:val="single"/>
        </w:rPr>
        <w:t xml:space="preserve">These little things represent the kind of work that can, should, and </w:t>
      </w:r>
      <w:r>
        <w:rPr>
          <w:b/>
          <w:sz w:val="18"/>
          <w:szCs w:val="18"/>
          <w:u w:val="single"/>
        </w:rPr>
        <w:t xml:space="preserve">is </w:t>
      </w:r>
      <w:r>
        <w:rPr>
          <w:b/>
          <w:sz w:val="20"/>
          <w:szCs w:val="20"/>
          <w:u w:val="single"/>
        </w:rPr>
        <w:t>taking place in institutions throughout our society, and they illustrate how imagination and institution come together to yield new types of peoples and communi- ties</w:t>
      </w:r>
      <w:r>
        <w:rPr>
          <w:sz w:val="20"/>
          <w:szCs w:val="20"/>
        </w:rPr>
        <w:t xml:space="preserve">. </w:t>
      </w:r>
      <w:r>
        <w:rPr>
          <w:b/>
          <w:sz w:val="20"/>
          <w:szCs w:val="20"/>
          <w:u w:val="single"/>
        </w:rPr>
        <w:t xml:space="preserve">This is a different type of will to institutionality, one that searches for interpretative and institutional practices that will more likely protect and incite a dynamism around the meanings of minority culture and difference, a will to institutionality that honors that feeling that "this world </w:t>
      </w:r>
      <w:r>
        <w:rPr>
          <w:b/>
          <w:sz w:val="18"/>
          <w:szCs w:val="18"/>
          <w:u w:val="single"/>
        </w:rPr>
        <w:t xml:space="preserve">is </w:t>
      </w:r>
      <w:r>
        <w:rPr>
          <w:b/>
          <w:sz w:val="20"/>
          <w:szCs w:val="20"/>
          <w:u w:val="single"/>
        </w:rPr>
        <w:t>not enough."</w:t>
      </w:r>
      <w:r>
        <w:rPr>
          <w:sz w:val="20"/>
          <w:szCs w:val="20"/>
        </w:rPr>
        <w:t xml:space="preserve">17 In this moment in which minority difference can be used </w:t>
      </w:r>
      <w:r>
        <w:rPr>
          <w:sz w:val="18"/>
          <w:szCs w:val="18"/>
        </w:rPr>
        <w:t xml:space="preserve">as </w:t>
      </w:r>
      <w:r>
        <w:rPr>
          <w:sz w:val="20"/>
          <w:szCs w:val="20"/>
        </w:rPr>
        <w:t xml:space="preserve">an instrument of an archival mode of power that inscribes itself here and </w:t>
      </w:r>
      <w:r>
        <w:rPr>
          <w:sz w:val="18"/>
          <w:szCs w:val="18"/>
        </w:rPr>
        <w:t>yon</w:t>
      </w:r>
      <w:r>
        <w:rPr>
          <w:sz w:val="20"/>
          <w:szCs w:val="20"/>
        </w:rPr>
        <w:t xml:space="preserve">der, to "revolutionize" minority culture means to be less huddled around the herculean feat and more considered about the activation of minor details. </w:t>
      </w:r>
    </w:p>
    <w:p xmlns:wp14="http://schemas.microsoft.com/office/word/2010/wordml" w:rsidR="00054398" w:rsidP="00054398" w:rsidRDefault="00054398" w14:paraId="394798F2" wp14:textId="77777777">
      <w:pPr>
        <w:rPr>
          <w:sz w:val="20"/>
          <w:szCs w:val="20"/>
        </w:rPr>
      </w:pPr>
    </w:p>
    <w:p xmlns:wp14="http://schemas.microsoft.com/office/word/2010/wordml" w:rsidR="00054398" w:rsidP="00054398" w:rsidRDefault="00054398" w14:paraId="1B7158FE" wp14:textId="77777777">
      <w:pPr>
        <w:pStyle w:val="Heading3"/>
      </w:pPr>
      <w:r>
        <w:lastRenderedPageBreak/>
        <w:t>A: Debt</w:t>
      </w:r>
    </w:p>
    <w:p xmlns:wp14="http://schemas.microsoft.com/office/word/2010/wordml" w:rsidR="00054398" w:rsidP="00054398" w:rsidRDefault="00054398" w14:paraId="3889A505" wp14:textId="77777777"/>
    <w:p xmlns:wp14="http://schemas.microsoft.com/office/word/2010/wordml" w:rsidR="00054398" w:rsidP="00054398" w:rsidRDefault="00054398" w14:paraId="6321F970" wp14:textId="77777777">
      <w:pPr>
        <w:pStyle w:val="Heading4"/>
      </w:pPr>
      <w:r>
        <w:t>The alternative is to stay with the debt – to live and love in mutual solidarity beyond accounting and exchange</w:t>
      </w:r>
    </w:p>
    <w:p xmlns:wp14="http://schemas.microsoft.com/office/word/2010/wordml" w:rsidR="00054398" w:rsidP="00054398" w:rsidRDefault="00054398" w14:paraId="6D2936BC" wp14:textId="77777777">
      <w:r w:rsidRPr="001710C3">
        <w:rPr>
          <w:rStyle w:val="Style13ptBold"/>
        </w:rPr>
        <w:t>Harney and Moten 13</w:t>
      </w:r>
      <w:r>
        <w:t xml:space="preserve"> [The Undercommons: Fugitive Planning and Black Study, Minor Compositions, p 156-158 //tjb]</w:t>
      </w:r>
    </w:p>
    <w:p xmlns:wp14="http://schemas.microsoft.com/office/word/2010/wordml" w:rsidR="00054398" w:rsidP="00054398" w:rsidRDefault="00054398" w14:paraId="29079D35" wp14:textId="77777777"/>
    <w:p xmlns:wp14="http://schemas.microsoft.com/office/word/2010/wordml" w:rsidRPr="00E11F0B" w:rsidR="00054398" w:rsidP="00054398" w:rsidRDefault="00054398" w14:paraId="2384B906" wp14:textId="77777777">
      <w:pPr>
        <w:rPr>
          <w:rStyle w:val="StyleUnderline"/>
        </w:rPr>
      </w:pPr>
      <w:r>
        <w:t xml:space="preserve">STEFANO: Given that, </w:t>
      </w:r>
      <w:r w:rsidRPr="00E11F0B">
        <w:rPr>
          <w:rStyle w:val="StyleUnderline"/>
        </w:rPr>
        <w:t>when you start to talk about this other kind of debt, you’re talking about a history of aesthetics, a history of love, a history of organization, it’s not merely about what you want to abolish – which is credit – but it’s also about what you want to live in and how you want to live in it.</w:t>
      </w:r>
      <w:r>
        <w:t xml:space="preserve"> </w:t>
      </w:r>
      <w:r w:rsidRPr="00E11F0B">
        <w:rPr>
          <w:rStyle w:val="StyleUnderline"/>
        </w:rPr>
        <w:t xml:space="preserve">And that’s because the real debt, the big debt, the wealth that Marx is talking about, is precisely that: it’s wealth. </w:t>
      </w:r>
      <w:r>
        <w:t xml:space="preserve">So, you want to figure out some way that that wealth can be enjoyed. And that’s </w:t>
      </w:r>
      <w:r w:rsidRPr="00E11F0B">
        <w:rPr>
          <w:rStyle w:val="StyleUnderline"/>
        </w:rPr>
        <w:t>not by managing it, because managing it is the first step to accounting for it, attributing it or distributing it</w:t>
      </w:r>
      <w:r>
        <w:t xml:space="preserve">. </w:t>
      </w:r>
      <w:r w:rsidRPr="00E11F0B">
        <w:rPr>
          <w:rStyle w:val="StyleUnderline"/>
        </w:rPr>
        <w:t>It’s about developing some way of being with each other</w:t>
      </w:r>
      <w:r>
        <w:t xml:space="preserve">, and of not thinking that that requires the mediation of politics. But, it requires elaboration, </w:t>
      </w:r>
      <w:r w:rsidRPr="00E11F0B">
        <w:rPr>
          <w:rStyle w:val="StyleUnderline"/>
        </w:rPr>
        <w:t>it requires improvisation, it requires a kind of rehearsal.</w:t>
      </w:r>
      <w:r>
        <w:t xml:space="preserve"> It requires things. It’s just that </w:t>
      </w:r>
      <w:r w:rsidRPr="00E11F0B">
        <w:rPr>
          <w:rStyle w:val="StyleUnderline"/>
        </w:rPr>
        <w:t xml:space="preserve">it doesn’t require accounting or management. It requires study. </w:t>
      </w:r>
    </w:p>
    <w:p xmlns:wp14="http://schemas.microsoft.com/office/word/2010/wordml" w:rsidRPr="00E11F0B" w:rsidR="00054398" w:rsidP="00054398" w:rsidRDefault="00054398" w14:paraId="07669E21" wp14:textId="77777777">
      <w:pPr>
        <w:rPr>
          <w:rStyle w:val="StyleUnderline"/>
        </w:rPr>
      </w:pPr>
      <w:r>
        <w:t xml:space="preserve">FRED: Man, </w:t>
      </w:r>
      <w:r w:rsidRPr="00E11F0B">
        <w:rPr>
          <w:rStyle w:val="StyleUnderline"/>
        </w:rPr>
        <w:t>I remember being little, being in Arkansas with my grandparents. My grandfather would give somebody a ride like 80 miles from our little town to another little town in his little 1969 green Buick Skylark</w:t>
      </w:r>
      <w:r>
        <w:t xml:space="preserve">. And </w:t>
      </w:r>
      <w:r w:rsidRPr="00E11F0B">
        <w:rPr>
          <w:rStyle w:val="StyleUnderline"/>
        </w:rPr>
        <w:t>there was this whole ritual process that would occur</w:t>
      </w:r>
      <w:r>
        <w:t xml:space="preserve">, and it had a couple of different parts to it. One part would be that somebody, </w:t>
      </w:r>
      <w:r w:rsidRPr="00E11F0B">
        <w:rPr>
          <w:rStyle w:val="StyleUnderline"/>
        </w:rPr>
        <w:t xml:space="preserve">my grandpa, would give you a ride, and before they’d get out of the car, the person would say, “how much do I owe you?” And he’d say, “nothin.” Sometimes he’d feign a kind of, “why would you even ask me some shit like that?” They’d come a whole way just for a certain set of performances. “It don’t mean nothin. Man, get out of this car,” or something like that. But, if somebody got out of the car without asking that shit... He’d be like, “son, don’t be like that.” You have to acknowledge. </w:t>
      </w:r>
    </w:p>
    <w:p xmlns:wp14="http://schemas.microsoft.com/office/word/2010/wordml" w:rsidR="00054398" w:rsidP="00054398" w:rsidRDefault="00054398" w14:paraId="103A544F" wp14:textId="77777777">
      <w:r>
        <w:t xml:space="preserve">STEFANO: And </w:t>
      </w:r>
      <w:r w:rsidRPr="00E11F0B">
        <w:rPr>
          <w:rStyle w:val="StyleUnderline"/>
        </w:rPr>
        <w:t>you have to rehearse, because you’re involved in the rehearsal of some other form of being in debt together.</w:t>
      </w:r>
      <w:r>
        <w:t xml:space="preserve"> When we say that we don’t want management, it doesn’t mean we don’t want anything, that it just sits there and everything’s fine. There’s something to be done, but it’s performative, it’s not managerial. </w:t>
      </w:r>
    </w:p>
    <w:p xmlns:wp14="http://schemas.microsoft.com/office/word/2010/wordml" w:rsidR="00054398" w:rsidP="00054398" w:rsidRDefault="00054398" w14:paraId="1D598366" wp14:textId="77777777">
      <w:r>
        <w:t xml:space="preserve">FRED: And the other part of it, which was just as important, was </w:t>
      </w:r>
      <w:r w:rsidRPr="00E11F0B">
        <w:rPr>
          <w:rStyle w:val="StyleUnderline"/>
        </w:rPr>
        <w:t xml:space="preserve">every once in awhile, if you’re giving somebody a ride or if they gave you a ride, instead of asking how “much do I owe you?”, you would just take some money out of your pocket and say, “put some gas in the car,” and get out of the car. </w:t>
      </w:r>
      <w:r>
        <w:t xml:space="preserve">See the interplay between those two things. So, </w:t>
      </w:r>
      <w:r>
        <w:rPr>
          <w:b/>
          <w:u w:val="single"/>
        </w:rPr>
        <w:t>the reason why you asked somebody, “how much do I owe you?” is so that you could be engaged in this ritual process of basically disavowing the very idea of ‘owe.’</w:t>
      </w:r>
      <w:r>
        <w:t xml:space="preserve"> </w:t>
      </w:r>
    </w:p>
    <w:p xmlns:wp14="http://schemas.microsoft.com/office/word/2010/wordml" w:rsidRPr="00E11F0B" w:rsidR="00054398" w:rsidP="00054398" w:rsidRDefault="00054398" w14:paraId="21D4AD83" wp14:textId="77777777">
      <w:pPr>
        <w:rPr>
          <w:rStyle w:val="StyleUnderline"/>
        </w:rPr>
      </w:pPr>
      <w:r>
        <w:t xml:space="preserve">STEFANO: Yeah, exactly. So that </w:t>
      </w:r>
      <w:r w:rsidRPr="00E11F0B">
        <w:rPr>
          <w:rStyle w:val="StyleUnderline"/>
        </w:rPr>
        <w:t xml:space="preserve">you begin to practice, improvise the relationship between necessity and freedom, not on the grounds of owing and credit, but on the grounds of unpayable debt. </w:t>
      </w:r>
    </w:p>
    <w:p xmlns:wp14="http://schemas.microsoft.com/office/word/2010/wordml" w:rsidR="00054398" w:rsidP="00054398" w:rsidRDefault="00054398" w14:paraId="4747ACC2" wp14:textId="77777777">
      <w:r>
        <w:lastRenderedPageBreak/>
        <w:t xml:space="preserve">FRED: Yep, most of the while, when you had some money, it wouldn’t be a discussion. You would just say, “here put some gas in the car,” and get out, leaving some money on the seat. STEFANO: There’s a necessity moment in it, but it’s in the context of the freedom, rather than the other way around, and this is the only way it could be when we think of ability and need freed of the standpoint and then </w:t>
      </w:r>
      <w:r w:rsidRPr="00E11F0B">
        <w:rPr>
          <w:rStyle w:val="StyleUnderline"/>
        </w:rPr>
        <w:t>this is not a distributional politics anymore but an experiment in letting yourself discover new needs in your abilities and new abilities in your needs in the rhythm of, not against, the general antagonism, performed between the two and amongst the many.</w:t>
      </w:r>
      <w:r>
        <w:t xml:space="preserve"> </w:t>
      </w:r>
    </w:p>
    <w:p xmlns:wp14="http://schemas.microsoft.com/office/word/2010/wordml" w:rsidR="00054398" w:rsidP="00054398" w:rsidRDefault="00054398" w14:paraId="463476ED" wp14:textId="77777777">
      <w:r>
        <w:t xml:space="preserve">FRED: Yeah, and this is why, for me, see I was looking at that, and it was illogical, if you want to call it that, but it was also performative. For me, I’m not saying that’s the only form that study takes, but any notion of study that doesn’t acknowledge that form of it is not the study that I’m interested in. </w:t>
      </w:r>
    </w:p>
    <w:p xmlns:wp14="http://schemas.microsoft.com/office/word/2010/wordml" w:rsidR="00054398" w:rsidP="00054398" w:rsidRDefault="00054398" w14:paraId="41ADE915" wp14:textId="77777777">
      <w:r>
        <w:t xml:space="preserve">STEFANO: </w:t>
      </w:r>
      <w:r w:rsidRPr="00E11F0B">
        <w:rPr>
          <w:rStyle w:val="StyleUnderline"/>
        </w:rPr>
        <w:t xml:space="preserve">Where you find the abolition of credit you find study. But you can’t call for the abolition of credit like you hear calls for the abolition of debt because the call to abolish credit is already always going all, it is a call that enacts, that is enacted. In other words, </w:t>
      </w:r>
      <w:r>
        <w:rPr>
          <w:b/>
          <w:u w:val="single"/>
        </w:rPr>
        <w:t>we don’t need anything to get in debt together</w:t>
      </w:r>
      <w:r w:rsidRPr="00E11F0B">
        <w:rPr>
          <w:rStyle w:val="StyleUnderline"/>
        </w:rPr>
        <w:t>.</w:t>
      </w:r>
      <w:r>
        <w:t xml:space="preserve"> We have already a superabundance of mutual debt we don’t want pay, we don’t want to pay, so what why would we call for anything? But we can join in this plenitude and its everyday performance. Moreover by joining perhaps we avoid some of what credit brings and what calls for debt forgiveness bring as unwanted results, from uplift to settlement. </w:t>
      </w:r>
    </w:p>
    <w:p xmlns:wp14="http://schemas.microsoft.com/office/word/2010/wordml" w:rsidR="00054398" w:rsidP="00054398" w:rsidRDefault="00054398" w14:paraId="17686DC7" wp14:textId="77777777">
      <w:pPr>
        <w:rPr>
          <w:sz w:val="20"/>
          <w:szCs w:val="20"/>
        </w:rPr>
      </w:pPr>
    </w:p>
    <w:p xmlns:wp14="http://schemas.microsoft.com/office/word/2010/wordml" w:rsidR="00054398" w:rsidP="00054398" w:rsidRDefault="00054398" w14:paraId="53BD644D" wp14:textId="77777777">
      <w:pPr>
        <w:rPr>
          <w:sz w:val="20"/>
          <w:szCs w:val="20"/>
        </w:rPr>
      </w:pPr>
    </w:p>
    <w:p xmlns:wp14="http://schemas.microsoft.com/office/word/2010/wordml" w:rsidR="00054398" w:rsidP="00054398" w:rsidRDefault="00054398" w14:paraId="456AF0FE" wp14:textId="77777777">
      <w:pPr>
        <w:pStyle w:val="Heading3"/>
      </w:pPr>
      <w:r>
        <w:lastRenderedPageBreak/>
        <w:t>A: Partial education</w:t>
      </w:r>
    </w:p>
    <w:p xmlns:wp14="http://schemas.microsoft.com/office/word/2010/wordml" w:rsidR="00054398" w:rsidP="00054398" w:rsidRDefault="00054398" w14:paraId="1A3FAC43" wp14:textId="77777777">
      <w:pPr>
        <w:jc w:val="center"/>
        <w:rPr>
          <w:sz w:val="20"/>
          <w:szCs w:val="20"/>
        </w:rPr>
      </w:pPr>
    </w:p>
    <w:p xmlns:wp14="http://schemas.microsoft.com/office/word/2010/wordml" w:rsidR="00054398" w:rsidP="00054398" w:rsidRDefault="00054398" w14:paraId="3023914B" wp14:textId="77777777">
      <w:pPr>
        <w:pStyle w:val="Heading4"/>
      </w:pPr>
      <w:r>
        <w:t>The alternative is partial education-- the consent to be not-one in an anti-colonial, fugitive otium.</w:t>
      </w:r>
    </w:p>
    <w:p xmlns:wp14="http://schemas.microsoft.com/office/word/2010/wordml" w:rsidR="00054398" w:rsidP="00054398" w:rsidRDefault="00054398" w14:paraId="22B5E159" wp14:textId="77777777">
      <w:r w:rsidRPr="001710C3">
        <w:rPr>
          <w:rStyle w:val="Style13ptBold"/>
        </w:rPr>
        <w:t>Harney 17</w:t>
      </w:r>
      <w:r>
        <w:rPr>
          <w:b/>
        </w:rPr>
        <w:t xml:space="preserve"> </w:t>
      </w:r>
      <w:r>
        <w:t xml:space="preserve">[Stefano, “Stefano Harney Part 2 Interview by Michael Schapira &amp; Jesse Montgomery,” Full Stop, August 10, 2017] </w:t>
      </w:r>
    </w:p>
    <w:p xmlns:wp14="http://schemas.microsoft.com/office/word/2010/wordml" w:rsidR="00054398" w:rsidP="00054398" w:rsidRDefault="00054398" w14:paraId="2BBD94B2" wp14:textId="77777777">
      <w:pPr>
        <w:rPr>
          <w:b/>
          <w:sz w:val="12"/>
          <w:szCs w:val="12"/>
        </w:rPr>
      </w:pPr>
    </w:p>
    <w:p xmlns:wp14="http://schemas.microsoft.com/office/word/2010/wordml" w:rsidR="00054398" w:rsidP="00054398" w:rsidRDefault="00054398" w14:paraId="4BAAA21A" wp14:textId="77777777">
      <w:pPr>
        <w:spacing w:before="240" w:after="240" w:line="240" w:lineRule="auto"/>
        <w:rPr>
          <w:sz w:val="24"/>
          <w:szCs w:val="24"/>
          <w:u w:val="single"/>
        </w:rPr>
      </w:pPr>
      <w:bookmarkStart w:name="_aplkvs3wuyzg" w:colFirst="0" w:colLast="0" w:id="19"/>
      <w:bookmarkEnd w:id="19"/>
      <w:r>
        <w:rPr>
          <w:sz w:val="12"/>
          <w:szCs w:val="12"/>
        </w:rPr>
        <w:t xml:space="preserve">Michael Schapira: This may be a little inarticulate at the moment, but I wanted to ask you something about the reception of </w:t>
      </w:r>
      <w:r>
        <w:rPr>
          <w:i/>
          <w:sz w:val="12"/>
          <w:szCs w:val="12"/>
        </w:rPr>
        <w:t>The Undercommons</w:t>
      </w:r>
      <w:r>
        <w:rPr>
          <w:sz w:val="12"/>
          <w:szCs w:val="12"/>
        </w:rPr>
        <w:t xml:space="preserve">. There was a website that you and Fred were interviewed on that had once been called Class War University but has since changed its name to </w:t>
      </w:r>
      <w:hyperlink r:id="rId139">
        <w:r>
          <w:rPr>
            <w:color w:val="855FA7"/>
            <w:sz w:val="12"/>
            <w:szCs w:val="12"/>
          </w:rPr>
          <w:t>Undercommoning</w:t>
        </w:r>
      </w:hyperlink>
      <w:r>
        <w:rPr>
          <w:sz w:val="12"/>
          <w:szCs w:val="12"/>
        </w:rPr>
        <w:t xml:space="preserve">. Its usually uncouth to ask authors about the reception of their work, but one really notable feature of </w:t>
      </w:r>
      <w:r>
        <w:rPr>
          <w:i/>
          <w:sz w:val="12"/>
          <w:szCs w:val="12"/>
        </w:rPr>
        <w:t xml:space="preserve">the Undercommons </w:t>
      </w:r>
      <w:r>
        <w:rPr>
          <w:sz w:val="12"/>
          <w:szCs w:val="12"/>
        </w:rPr>
        <w:t xml:space="preserve">has been that many readers have expressed how incredibly useful it is to think with. As we’ve talked about before, there are a whole range of books about the university — Benjmain Ginsberg’s </w:t>
      </w:r>
      <w:r>
        <w:rPr>
          <w:i/>
          <w:sz w:val="12"/>
          <w:szCs w:val="12"/>
        </w:rPr>
        <w:t xml:space="preserve">The Fall of the Faculty </w:t>
      </w:r>
      <w:r>
        <w:rPr>
          <w:sz w:val="12"/>
          <w:szCs w:val="12"/>
        </w:rPr>
        <w:t xml:space="preserve">or Frank Donaghue’s </w:t>
      </w:r>
      <w:r>
        <w:rPr>
          <w:i/>
          <w:sz w:val="12"/>
          <w:szCs w:val="12"/>
        </w:rPr>
        <w:t xml:space="preserve">The Last Professors </w:t>
      </w:r>
      <w:r>
        <w:rPr>
          <w:sz w:val="12"/>
          <w:szCs w:val="12"/>
        </w:rPr>
        <w:t xml:space="preserve">on the rise of the all administrative university; Marc Bousquet and Jennifer Washburn’s books on the contemporary university’s shameful economic politics; Christopher Newfield’s historical account of the rise of decline of our the U.S’s state university systems — that are extremely helpful for their analytic clarity on certain issues. These are useful to think with, but in very different ways than the responses to </w:t>
      </w:r>
      <w:r>
        <w:rPr>
          <w:i/>
          <w:sz w:val="12"/>
          <w:szCs w:val="12"/>
        </w:rPr>
        <w:t xml:space="preserve">The Undercommons </w:t>
      </w:r>
      <w:r>
        <w:rPr>
          <w:sz w:val="12"/>
          <w:szCs w:val="12"/>
        </w:rPr>
        <w:t xml:space="preserve">that I have in mind. Your book is so formally inventive that I wonder if you have any reflections on, say, the uses and misuses of analytic argumentation as opposed to a more poetic form of writing when projects are in large part addressing similar issues. There is also something interesting to me about the shift from </w:t>
      </w:r>
      <w:r>
        <w:rPr>
          <w:i/>
          <w:sz w:val="12"/>
          <w:szCs w:val="12"/>
        </w:rPr>
        <w:t>Class War University</w:t>
      </w:r>
      <w:r>
        <w:rPr>
          <w:sz w:val="12"/>
          <w:szCs w:val="12"/>
        </w:rPr>
        <w:t xml:space="preserve"> to </w:t>
      </w:r>
      <w:r>
        <w:rPr>
          <w:i/>
          <w:sz w:val="12"/>
          <w:szCs w:val="12"/>
        </w:rPr>
        <w:t>Undercommoning</w:t>
      </w:r>
      <w:r>
        <w:rPr>
          <w:sz w:val="12"/>
          <w:szCs w:val="12"/>
        </w:rPr>
        <w:t>. If I can quote from an earlier email you wrote me, in reference to a discussion of the declining force of student movements in the late 60s and early 70s as universities navigated a transformed set of economic changes: “I also think there is a story of something more radical than the student movement — wildcat strikers, black liberation armies, etc., that is not so much surpassed by economic changes but politically, violently destroyed. And with it the possibility of more political democracy in general in society comes to a halt, at least temporarily.” The change in name of this website is I think a concession that this more radical perspective is richer than a more conventional class-based or economically focused one. I wonder if you also see anything significant in this shift, or maybe the website just wanted to go through a rebranding exercise and I’m reading too much into it? Stefano Harney: And there is something kind of cool about the way we are writing to each other from under this work regime of bulk teaching, as my friend Marina Vishmidt called it. We’re writing to each other from our conditions, conditions that we make harder by being kind to the students and to each other. So that’s what we got to do, even if it makes us uncouth. It’s also good timing that you wrote to me about this comment I made to you in an earlier conversation because</w:t>
      </w:r>
      <w:r>
        <w:rPr>
          <w:sz w:val="24"/>
          <w:szCs w:val="24"/>
        </w:rPr>
        <w:t xml:space="preserve"> </w:t>
      </w:r>
      <w:r>
        <w:rPr>
          <w:sz w:val="24"/>
          <w:szCs w:val="24"/>
          <w:u w:val="single"/>
        </w:rPr>
        <w:t xml:space="preserve">I just finished a terrific book called </w:t>
      </w:r>
      <w:hyperlink r:id="rId140">
        <w:r>
          <w:rPr>
            <w:i/>
            <w:color w:val="855FA7"/>
            <w:sz w:val="24"/>
            <w:szCs w:val="24"/>
            <w:u w:val="single"/>
          </w:rPr>
          <w:t>Dixie Be Damned</w:t>
        </w:r>
      </w:hyperlink>
      <w:r>
        <w:rPr>
          <w:sz w:val="24"/>
          <w:szCs w:val="24"/>
          <w:u w:val="single"/>
        </w:rPr>
        <w:t xml:space="preserve"> by Neal Shirley and Saralee Stafford. They write about insurrections in the South from the dismal swamp in the 18</w:t>
      </w:r>
      <w:r>
        <w:rPr>
          <w:sz w:val="30"/>
          <w:szCs w:val="30"/>
          <w:u w:val="single"/>
          <w:vertAlign w:val="superscript"/>
        </w:rPr>
        <w:t xml:space="preserve">th </w:t>
      </w:r>
      <w:r>
        <w:rPr>
          <w:sz w:val="24"/>
          <w:szCs w:val="24"/>
          <w:u w:val="single"/>
        </w:rPr>
        <w:t>century to a 1975 uprising in a North Carolina women’s prison</w:t>
      </w:r>
      <w:r>
        <w:rPr>
          <w:sz w:val="24"/>
          <w:szCs w:val="24"/>
        </w:rPr>
        <w:t xml:space="preserve">. It’s stirring stuff and then in a really sound, clear-hearted concluding chapter they surprised me. They said </w:t>
      </w:r>
      <w:r>
        <w:rPr>
          <w:sz w:val="24"/>
          <w:szCs w:val="24"/>
          <w:u w:val="single"/>
        </w:rPr>
        <w:t>our enemies have been saved not by fascism but by democracy.</w:t>
      </w:r>
      <w:r>
        <w:rPr>
          <w:sz w:val="24"/>
          <w:szCs w:val="24"/>
        </w:rPr>
        <w:t xml:space="preserve"> </w:t>
      </w:r>
      <w:r>
        <w:rPr>
          <w:sz w:val="16"/>
          <w:szCs w:val="16"/>
        </w:rPr>
        <w:t>It should not have surprised me, given that we were just speaking about Du Bois and democratic despotism, but it did. They are right. And I think it is in this sense that a better university would be worse for us, has been worse for us, in a paradoxical way. Some ask, ‘Is another university possible?’ Well, that implies this one is possible but more than that it suggests another university would be better for us. I don’t know about that. This is not to say I do not find work like that of Marc Bousquet and Chris Newfield indispensable. I do. But</w:t>
      </w:r>
      <w:r>
        <w:rPr>
          <w:sz w:val="24"/>
          <w:szCs w:val="24"/>
        </w:rPr>
        <w:t xml:space="preserve"> </w:t>
      </w:r>
      <w:r>
        <w:rPr>
          <w:sz w:val="24"/>
          <w:szCs w:val="24"/>
          <w:u w:val="single"/>
        </w:rPr>
        <w:t>there is something at stake in Shirley and Stafford’s book and I want to talk with you about it because I think it connects to your question about how the Undercommons book has been read and used</w:t>
      </w:r>
      <w:r>
        <w:rPr>
          <w:sz w:val="24"/>
          <w:szCs w:val="24"/>
        </w:rPr>
        <w:t xml:space="preserve">. </w:t>
      </w:r>
      <w:r>
        <w:rPr>
          <w:sz w:val="24"/>
          <w:szCs w:val="24"/>
          <w:u w:val="single"/>
        </w:rPr>
        <w:t xml:space="preserve">The authors quote Frank Wilderson on the way blackness can never be disimbricated from the violence of slavery. Then they say: ‘Those who would risk extending solidarity across racial boundaries would find themselves the recipient of exemplary violence in order to instill fear of constant consequence for this treason. Ever after, </w:t>
      </w:r>
      <w:r>
        <w:rPr>
          <w:i/>
          <w:sz w:val="24"/>
          <w:szCs w:val="24"/>
          <w:u w:val="single"/>
        </w:rPr>
        <w:t>meaningful cross-racial affinity can only be found in moments of revolutionary violence</w:t>
      </w:r>
      <w:r>
        <w:rPr>
          <w:sz w:val="24"/>
          <w:szCs w:val="24"/>
          <w:u w:val="single"/>
        </w:rPr>
        <w:t>.”</w:t>
      </w:r>
      <w:r>
        <w:rPr>
          <w:sz w:val="24"/>
          <w:szCs w:val="24"/>
        </w:rPr>
        <w:t xml:space="preserve">  </w:t>
      </w:r>
      <w:r>
        <w:rPr>
          <w:sz w:val="16"/>
          <w:szCs w:val="16"/>
        </w:rPr>
        <w:t>(Italics in the original.)Now this is an historical observation on their part, but to some extent it is also programmatic  for the authors. As an observation, well, they have just convinced me of its validity in the last 250 pages, and as program, well,</w:t>
      </w:r>
      <w:r>
        <w:rPr>
          <w:sz w:val="24"/>
          <w:szCs w:val="24"/>
          <w:u w:val="single"/>
        </w:rPr>
        <w:t xml:space="preserve"> I’m not a pacifist. I’m for self-defense, and that can be violent. But do words like solidarity, affinity, to say nothing of the unlovely term allyship, accidentally preserve something we want to abolish?</w:t>
      </w:r>
      <w:r>
        <w:rPr>
          <w:sz w:val="24"/>
          <w:szCs w:val="24"/>
        </w:rPr>
        <w:t xml:space="preserve"> And I feel bad using Shirley and Stafford to make this point because theirs is such a good book, but maybe that’s why I feel compelled to say, ‘</w:t>
      </w:r>
      <w:r>
        <w:rPr>
          <w:sz w:val="24"/>
          <w:szCs w:val="24"/>
          <w:u w:val="single"/>
        </w:rPr>
        <w:t>even here’ this question comes up</w:t>
      </w:r>
      <w:r>
        <w:rPr>
          <w:sz w:val="24"/>
          <w:szCs w:val="24"/>
        </w:rPr>
        <w:t xml:space="preserve">. What I mean is </w:t>
      </w:r>
      <w:r>
        <w:rPr>
          <w:sz w:val="24"/>
          <w:szCs w:val="24"/>
          <w:u w:val="single"/>
        </w:rPr>
        <w:t>who is this someone in solidarity with blackness, who is this ally of blackness, who is this someone with affinity to black struggle?</w:t>
      </w:r>
      <w:r>
        <w:rPr>
          <w:sz w:val="24"/>
          <w:szCs w:val="24"/>
        </w:rPr>
        <w:t xml:space="preserve"> </w:t>
      </w:r>
      <w:r>
        <w:rPr>
          <w:sz w:val="16"/>
          <w:szCs w:val="16"/>
        </w:rPr>
        <w:t>I think this means that this someone has his or her own struggles and is indicating that now she or he wants to join not in common struggles, but in the struggles of blackness. Because in a sense you have to have your own thing to be an ally or to be in solidarity</w:t>
      </w:r>
      <w:r>
        <w:rPr>
          <w:sz w:val="24"/>
          <w:szCs w:val="24"/>
        </w:rPr>
        <w:t xml:space="preserve">. </w:t>
      </w:r>
      <w:r>
        <w:rPr>
          <w:sz w:val="24"/>
          <w:szCs w:val="24"/>
          <w:u w:val="single"/>
        </w:rPr>
        <w:t>Ok, but what are your own struggles from which you would be offering solidarity, allyship, affinity?</w:t>
      </w:r>
      <w:r>
        <w:rPr>
          <w:sz w:val="24"/>
          <w:szCs w:val="24"/>
        </w:rPr>
        <w:t xml:space="preserve"> </w:t>
      </w:r>
      <w:r>
        <w:rPr>
          <w:sz w:val="24"/>
          <w:szCs w:val="24"/>
          <w:u w:val="single"/>
        </w:rPr>
        <w:t>Are you organizing in the white community, is that it? I think that is the implication</w:t>
      </w:r>
      <w:r>
        <w:rPr>
          <w:sz w:val="24"/>
          <w:szCs w:val="24"/>
        </w:rPr>
        <w:t xml:space="preserve">, that you have been working in white communities, and/or on the environment, or feminist issues, etc. But the problem is, </w:t>
      </w:r>
      <w:r>
        <w:rPr>
          <w:sz w:val="24"/>
          <w:szCs w:val="24"/>
          <w:u w:val="single"/>
        </w:rPr>
        <w:lastRenderedPageBreak/>
        <w:t>there’s no such thing as a white community. A white community is a contradiction in terms, an oxymoron. You can’t organize an oxymoron. The only thing you can do with a white community is work to abolish it.</w:t>
      </w:r>
      <w:r>
        <w:rPr>
          <w:sz w:val="24"/>
          <w:szCs w:val="24"/>
        </w:rPr>
        <w:t xml:space="preserve"> Moreover </w:t>
      </w:r>
      <w:r>
        <w:rPr>
          <w:sz w:val="24"/>
          <w:szCs w:val="24"/>
          <w:u w:val="single"/>
        </w:rPr>
        <w:t xml:space="preserve">at that point of abolition we may be able to say there is no such thing as a community, that a community is an oxymoron. You can’t commune and have a community. Communing is anti-community. It’s undercommon. Maybe the only kind of community that is possible is the maroon community, because it is by definition not a community, and when in some historical instances (of necessity even) it became one, it took on the same murderous qualities of any community. </w:t>
      </w:r>
      <w:r>
        <w:rPr>
          <w:sz w:val="24"/>
          <w:szCs w:val="24"/>
        </w:rPr>
        <w:t>Okay, so then the question arising,</w:t>
      </w:r>
      <w:r>
        <w:rPr>
          <w:sz w:val="24"/>
          <w:szCs w:val="24"/>
          <w:u w:val="single"/>
        </w:rPr>
        <w:t xml:space="preserve"> if you do abolish the white community, what of the people who were marked as white, and in many cases who dwelt in the supremacy of whiteness, what becomes of them? Well, in the practice of abolition they will move closer to the only thing they ever had that was about life and not death, about love and not hate, blackness. This is to say, people who present as white are not allies, or in solidarity, or showing affinity, because they have nothing of their own, no place from which to show this, no resource to bring, unless and until they embrace the one thing of their own they disown.</w:t>
      </w:r>
      <w:r>
        <w:rPr>
          <w:sz w:val="24"/>
          <w:szCs w:val="24"/>
        </w:rPr>
        <w:t xml:space="preserve"> </w:t>
      </w:r>
      <w:r>
        <w:rPr>
          <w:sz w:val="24"/>
          <w:szCs w:val="24"/>
          <w:u w:val="single"/>
        </w:rPr>
        <w:t xml:space="preserve">The thing that can’t be owned </w:t>
      </w:r>
      <w:r>
        <w:rPr>
          <w:i/>
          <w:sz w:val="24"/>
          <w:szCs w:val="24"/>
          <w:u w:val="single"/>
        </w:rPr>
        <w:t>born(e)</w:t>
      </w:r>
      <w:r>
        <w:rPr>
          <w:sz w:val="24"/>
          <w:szCs w:val="24"/>
          <w:u w:val="single"/>
        </w:rPr>
        <w:t xml:space="preserve"> of the owned, blackness. Now white people aren’t coming with much blackness, by definition. And this is why the underlying humility motivating terms like ally, solidarity, and affinity is not misplaced, if that is indeed what underlies their use in practice. In any case, whiteness is either absence or violence, and in either case, not much to offer as an ally. But on the other hand white people have a big role to play in the revolutionary violence Shirley and Stafford speak of because the act of abolition of white communities is a monumental task. </w:t>
      </w:r>
      <w:r>
        <w:rPr>
          <w:sz w:val="16"/>
          <w:szCs w:val="16"/>
        </w:rPr>
        <w:t>By contrast and in a sense to reverse while also honouring Wilderson’s initial point, Black people have for the very reason of this unrelenting violence and its brutal failure, a lot of blackness, if I can put it that way, a special, (under) privileged relationship to blackness, as Fred puts it.</w:t>
      </w:r>
      <w:r>
        <w:rPr>
          <w:sz w:val="24"/>
          <w:szCs w:val="24"/>
        </w:rPr>
        <w:t xml:space="preserve"> So </w:t>
      </w:r>
      <w:r>
        <w:rPr>
          <w:sz w:val="24"/>
          <w:szCs w:val="24"/>
          <w:u w:val="single"/>
        </w:rPr>
        <w:t xml:space="preserve">another way to think of the historical events Shirley and Stafford are speaking about as cross-racial moments would be to think about these events as moments in which there was not a total coincidence between black people and blackness. In a way we could read moments of non-coincidence as moments not of liberation from blackness but generalization of blackness. </w:t>
      </w:r>
      <w:r>
        <w:rPr>
          <w:sz w:val="24"/>
          <w:szCs w:val="24"/>
        </w:rPr>
        <w:t xml:space="preserve">But </w:t>
      </w:r>
      <w:r>
        <w:rPr>
          <w:sz w:val="24"/>
          <w:szCs w:val="24"/>
          <w:u w:val="single"/>
        </w:rPr>
        <w:t>we have to be careful here. Blackness is neither the opposite nor the total reversal or abolition of whiteness.</w:t>
      </w:r>
      <w:r>
        <w:rPr>
          <w:sz w:val="24"/>
          <w:szCs w:val="24"/>
        </w:rPr>
        <w:t xml:space="preserve"> </w:t>
      </w:r>
      <w:r>
        <w:rPr>
          <w:sz w:val="24"/>
          <w:szCs w:val="24"/>
          <w:u w:val="single"/>
        </w:rPr>
        <w:t>Blackness exists in/as the general antagonism. It’s always anti-colonial, always fugitive</w:t>
      </w:r>
      <w:r>
        <w:rPr>
          <w:sz w:val="24"/>
          <w:szCs w:val="24"/>
        </w:rPr>
        <w:t xml:space="preserve">. So what we tried to do in the book is to think about how </w:t>
      </w:r>
      <w:r>
        <w:rPr>
          <w:sz w:val="24"/>
          <w:szCs w:val="24"/>
          <w:u w:val="single"/>
        </w:rPr>
        <w:t>study, and planning, and logisticality, and hapticality named capacities for expanding the social poesis of blackness, of the anti-regulatory, jurisgenerative improvisation of the use of each other</w:t>
      </w:r>
      <w:r>
        <w:rPr>
          <w:sz w:val="24"/>
          <w:szCs w:val="24"/>
        </w:rPr>
        <w:t xml:space="preserve">. And we were thinking about how </w:t>
      </w:r>
      <w:r>
        <w:rPr>
          <w:sz w:val="24"/>
          <w:szCs w:val="24"/>
          <w:u w:val="single"/>
        </w:rPr>
        <w:t>the undercommons of study might be a place where those in blackness and those coming into blackness might commune, might serve the debt together, in difference but not separability</w:t>
      </w:r>
      <w:r>
        <w:rPr>
          <w:sz w:val="24"/>
          <w:szCs w:val="24"/>
        </w:rPr>
        <w:t xml:space="preserve">, as Denise Ferreira da Silva might say, not separability from that quantum blackness that moves across and against property, subjectivity, development, usufruction. And if you want to say </w:t>
      </w:r>
      <w:r>
        <w:rPr>
          <w:sz w:val="24"/>
          <w:szCs w:val="24"/>
          <w:u w:val="single"/>
        </w:rPr>
        <w:t xml:space="preserve">this is going to be a practice that is hard for a lot of people who do not experience the lived fact of the coincidence of being a black person and blackness, and it is going to be a humble practice, and even a practice of entering into service, feeling in debt, well that’s okay, cause all of that is what blackness is too. </w:t>
      </w:r>
      <w:r>
        <w:rPr>
          <w:sz w:val="16"/>
          <w:szCs w:val="16"/>
        </w:rPr>
        <w:t>The book is just trying to say this, in part from being in but not of the university and its structural violence of anti-black racism and settler colonialism. In a way, Shirley and Stafford did not need to say this because they performed this kind of study when they wrote the book. They served the debt. I’m sorry I took so long with this part of our conversation, but you know when you are teaching a lot — and I’ve averaged I figure about six to seven full courses a year over my career, with a couple instances of gold-bricking — and when you finally find time to read in between and the book turns out to be really good, there is a special pleasure in it, right? Michael, you mention you would like to talk more about leisure in the classroom. Me too, but as you said it I realized I used the wrong word, a problematic word. What I realize now is that</w:t>
      </w:r>
      <w:r>
        <w:rPr>
          <w:sz w:val="24"/>
          <w:szCs w:val="24"/>
        </w:rPr>
        <w:t xml:space="preserve"> </w:t>
      </w:r>
      <w:r>
        <w:rPr>
          <w:sz w:val="24"/>
          <w:szCs w:val="24"/>
          <w:u w:val="single"/>
        </w:rPr>
        <w:lastRenderedPageBreak/>
        <w:t>leisure evokes free time that we have in opposition to work, no matter how much that leisure has now been commodified itself</w:t>
      </w:r>
      <w:r>
        <w:rPr>
          <w:sz w:val="24"/>
          <w:szCs w:val="24"/>
        </w:rPr>
        <w:t xml:space="preserve">. But </w:t>
      </w:r>
      <w:r>
        <w:rPr>
          <w:sz w:val="24"/>
          <w:szCs w:val="24"/>
          <w:u w:val="single"/>
        </w:rPr>
        <w:t>this opposition between free time and work is alien to the black radical tradition, something Angela Davis, Barbara Smith and many others have taught us for a long time now. The black body, especially the black female body, under racial capitalism, should either be working or must be interrogated for why it is not working. Free time doesn’t come into it, but that is not the only reason</w:t>
      </w:r>
      <w:r>
        <w:rPr>
          <w:sz w:val="24"/>
          <w:szCs w:val="24"/>
        </w:rPr>
        <w:t xml:space="preserve">. Free time itself has to be ‘reworked’ within an abolitionist history. </w:t>
      </w:r>
      <w:r>
        <w:rPr>
          <w:sz w:val="24"/>
          <w:szCs w:val="24"/>
          <w:u w:val="single"/>
        </w:rPr>
        <w:t>Freedom is neither possible nor — more controversially perhaps — desirable.</w:t>
      </w:r>
      <w:r>
        <w:rPr>
          <w:sz w:val="24"/>
          <w:szCs w:val="24"/>
        </w:rPr>
        <w:t xml:space="preserve"> </w:t>
      </w:r>
      <w:r>
        <w:rPr>
          <w:sz w:val="24"/>
          <w:szCs w:val="24"/>
          <w:u w:val="single"/>
        </w:rPr>
        <w:t>Fred and I talk about the opposite of slavery being something like service, not freedom, learning from Saidiya Hartman</w:t>
      </w:r>
      <w:r>
        <w:rPr>
          <w:sz w:val="24"/>
          <w:szCs w:val="24"/>
        </w:rPr>
        <w:t xml:space="preserve">. And Denise instructs us to </w:t>
      </w:r>
      <w:r>
        <w:rPr>
          <w:sz w:val="24"/>
          <w:szCs w:val="24"/>
          <w:u w:val="single"/>
        </w:rPr>
        <w:t xml:space="preserve">think of time outside its deployment in enlightenment European philosophy, instead through her concept of difference without separability. So a free time that is neither about freedom nor sequential time. </w:t>
      </w:r>
      <w:r>
        <w:rPr>
          <w:sz w:val="24"/>
          <w:szCs w:val="24"/>
        </w:rPr>
        <w:t xml:space="preserve">This is one reason why </w:t>
      </w:r>
      <w:r>
        <w:rPr>
          <w:sz w:val="24"/>
          <w:szCs w:val="24"/>
          <w:u w:val="single"/>
        </w:rPr>
        <w:t xml:space="preserve">I am tempted to hide out in the term </w:t>
      </w:r>
      <w:r>
        <w:rPr>
          <w:i/>
          <w:sz w:val="24"/>
          <w:szCs w:val="24"/>
          <w:u w:val="single"/>
        </w:rPr>
        <w:t>otium</w:t>
      </w:r>
      <w:r>
        <w:rPr>
          <w:sz w:val="24"/>
          <w:szCs w:val="24"/>
          <w:u w:val="single"/>
        </w:rPr>
        <w:t xml:space="preserve"> instead</w:t>
      </w:r>
      <w:r>
        <w:rPr>
          <w:sz w:val="24"/>
          <w:szCs w:val="24"/>
        </w:rPr>
        <w:t>.</w:t>
      </w:r>
      <w:r>
        <w:rPr>
          <w:sz w:val="16"/>
          <w:szCs w:val="16"/>
        </w:rPr>
        <w:t xml:space="preserve"> And it is not just because neither leisure nor free time would really work. Otium is in itself interesting in its origins. Of course it is also problematic coming out of the Greek and Roman traditions and we will have to come back to that. </w:t>
      </w:r>
      <w:r>
        <w:rPr>
          <w:sz w:val="24"/>
          <w:szCs w:val="24"/>
          <w:u w:val="single"/>
        </w:rPr>
        <w:t>Otium starts as a term in Greek that is in opposition to war. It is the time of rest, of peace, or pursuits antithetical to war, a way of being without war. Then with the Romans it starts to stand for time that is in opposition to public service, a way of being without the civic.</w:t>
      </w:r>
      <w:r>
        <w:rPr>
          <w:sz w:val="24"/>
          <w:szCs w:val="24"/>
        </w:rPr>
        <w:t xml:space="preserve"> </w:t>
      </w:r>
      <w:r>
        <w:rPr>
          <w:sz w:val="24"/>
          <w:szCs w:val="24"/>
          <w:u w:val="single"/>
        </w:rPr>
        <w:t xml:space="preserve">The first sense gives us a time of preservation, of militant rest, in opposition to the ongoing war of settler colonialism. And then the second sense gives us a time without public service. Think of what we learn from Frank Wilderson about the impossibility of black civic life and we see the other side to this is some kind of anti-colonial otium, an otium of black operations. Otium is fugitive from the good cop- bad cop of politics and war. </w:t>
      </w:r>
      <w:r>
        <w:rPr>
          <w:sz w:val="16"/>
          <w:szCs w:val="16"/>
        </w:rPr>
        <w:t xml:space="preserve">But that’s also not enough because there is something both collective and incomplete about this otium not captured in either its Greek or Roman usage, limited as those traditions are by the emergence of the supposed political subject. </w:t>
      </w:r>
      <w:r>
        <w:rPr>
          <w:sz w:val="24"/>
          <w:szCs w:val="24"/>
          <w:u w:val="single"/>
        </w:rPr>
        <w:t>There’s something else about this otium and maybe the closest I can come to it right now is through a phrase Che Gossett uses, ‘an ontological cruising</w:t>
      </w:r>
      <w:r>
        <w:rPr>
          <w:sz w:val="24"/>
          <w:szCs w:val="24"/>
        </w:rPr>
        <w:t xml:space="preserve">.’ </w:t>
      </w:r>
      <w:r>
        <w:rPr>
          <w:sz w:val="16"/>
          <w:szCs w:val="16"/>
        </w:rPr>
        <w:t>I came across this phrase in</w:t>
      </w:r>
      <w:hyperlink r:id="rId141">
        <w:r>
          <w:rPr>
            <w:color w:val="855FA7"/>
            <w:sz w:val="16"/>
            <w:szCs w:val="16"/>
          </w:rPr>
          <w:t xml:space="preserve"> an amazing piece Che wrote for the Verso blog</w:t>
        </w:r>
      </w:hyperlink>
      <w:r>
        <w:rPr>
          <w:sz w:val="16"/>
          <w:szCs w:val="16"/>
        </w:rPr>
        <w:t xml:space="preserve"> and it stayed with me. Here’s the whole sentence: ‘As queer and/or trans people of color, already dispossessed, we yearn to be with one another; our search and seeking is a be-longing, an ontological cruising.’</w:t>
      </w:r>
      <w:r>
        <w:rPr>
          <w:sz w:val="24"/>
          <w:szCs w:val="24"/>
        </w:rPr>
        <w:t xml:space="preserve"> </w:t>
      </w:r>
      <w:r>
        <w:rPr>
          <w:sz w:val="24"/>
          <w:szCs w:val="24"/>
          <w:u w:val="single"/>
        </w:rPr>
        <w:t xml:space="preserve">Otium is this, not leisure, not free time, but this be-longing away from war, away from the public and the civic, and not an opposition to work but an alternative to it. </w:t>
      </w:r>
      <w:r>
        <w:rPr>
          <w:sz w:val="16"/>
          <w:szCs w:val="16"/>
        </w:rPr>
        <w:t>And so the question I want to ask you, Michael and Jesse is this. Think about the kind of places we teach. For me it has been places like Pace University where I taught the early bird anthropology course to students at 7:20 am who left at 8:30 to be mail clerks and secretaries on Wall Street, or the students on Staten Island I taught who wanted to be primary school teachers. So</w:t>
      </w:r>
      <w:r>
        <w:rPr>
          <w:sz w:val="24"/>
          <w:szCs w:val="24"/>
        </w:rPr>
        <w:t xml:space="preserve"> </w:t>
      </w:r>
      <w:r>
        <w:rPr>
          <w:sz w:val="24"/>
          <w:szCs w:val="24"/>
          <w:u w:val="single"/>
        </w:rPr>
        <w:t xml:space="preserve">what would it mean to develop a ‘preferential option for our students’? Because I think it might have something to do with conspiring to let this trans otium, this anti-colonial otium, this otium of black operations flourish in our classrooms and beyond our campuses. </w:t>
      </w:r>
      <w:r>
        <w:rPr>
          <w:sz w:val="12"/>
          <w:szCs w:val="12"/>
        </w:rPr>
        <w:t xml:space="preserve">Michael: This is an absolutely crucial question that I want to complicate a little more in reference to </w:t>
      </w:r>
      <w:hyperlink r:id="rId142">
        <w:r>
          <w:rPr>
            <w:color w:val="855FA7"/>
            <w:sz w:val="12"/>
            <w:szCs w:val="12"/>
          </w:rPr>
          <w:t>something you have said about the actual existing business school</w:t>
        </w:r>
      </w:hyperlink>
      <w:r>
        <w:rPr>
          <w:sz w:val="12"/>
          <w:szCs w:val="12"/>
        </w:rPr>
        <w:t xml:space="preserve">. You argue that students at a business school are far closer to labor than to the capitalist manager class that they aspire to join. In fact that is not their aspiration at all. Describing the business student you say, “Unlike students in the rest of the university (and this of course is what disturbs the rest of the university) these students in the business school essentially stand before us, as lecturers who are supposed to train them, completely naked and say, ‘we are simply labor and we simply want to be put to work. Tell us what to do in order to be useful.’ So there’s no mediation with them, there’s no love of literature. There’s no attempt at scientific discovery. There is just that laboring body saying ‘tell me how to become useful again. Tell me how to become more useful.’” This would come as a surprise to many of my friends but I actually spent my first year in college at a very well respected business school. Within about three days I knew it was not the place for me because I realized that I craved that mediation that you describe, which sent me clear across the country to study philosophy at a big state school. The contrast has shaped how I think about the university and when your description of the business school student becomes more recognizable as the general disposition of students we meet in the classroom I get real depressed. And here is the complicating bit. Jesse was just involved in a failed attempt to unionize graduate students at his university and ran up against something of a similar attitude amongst his colleagues. </w:t>
      </w:r>
      <w:r>
        <w:rPr>
          <w:sz w:val="24"/>
          <w:szCs w:val="24"/>
          <w:u w:val="single"/>
        </w:rPr>
        <w:t>I’m currently part of the academic precariate — overworked and underpaid with no clear career path in sight. So the anxieties that you describe are on both sides of the pedagogical encounter</w:t>
      </w:r>
      <w:r>
        <w:rPr>
          <w:sz w:val="24"/>
          <w:szCs w:val="24"/>
        </w:rPr>
        <w:t xml:space="preserve">. </w:t>
      </w:r>
      <w:r>
        <w:rPr>
          <w:sz w:val="12"/>
          <w:szCs w:val="12"/>
        </w:rPr>
        <w:t xml:space="preserve">Now, to come back to your question, I have no idea. I think in various forms Jesse and I have been inspired by Lars Iyer and his call to bring a kind of radical pathos into different academic settings. As you say, the business school can leverage ideas like entrepreneurship to recuperate the </w:t>
      </w:r>
      <w:r>
        <w:rPr>
          <w:i/>
          <w:sz w:val="12"/>
          <w:szCs w:val="12"/>
        </w:rPr>
        <w:t xml:space="preserve">Bildung </w:t>
      </w:r>
      <w:r>
        <w:rPr>
          <w:sz w:val="12"/>
          <w:szCs w:val="12"/>
        </w:rPr>
        <w:t xml:space="preserve">aspect of the modern university, and perhaps we can aim to change the desire from a naked demand for work to a demand for the kind of mediation that the university can provide — a sort of “listen, we’ve all got problems” as the first gesture of teaching. Or like Socrates at the end of the </w:t>
      </w:r>
      <w:r>
        <w:rPr>
          <w:i/>
          <w:sz w:val="12"/>
          <w:szCs w:val="12"/>
        </w:rPr>
        <w:t xml:space="preserve">Apology </w:t>
      </w:r>
      <w:r>
        <w:rPr>
          <w:sz w:val="12"/>
          <w:szCs w:val="12"/>
        </w:rPr>
        <w:t xml:space="preserve">saying “gentleman, stay with me awhile, for nothing prevents us from talking to each other while it is allowed” in the time between being sentenced to death and the officers of the court hauling him away. This is a long way of saying I’m not sure. I’ve suggested laying yourself bare in a different way than the laborer or developing a different relationship to death as two ways to get back leisure. I suppose this is like the existentialist’s guide to teaching. But I do think you are right in what you said earlier, that getting sucked into policy is a bit of a trap despite the pressing policy issues like debt, unionization, job security, etc. It pushes the personal off the table in favor or professional concerns. But this raises another question for me. In resisting the narrowing influence of policy we might be tempted to turn towards ideas, like the long tradition of thinking about the idea of the university. You and Fred have talked about study, as has </w:t>
      </w:r>
      <w:r>
        <w:rPr>
          <w:sz w:val="12"/>
          <w:szCs w:val="12"/>
        </w:rPr>
        <w:lastRenderedPageBreak/>
        <w:t xml:space="preserve">one of my mentors in graduate school Robbie McClintock, </w:t>
      </w:r>
      <w:hyperlink r:id="rId143">
        <w:r>
          <w:rPr>
            <w:color w:val="855FA7"/>
            <w:sz w:val="12"/>
            <w:szCs w:val="12"/>
          </w:rPr>
          <w:t>who started writing on this theme in the early 1970s is ways that now look very prescient</w:t>
        </w:r>
      </w:hyperlink>
      <w:r>
        <w:rPr>
          <w:sz w:val="12"/>
          <w:szCs w:val="12"/>
        </w:rPr>
        <w:t xml:space="preserve">. There is a great bourgeoise tradition of using a discussion of ideas to distract us from focusing on issues of power and politics. What do you think is a salutary way to bring ideas back into our conversations? Does study stick out for you because it is not just an idea, but a practice? Stefano: I like what you are suggesting, Michael, about trying to be with the students through an analysis of our own condition in this conjuncture, and bringing that condition out openly and honestly. And you are right that </w:t>
      </w:r>
      <w:r>
        <w:rPr>
          <w:sz w:val="24"/>
          <w:szCs w:val="24"/>
          <w:u w:val="single"/>
        </w:rPr>
        <w:t>it is increasingly all students who stand before capital as supplicants, without mediation, and it is increasingly all of us. Under these circumstances it might be important to distinguish between this exposure to capital and the persistence</w:t>
      </w:r>
      <w:r>
        <w:rPr>
          <w:sz w:val="24"/>
          <w:szCs w:val="24"/>
        </w:rPr>
        <w:t xml:space="preserve">, perhaps especially in business education, </w:t>
      </w:r>
      <w:r>
        <w:rPr>
          <w:sz w:val="24"/>
          <w:szCs w:val="24"/>
          <w:u w:val="single"/>
        </w:rPr>
        <w:t>of what Foucault called a total education</w:t>
      </w:r>
      <w:r>
        <w:rPr>
          <w:sz w:val="24"/>
          <w:szCs w:val="24"/>
        </w:rPr>
        <w:t xml:space="preserve">, something Fred and I have been speaking about. As you may recall </w:t>
      </w:r>
      <w:r>
        <w:rPr>
          <w:sz w:val="24"/>
          <w:szCs w:val="24"/>
          <w:u w:val="single"/>
        </w:rPr>
        <w:t>he was talking about how the prisons</w:t>
      </w:r>
      <w:r>
        <w:rPr>
          <w:i/>
          <w:sz w:val="24"/>
          <w:szCs w:val="24"/>
          <w:u w:val="single"/>
        </w:rPr>
        <w:t xml:space="preserve"> instructed </w:t>
      </w:r>
      <w:r>
        <w:rPr>
          <w:sz w:val="24"/>
          <w:szCs w:val="24"/>
          <w:u w:val="single"/>
        </w:rPr>
        <w:t>prisoners in every aspect of prison routine</w:t>
      </w:r>
      <w:r>
        <w:rPr>
          <w:sz w:val="24"/>
          <w:szCs w:val="24"/>
        </w:rPr>
        <w:t xml:space="preserve">, to use your mentor’s apt distinction from study. </w:t>
      </w:r>
      <w:r>
        <w:rPr>
          <w:sz w:val="24"/>
          <w:szCs w:val="24"/>
          <w:u w:val="single"/>
        </w:rPr>
        <w:t>Foucault says this total instruction attacked what it saw as the perversion of prisoners. And the first step in this attack, this instruction, was the individuation of bodies and minds. That’s the first and most brutal reform, individuation. Perversion on the other hand therefore could be thought of here as the refusal to be individuated. It is another word for the entanglement of beings, the encircling, winding, curling flesh, blurred and indistinct parts, different but inseparable</w:t>
      </w:r>
      <w:r>
        <w:rPr>
          <w:sz w:val="24"/>
          <w:szCs w:val="24"/>
        </w:rPr>
        <w:t xml:space="preserve">, as Denise Ferreira da Silva would put it. Total education is an organized attack on our perversions, our versions, our differentiated inseparability. </w:t>
      </w:r>
      <w:r>
        <w:rPr>
          <w:sz w:val="24"/>
          <w:szCs w:val="24"/>
          <w:u w:val="single"/>
        </w:rPr>
        <w:t>The brutal individuation of the prisoner, his or her straightening, the construction of fortifications around each of these bodies not just around all of them, the training in the distinction of individualized bodies and minds</w:t>
      </w:r>
      <w:r>
        <w:rPr>
          <w:sz w:val="24"/>
          <w:szCs w:val="24"/>
        </w:rPr>
        <w:t xml:space="preserve">. </w:t>
      </w:r>
      <w:r>
        <w:rPr>
          <w:sz w:val="24"/>
          <w:szCs w:val="24"/>
          <w:u w:val="single"/>
        </w:rPr>
        <w:t xml:space="preserve">This is the instantiation of reform of total education. Literally a re-forming of these perverse unformed, under-formed, deformed beings into proper forms. That is why reform is the true punishment, the truly vicious side of the prison and of reforming, conforming societies like ours. We do the same in education. </w:t>
      </w:r>
      <w:r>
        <w:rPr>
          <w:sz w:val="16"/>
          <w:szCs w:val="16"/>
        </w:rPr>
        <w:t>In education the very first lesson is individuation in time and space. What are the first two lessons kids are taught? First, you can’t touch each other. Second, you are required to stay. You cannot leave when you want to — to go to the bathroom or eat or because you are bored. You leave when they say. Fred and I have also been writing about the relationship between wandering and gathering, and refuge and receiving. And it all starts here</w:t>
      </w:r>
      <w:r>
        <w:rPr>
          <w:sz w:val="24"/>
          <w:szCs w:val="24"/>
        </w:rPr>
        <w:t xml:space="preserve">. </w:t>
      </w:r>
      <w:r>
        <w:rPr>
          <w:sz w:val="24"/>
          <w:szCs w:val="24"/>
          <w:u w:val="single"/>
        </w:rPr>
        <w:t xml:space="preserve">Kids are taught they cannot wander, and they are taught they cannot gather. By gather I mean as with the prisoners they cannot retain what society calls perversion, indistinct, experimental and blurring forms of senses and porous bodies being together. Collective </w:t>
      </w:r>
      <w:r>
        <w:rPr>
          <w:i/>
          <w:sz w:val="24"/>
          <w:szCs w:val="24"/>
          <w:u w:val="single"/>
        </w:rPr>
        <w:t>self-unorganisation</w:t>
      </w:r>
      <w:r>
        <w:rPr>
          <w:sz w:val="24"/>
          <w:szCs w:val="24"/>
          <w:u w:val="single"/>
        </w:rPr>
        <w:t>, wandering, seeking refuge and receiving is replaced by order, and the classroom as the only place they can be, or the playground and lunchroom at regulated times. Denied their own forms of both gathering and wandering, they are educated. This instruction in individuation of the body and mind that precedes and accompanies instruction in the interactions, routines and spatial propriety of the student or the prisoner might be opposed to something else.</w:t>
      </w:r>
      <w:r>
        <w:rPr>
          <w:sz w:val="24"/>
          <w:szCs w:val="24"/>
        </w:rPr>
        <w:t xml:space="preserve"> This something else would be another kind of education, or study — the kind that </w:t>
      </w:r>
      <w:r>
        <w:rPr>
          <w:sz w:val="24"/>
          <w:szCs w:val="24"/>
          <w:u w:val="single"/>
        </w:rPr>
        <w:t>prisoners persistently find a way to convene, as we know from the black radical tradition in prison, famously for instance with Malcolm X and George Jackson</w:t>
      </w:r>
      <w:r>
        <w:rPr>
          <w:sz w:val="24"/>
          <w:szCs w:val="24"/>
        </w:rPr>
        <w:t xml:space="preserve">. Moreover there is plenty of evidence that this kind of study has never gone away. For instance, </w:t>
      </w:r>
      <w:r>
        <w:rPr>
          <w:sz w:val="24"/>
          <w:szCs w:val="24"/>
          <w:u w:val="single"/>
        </w:rPr>
        <w:t xml:space="preserve">I am reading an amazing doctoral dissertation by Angelica Camacho from UC Riverside who is writing about the families supporting the recent prisoner strikes at Pelican Bay, and the forms of study that emerged inside and outside with those strikes. We might call this a form of study that takes place despite instruction, despite the brutal individuation of solitary confinement, despite the sadistic separation of families — we might call this a partial education. As opposed to a total education, a partial education is, as its roots suggest, partisan. It is an education where as Mao said the one becomes two, or perhaps as Fred and I would say the one becomes both less and more than one. Totality itself is exposed as partisan in the process. But a partial education is also partial in another sense — in the sense of </w:t>
      </w:r>
      <w:r>
        <w:rPr>
          <w:sz w:val="24"/>
          <w:szCs w:val="24"/>
          <w:u w:val="single"/>
        </w:rPr>
        <w:lastRenderedPageBreak/>
        <w:t>being incomplete, and indeed being based on incompleteness, vulnerability, needing other people</w:t>
      </w:r>
      <w:r>
        <w:rPr>
          <w:sz w:val="24"/>
          <w:szCs w:val="24"/>
        </w:rPr>
        <w:t xml:space="preserve">. Cedric Robinson speaks of a principle of incompleteness in communities in Africa, and elsewhere, in his great book </w:t>
      </w:r>
      <w:hyperlink r:id="rId144">
        <w:r>
          <w:rPr>
            <w:i/>
            <w:color w:val="855FA7"/>
            <w:sz w:val="24"/>
            <w:szCs w:val="24"/>
          </w:rPr>
          <w:t>Terms of Order</w:t>
        </w:r>
      </w:hyperlink>
      <w:r>
        <w:rPr>
          <w:sz w:val="24"/>
          <w:szCs w:val="24"/>
        </w:rPr>
        <w:t xml:space="preserve">. I also remember this amazing moment where </w:t>
      </w:r>
      <w:r>
        <w:rPr>
          <w:sz w:val="24"/>
          <w:szCs w:val="24"/>
          <w:u w:val="single"/>
        </w:rPr>
        <w:t xml:space="preserve">Albert Woodfox is asked why he continued to think of himself as a Panther through all the years of confinement in Angola Prison even as the Panthers seemed to fade into history and commodification. He said he needed them. This most extraordinary figure who might otherwise be narrated as a lone, brave unbreakable singular man of principle, talks about himself very differently, as needing others, as being incomplete. </w:t>
      </w:r>
      <w:r>
        <w:rPr>
          <w:sz w:val="24"/>
          <w:szCs w:val="24"/>
        </w:rPr>
        <w:t xml:space="preserve">Of course </w:t>
      </w:r>
      <w:r>
        <w:rPr>
          <w:sz w:val="24"/>
          <w:szCs w:val="24"/>
          <w:u w:val="single"/>
        </w:rPr>
        <w:t>entrepreneurs — the contemporary settlers — don’t need anyone. Consultants — contemporary hanging judges — don’t need anyone. And business education in this sense remains a false totality, and our students remain subjected to this total education of entrepreneurship and consultancy, customer relations and market research. All of which hides the massive infrastructure, the massive logistics operations is necessary for these entrepreneurs, consultants, and settlers to entertain their delusion that they are self-sufficient, self-authoring, sovereign.</w:t>
      </w:r>
      <w:r>
        <w:rPr>
          <w:sz w:val="24"/>
          <w:szCs w:val="24"/>
        </w:rPr>
        <w:t xml:space="preserve"> </w:t>
      </w:r>
      <w:r>
        <w:rPr>
          <w:sz w:val="16"/>
          <w:szCs w:val="16"/>
        </w:rPr>
        <w:t>But all disciplines and every aspect of the university is involved in perpetuating this delusion of the individuate sovereign student/entrepreneur/artist/settler, not just the classroom, but admissions, career services, sports, student life, placements and internships, and alumni offices. All of them instructing students in the conduct of every aspect of being a supplicant to capital, every aspect of bodily conduct, conduct of thought, and conduct with others (starting with the instruction to act as if one has an individualized, self-sufficient body and mind for purposes of conduct with others and improvement of oneself). And of course</w:t>
      </w:r>
      <w:r>
        <w:rPr>
          <w:sz w:val="24"/>
          <w:szCs w:val="24"/>
          <w:u w:val="single"/>
        </w:rPr>
        <w:t xml:space="preserve"> the students go back to their neighborhoods where the police instruct on conduct, where Chipotle and Burger King instruct on conduct.  Medicine, sex, exercise everything instructed as conduct for supplication</w:t>
      </w:r>
      <w:r>
        <w:rPr>
          <w:sz w:val="24"/>
          <w:szCs w:val="24"/>
        </w:rPr>
        <w:t xml:space="preserve">. PhD programs send out the first books to newly accepted students not on the subject matter but on how to survive graduate school and get an alt-ac job! But </w:t>
      </w:r>
      <w:r>
        <w:rPr>
          <w:sz w:val="24"/>
          <w:szCs w:val="24"/>
          <w:u w:val="single"/>
        </w:rPr>
        <w:t>of course the greatest instruction is simply the daily routines imposed upon anyone who wants to be a college or university student and is not part of the haute bourgeoisie (they are subjected to their own version of the total education, one that harms not only them but others). The hectic, impossible schedules, the credit card debt budgets, the shit transportation, and the useless homework assignments carry out their own instruction in practice</w:t>
      </w:r>
      <w:r>
        <w:rPr>
          <w:sz w:val="24"/>
          <w:szCs w:val="24"/>
        </w:rPr>
        <w:t xml:space="preserve">. So </w:t>
      </w:r>
      <w:r>
        <w:rPr>
          <w:sz w:val="24"/>
          <w:szCs w:val="24"/>
          <w:u w:val="single"/>
        </w:rPr>
        <w:t>how can we avoid contributing as teachers and university workers to this total education? How can we join with the only force of resistance to all this delusional individuated sovereignty?</w:t>
      </w:r>
      <w:r>
        <w:rPr>
          <w:sz w:val="24"/>
          <w:szCs w:val="24"/>
        </w:rPr>
        <w:t xml:space="preserve"> That is, how can we join with the students? I think </w:t>
      </w:r>
      <w:r>
        <w:rPr>
          <w:sz w:val="24"/>
          <w:szCs w:val="24"/>
          <w:u w:val="single"/>
        </w:rPr>
        <w:t xml:space="preserve">a partial education abandons impartiality not in favor of critique but precisely through the insistence that the ‘total’ is less and more than one. And what this means is that some of this total is really </w:t>
      </w:r>
      <w:r>
        <w:rPr>
          <w:i/>
          <w:sz w:val="24"/>
          <w:szCs w:val="24"/>
          <w:u w:val="single"/>
        </w:rPr>
        <w:t>our thing</w:t>
      </w:r>
      <w:r>
        <w:rPr>
          <w:sz w:val="24"/>
          <w:szCs w:val="24"/>
          <w:u w:val="single"/>
        </w:rPr>
        <w:t>. I am not saying we do not have to be concerned with their shit, with this attempt at the imposition of conduct, of a total education. But rather that we can do so from our thing, through an ongoing vigilance about what is not ours, and a cultivation and love for what is ours.</w:t>
      </w:r>
      <w:r>
        <w:rPr>
          <w:sz w:val="24"/>
          <w:szCs w:val="24"/>
        </w:rPr>
        <w:t xml:space="preserve"> </w:t>
      </w:r>
      <w:r>
        <w:rPr>
          <w:sz w:val="16"/>
          <w:szCs w:val="16"/>
        </w:rPr>
        <w:t>And here an important point should be made about a partial education. Their total education always becomes more and less than one, and any time they make it one, any time they try to make it total, we can make less and more of it. But our thing also divides in another way (in a way unfaithful to Mao but nonetheless). My friend Denise Ferreira da Silva has already shown us how: difference without separability. Or</w:t>
      </w:r>
      <w:r>
        <w:rPr>
          <w:sz w:val="24"/>
          <w:szCs w:val="24"/>
        </w:rPr>
        <w:t xml:space="preserve"> </w:t>
      </w:r>
      <w:r>
        <w:rPr>
          <w:sz w:val="24"/>
          <w:szCs w:val="24"/>
          <w:u w:val="single"/>
        </w:rPr>
        <w:t xml:space="preserve">we might say partial education is sisterhood and brotherhood of, with, and for the general antagonism. </w:t>
      </w:r>
      <w:r>
        <w:rPr>
          <w:sz w:val="24"/>
          <w:szCs w:val="24"/>
        </w:rPr>
        <w:t xml:space="preserve">So </w:t>
      </w:r>
      <w:r>
        <w:rPr>
          <w:sz w:val="24"/>
          <w:szCs w:val="24"/>
          <w:u w:val="single"/>
        </w:rPr>
        <w:t>we can practice this partial education as a form of study with our students.</w:t>
      </w:r>
      <w:r>
        <w:rPr>
          <w:sz w:val="24"/>
          <w:szCs w:val="24"/>
        </w:rPr>
        <w:t xml:space="preserve"> </w:t>
      </w:r>
      <w:r>
        <w:rPr>
          <w:sz w:val="12"/>
          <w:szCs w:val="12"/>
        </w:rPr>
        <w:t xml:space="preserve">I try to do this with my students in Singapore around meritocracy and motivation, two forms of conduct important to total education in Singapore. I explain our university grading policy in which the university sets the number of A’s, B’s etc. one can give, no matter what the students do, and I place myself with the students as being in opposition to this. We talk about how our thing would be for each student to appear in difference, on her or his own, and how giving all A’s would not solve this either. I am trying to explain the university too and inviting the students to show me why they already do this with all their differences, desires, singularities. We also work through Marx and Erich Fromm on alienation and try to make the one of their intended destination, the corporation, into the more and less than one of employer and employee, and employee against employee, etc. My students already have a version of this too –– the old/new Fordist version still possible amidst the racialization, rapid growth, and state interventions in Singapore. The students readily divide life into work and leisure in talking about their future and their hopes, and many think of work already as not theirs. So how can I work with them on this by moving from leisure to otium in our conversations? Jesse Montgomery: Apologies for being such a ragged correspondent these last few weeks, it’s been an exhausting semester but this stuff has been great to read and think alongside. In the spirit of indebtedness, I’d like to send some thoughts and questions your way, Stefano. I hope we can talk a bit more about bringing about </w:t>
      </w:r>
      <w:r>
        <w:rPr>
          <w:i/>
          <w:sz w:val="12"/>
          <w:szCs w:val="12"/>
        </w:rPr>
        <w:t>our thing</w:t>
      </w:r>
      <w:r>
        <w:rPr>
          <w:sz w:val="12"/>
          <w:szCs w:val="12"/>
        </w:rPr>
        <w:t xml:space="preserve">. I think this is a wonderful way to phrase and frame the type of academic, studious relationship we’ve been circling </w:t>
      </w:r>
      <w:r>
        <w:rPr>
          <w:sz w:val="12"/>
          <w:szCs w:val="12"/>
        </w:rPr>
        <w:lastRenderedPageBreak/>
        <w:t xml:space="preserve">around and moving through over the course of our discussion and it actually helps me see the edges of some of my own efforts in the classroom this semester. I forgot if I mentioned this earlier, but I’m teaching a little writing seminar on the topic of jobs and work in literature, and a good portion of my students are training to be consultants and managers. This pairing was a bit unexpected and has been productive and frustrating in, I’d say, equal measure (I was joking with a friend recently about how no matter how bad your worst student is in a given semester, you always wind up feeling like your own worst student; but maybe we grow out of this?). I say frustrating and productive because, as we’ve been discussing, many of my students have so internalized the demands of logistical capitalism that you have discussed, Stefano. I’m thinking in particular of the demand to complete and absolute access as well as the stifling responsibility of becoming the consultant, of bearing the weight of the universal algorithm at the age of, like, 22. What’s most shocking to me is the way in which the university has so thoroughly integrated the world of employment into the academic calendar. My students compete fiercely for prestigious internships each summer, they work during the semester not so they can pay rent (this is probably an overgeneralization, I’m sure some do work to defray immediate costs) but to build out a resume, they run their own businesses between writing papers and going to parties and drafting marketing plans. To further this, the university is doubling down and creating an “immersion program” where they tailor an individualized, custom fit educational experience no doubt keyed toward future employment (immersion here strikes me as either a baptism or a waterboarding). The blurb from the website reads:  </w:t>
      </w:r>
      <w:r>
        <w:rPr>
          <w:i/>
          <w:sz w:val="12"/>
          <w:szCs w:val="12"/>
        </w:rPr>
        <w:t xml:space="preserve">“The Immersion Vanderbilt Initiative calls for all university undergraduates to immerse themselves in creative independent projects that give them the opportunity to engage, question and forge change. The parameters of Immersion Vanderbilt are to be kept broad and flexible, so students have the opportunity to work with a faculty mentor to forge a project that has the capacity to shape them for the rest of their lives.” </w:t>
      </w:r>
      <w:r>
        <w:rPr>
          <w:sz w:val="12"/>
          <w:szCs w:val="12"/>
        </w:rPr>
        <w:t xml:space="preserve">I think these tendencies and incursions are nicely captured by your conception of logistical capital. Here, the university and its classrooms are suffused with the business world or its anticipation, and the institution continues to find new measures by which to make the case of employers in increasingly personal, personalized terms: here we can see the total education extends far beyond the university. My questions then revolve around what types of solidarity can encourage this “difference without separability” (or vice versa). If I’m interpreting your prior email correctly, we want to help our students realize their own desires and interests, those distinct form the imperatives of the market, say, but we also want them to recognize that those distinctions can connect them to others and that, finally, </w:t>
      </w:r>
      <w:r>
        <w:rPr>
          <w:i/>
          <w:sz w:val="12"/>
          <w:szCs w:val="12"/>
        </w:rPr>
        <w:t>we</w:t>
      </w:r>
      <w:r>
        <w:rPr>
          <w:sz w:val="12"/>
          <w:szCs w:val="12"/>
        </w:rPr>
        <w:t xml:space="preserve"> can keep those connections to ourselves, that they constitute </w:t>
      </w:r>
      <w:r>
        <w:rPr>
          <w:i/>
          <w:sz w:val="12"/>
          <w:szCs w:val="12"/>
        </w:rPr>
        <w:t>our thing</w:t>
      </w:r>
      <w:r>
        <w:rPr>
          <w:sz w:val="12"/>
          <w:szCs w:val="12"/>
        </w:rPr>
        <w:t xml:space="preserve">. The university, on the other hand, is very good at selling itself to students as capable of helping them find </w:t>
      </w:r>
      <w:r>
        <w:rPr>
          <w:i/>
          <w:sz w:val="12"/>
          <w:szCs w:val="12"/>
        </w:rPr>
        <w:t xml:space="preserve">their thing. </w:t>
      </w:r>
      <w:r>
        <w:rPr>
          <w:sz w:val="12"/>
          <w:szCs w:val="12"/>
        </w:rPr>
        <w:t xml:space="preserve">How do we speak to difference without encouraging consumerist alienation? What collective identities or solidarities can we offer our students in the classroom to help them resist the demands of job market, or bad forms of individualism? Maybe I’m kicking the can down the road here, but leisure does seem to be a potential inroad here because it raises the question of needs or desires that the university can’t meet (if we’re defining leisure as a real break with the demands of university work or the involvement of the university). Maybe bringing students out of the university is helpful? Or bringing the outside in? Stefano: Thanks, Jesse, for these observations. I think your point about </w:t>
      </w:r>
      <w:r>
        <w:rPr>
          <w:sz w:val="24"/>
          <w:szCs w:val="24"/>
          <w:u w:val="single"/>
        </w:rPr>
        <w:t>how we find solidarities is a key point, including how we find the secret solidarities already in effect, where our entanglement is already felt.</w:t>
      </w:r>
      <w:r>
        <w:rPr>
          <w:sz w:val="24"/>
          <w:szCs w:val="24"/>
        </w:rPr>
        <w:t xml:space="preserve">  </w:t>
      </w:r>
      <w:r>
        <w:rPr>
          <w:sz w:val="12"/>
          <w:szCs w:val="12"/>
        </w:rPr>
        <w:t>Immersion programs like the one you cite at Vanderbilt are essentially the educational equivalent of water-boarding. They take students and plunge them into isolation to ensure no solidarity develops amongst them. To individuate them and convince them they are on their own. In a similar way we could understand student internships largely as the educational equivalent of putting those big earphones and blinders on Guantanamo prisoners. Anything to cut you off from everybody else, to immerse you in the isolation of the market, and especially to disrupt all the ongoing conspiracies without a plot, as Valentina Desideri and I put it. I am not trying to collapse the distinction here between torture and education, much less trivialize the crimes of torture. But</w:t>
      </w:r>
      <w:r>
        <w:rPr>
          <w:sz w:val="24"/>
          <w:szCs w:val="24"/>
        </w:rPr>
        <w:t xml:space="preserve"> </w:t>
      </w:r>
      <w:r>
        <w:rPr>
          <w:sz w:val="24"/>
          <w:szCs w:val="24"/>
          <w:u w:val="single"/>
        </w:rPr>
        <w:t>internships and immersion programs as they are presently constituted are weapons in the domestic, economic war on us, and especially the war on our students. Universities ‘reform’ themselves with more and more of these programs designed to use the market to search and destroy what I called earlier any perversions amongst the student body that do not conform to individuation, sovereignty, self-sufficiency</w:t>
      </w:r>
      <w:r>
        <w:rPr>
          <w:sz w:val="24"/>
          <w:szCs w:val="24"/>
        </w:rPr>
        <w:t xml:space="preserve">. </w:t>
      </w:r>
      <w:r>
        <w:rPr>
          <w:sz w:val="16"/>
          <w:szCs w:val="16"/>
        </w:rPr>
        <w:t>This delusion of such individual sovereignty must be imposed, through things like internships and immersion programs, where it is not taken up ‘freely.’ These university programs are counter-intelligence programs aimed at study. Because given a little time and space, some kind of campus or bar or back staircase</w:t>
      </w:r>
      <w:r>
        <w:rPr>
          <w:sz w:val="24"/>
          <w:szCs w:val="24"/>
        </w:rPr>
        <w:t xml:space="preserve">, </w:t>
      </w:r>
      <w:r>
        <w:rPr>
          <w:sz w:val="24"/>
          <w:szCs w:val="24"/>
          <w:u w:val="single"/>
        </w:rPr>
        <w:t>students are likely to get together, for the sake of it, but also because it is absolutely necessary to survival. You need accomplices to survive. The authorities know this. They individuate us to put us at risk</w:t>
      </w:r>
      <w:r>
        <w:rPr>
          <w:sz w:val="24"/>
          <w:szCs w:val="24"/>
        </w:rPr>
        <w:t xml:space="preserve">. That is why they want to intern students in the market as much as possible — because our market today is virtually without solidarities. </w:t>
      </w:r>
      <w:r>
        <w:rPr>
          <w:sz w:val="24"/>
          <w:szCs w:val="24"/>
          <w:u w:val="single"/>
        </w:rPr>
        <w:t>The reason I keep thinking about a partial education is that it admits that we can’t make it on our own. We’re parts. We’re incomplete. Solidarity should be understood this way. It is not a matter of choice. It is not whether we choose to be in solidarity or alliance or whatever with each other. We have to be. And when we are immersed and interned, we don’t make it.</w:t>
      </w:r>
      <w:r>
        <w:rPr>
          <w:sz w:val="24"/>
          <w:szCs w:val="24"/>
        </w:rPr>
        <w:t xml:space="preserve"> Indeed </w:t>
      </w:r>
      <w:r>
        <w:rPr>
          <w:sz w:val="24"/>
          <w:szCs w:val="24"/>
          <w:u w:val="single"/>
        </w:rPr>
        <w:t>solidarity is maybe the wrong word, or perhaps the word needs a new meaning. Maybe solidarity is where we are always interdicted from starting, in our inseparable difference. Maybe it is where we remain, despite all their efforts. Maybe solidarity is the condition of life. And a lack of solidarity must go under the name of death, the brutal individuation as Fred and I have said of murder for instance, or the murderous illusions of the subject, the settler, the entrepreneur.</w:t>
      </w:r>
      <w:r>
        <w:rPr>
          <w:sz w:val="24"/>
          <w:szCs w:val="24"/>
        </w:rPr>
        <w:t xml:space="preserve"> </w:t>
      </w:r>
      <w:r>
        <w:rPr>
          <w:sz w:val="12"/>
          <w:szCs w:val="12"/>
        </w:rPr>
        <w:t xml:space="preserve">Maybe solidarity is not the right word in any case. Maybe as Hortense Spillers says the word is empathy. Or maybe it should be a phrase — the preservation of the ontological totality as Cedric Robinson teaches us. In any case as you say, Jesse, the university and the market are the true ‘allies.’ Because they can make up strategic plans, rules about being allies, and </w:t>
      </w:r>
      <w:r>
        <w:rPr>
          <w:i/>
          <w:sz w:val="12"/>
          <w:szCs w:val="12"/>
        </w:rPr>
        <w:t>choose</w:t>
      </w:r>
      <w:r>
        <w:rPr>
          <w:sz w:val="12"/>
          <w:szCs w:val="12"/>
        </w:rPr>
        <w:t xml:space="preserve"> to be allies. It is their true ‘allyship’ that forces us to be dependent on them for survival because it is true: we cannot survive on our own. Of course, we could survive in a conspiracy without a plot, amongst unseen accomplices, but this is precisely what university education is designed to disrupt, even though this conspiracy is often invisible to them. That’s disruptive innovation, as they say, destroying our necessary and yet always under-formed, vulnerable solidarities. Because when we say conspiracy without a plot we are trying to point to this perpetually not fully formed, incomplete love and pain of our undercommon flesh. </w:t>
      </w:r>
      <w:r>
        <w:rPr>
          <w:sz w:val="24"/>
          <w:szCs w:val="24"/>
          <w:u w:val="single"/>
        </w:rPr>
        <w:t xml:space="preserve">We need each other, but not to be whole, not to reconstitute our version of a total education, but to stay partial, and when necessary to help each other get partial again. </w:t>
      </w:r>
      <w:r>
        <w:rPr>
          <w:sz w:val="12"/>
          <w:szCs w:val="12"/>
        </w:rPr>
        <w:t xml:space="preserve">So as you rightly point out, Jesse, the university counters these conspiracies, our thing, with the promise of giving students ‘their thing’ — their USP, unique selling point — which is really not a selling point, but a price point — how cheap and accessible can we make you for what you can give an employer?  They make a value proposition of our students. You are exactly right that the university tells the students, as it tells its academics, that our thing is just your thing, your individual thing. And as we have said it does not just tell us, but shows us by how it structures the total education of both academics and students. This immersion in the market is doubled in the figure of the consultant. The consultant is nothing more than a demonstration of access. He or she can show up in your workplace and open it up in ways you thought were protected, solid. His presence is proof that you are now newly accessible. No one needs to listen to a consultant. He is just a talking algorithm anyway. But he has made his point by showing up. Still perhaps it is also a moment to see that this workplace was not our thing. It was part of a total education and we have to find our thing within it, find our conspiracy within the department, the program, or the workplace. It is a moment of antagonism we can also use with our students who </w:t>
      </w:r>
      <w:r>
        <w:rPr>
          <w:sz w:val="12"/>
          <w:szCs w:val="12"/>
        </w:rPr>
        <w:lastRenderedPageBreak/>
        <w:t>want to be managers and consultants, I think.</w:t>
      </w:r>
      <w:r>
        <w:rPr>
          <w:sz w:val="24"/>
          <w:szCs w:val="24"/>
        </w:rPr>
        <w:t xml:space="preserve"> </w:t>
      </w:r>
      <w:r>
        <w:rPr>
          <w:sz w:val="24"/>
          <w:szCs w:val="24"/>
          <w:u w:val="single"/>
        </w:rPr>
        <w:t>How can there be both not enough work and not enough leisure? Students tend to know there is not enough work and if they get some work, there will be no leisure. And they seem to know that leisure’s not free.</w:t>
      </w:r>
      <w:r>
        <w:rPr>
          <w:sz w:val="24"/>
          <w:szCs w:val="24"/>
        </w:rPr>
        <w:t xml:space="preserve"> Indeed </w:t>
      </w:r>
      <w:r>
        <w:rPr>
          <w:sz w:val="24"/>
          <w:szCs w:val="24"/>
          <w:u w:val="single"/>
        </w:rPr>
        <w:t>they can see that leisure is for sale everywhere, that in other words, it is inseparable from work.</w:t>
      </w:r>
      <w:r>
        <w:rPr>
          <w:sz w:val="24"/>
          <w:szCs w:val="24"/>
        </w:rPr>
        <w:t xml:space="preserve"> </w:t>
      </w:r>
      <w:r>
        <w:rPr>
          <w:sz w:val="24"/>
          <w:szCs w:val="24"/>
          <w:u w:val="single"/>
        </w:rPr>
        <w:t>This can be studied. We can show it to be an inadequate way of thinking about our wants, our desires, inadequate because it has already announced it will not support us</w:t>
      </w:r>
      <w:r>
        <w:rPr>
          <w:sz w:val="24"/>
          <w:szCs w:val="24"/>
        </w:rPr>
        <w:t xml:space="preserve">. </w:t>
      </w:r>
      <w:r>
        <w:rPr>
          <w:sz w:val="16"/>
          <w:szCs w:val="16"/>
        </w:rPr>
        <w:t>The consultant is like the official notice in the mail that you cannot depend on the current structure of work and leisure to fulfill your hopes. The consultant takes no responsibility, and this gives us a chance to ask where responsibility does lie for our dreams. And</w:t>
      </w:r>
      <w:r>
        <w:rPr>
          <w:sz w:val="24"/>
          <w:szCs w:val="24"/>
        </w:rPr>
        <w:t xml:space="preserve"> </w:t>
      </w:r>
      <w:r>
        <w:rPr>
          <w:sz w:val="24"/>
          <w:szCs w:val="24"/>
          <w:u w:val="single"/>
        </w:rPr>
        <w:t>maybe instead of thinking of being responsible to students, friends, comrades, lovers, we might think it terms of being responses to them. And we can see our existence as responses threatened all the time, invaded by the university and the market seeking to draw responses away from us and toward it. We see those we respond to being accessed without their permission.</w:t>
      </w:r>
      <w:r>
        <w:rPr>
          <w:sz w:val="24"/>
          <w:szCs w:val="24"/>
        </w:rPr>
        <w:t xml:space="preserve"> S</w:t>
      </w:r>
      <w:r>
        <w:rPr>
          <w:sz w:val="24"/>
          <w:szCs w:val="24"/>
          <w:u w:val="single"/>
        </w:rPr>
        <w:t xml:space="preserve">o everywhere we see ourselves as responses and we see at the very same time the declarations of no liability, no responsibility. It is at this point that total education denies itself, declares itself as not containing everything, and certainly not all our hopes. We look at this total future and we see partially. </w:t>
      </w:r>
      <w:r>
        <w:rPr>
          <w:sz w:val="16"/>
          <w:szCs w:val="16"/>
        </w:rPr>
        <w:t>Annette Henry’s classic piece on ‘middle passage’ epistemology is well worth remembering here. She observes the way two African American mothers are able to mix and re-mix two worlds for their daughters’ education. She speaks of the double vision of an African-centric education in an American context, and what is really cool is that this double vision, this both/and as she also calls it, emerges as a kind of antagonistic both/and, a dialectical one, as it must, and therefore a creative, experimental one. I like to understand partial education this way too.</w:t>
      </w:r>
      <w:r>
        <w:rPr>
          <w:sz w:val="24"/>
          <w:szCs w:val="24"/>
        </w:rPr>
        <w:t xml:space="preserve"> </w:t>
      </w:r>
      <w:r>
        <w:rPr>
          <w:sz w:val="24"/>
          <w:szCs w:val="24"/>
          <w:u w:val="single"/>
        </w:rPr>
        <w:t>Not double as in twice as much or twice as good but double like not one, where double vision is a bit blurry, not better but just with more emerging and converging in it, and at the same time not fully focused, not total vision, partial, partisan vision of the one become two.</w:t>
      </w:r>
      <w:r>
        <w:rPr>
          <w:sz w:val="24"/>
          <w:szCs w:val="24"/>
        </w:rPr>
        <w:t xml:space="preserve"> </w:t>
      </w:r>
      <w:r>
        <w:rPr>
          <w:sz w:val="24"/>
          <w:szCs w:val="24"/>
          <w:u w:val="single"/>
        </w:rPr>
        <w:t>A partial education doesn’t prepare us for work and leisure. It prepares us to retreat from both work and leisure, with our thing, and into our thing. And it reminds me to say that even though there is a war on us, our thing is not peaceful. Study is not quiet retreat, although it might have those moments of refuge. Study can be violent, if not physically, than in the way it breaks down the individuation we have built up, been forced to build up, even deluded ourselves into thinking was necessary.</w:t>
      </w:r>
      <w:r>
        <w:rPr>
          <w:sz w:val="24"/>
          <w:szCs w:val="24"/>
        </w:rPr>
        <w:t xml:space="preserve"> </w:t>
      </w:r>
      <w:r>
        <w:rPr>
          <w:sz w:val="16"/>
          <w:szCs w:val="16"/>
        </w:rPr>
        <w:t>The goal of study is in this sense Taoist — the goal is not-knowing, discovering we do not know what we think we know, that self-knowledge, knowing thyself, is a dangerous delusion for us and others</w:t>
      </w:r>
      <w:r>
        <w:rPr>
          <w:sz w:val="24"/>
          <w:szCs w:val="24"/>
        </w:rPr>
        <w:t xml:space="preserve">. </w:t>
      </w:r>
      <w:r>
        <w:rPr>
          <w:sz w:val="24"/>
          <w:szCs w:val="24"/>
          <w:u w:val="single"/>
        </w:rPr>
        <w:t>Our thing in this sense can be tough, violent, but it is always at the same time, and inextricably, love.</w:t>
      </w:r>
    </w:p>
    <w:p xmlns:wp14="http://schemas.microsoft.com/office/word/2010/wordml" w:rsidR="00054398" w:rsidP="00054398" w:rsidRDefault="00054398" w14:paraId="5854DE7F" wp14:textId="77777777">
      <w:pPr>
        <w:rPr>
          <w:sz w:val="20"/>
          <w:szCs w:val="20"/>
        </w:rPr>
      </w:pPr>
      <w:r>
        <w:rPr>
          <w:sz w:val="20"/>
          <w:szCs w:val="20"/>
        </w:rPr>
        <w:tab/>
      </w:r>
      <w:r>
        <w:rPr>
          <w:sz w:val="20"/>
          <w:szCs w:val="20"/>
        </w:rPr>
        <w:tab/>
      </w:r>
      <w:r>
        <w:rPr>
          <w:sz w:val="20"/>
          <w:szCs w:val="20"/>
        </w:rPr>
        <w:tab/>
      </w:r>
      <w:r>
        <w:rPr>
          <w:sz w:val="20"/>
          <w:szCs w:val="20"/>
        </w:rPr>
        <w:tab/>
      </w:r>
    </w:p>
    <w:p xmlns:wp14="http://schemas.microsoft.com/office/word/2010/wordml" w:rsidR="00054398" w:rsidP="00054398" w:rsidRDefault="00054398" w14:paraId="2CA7ADD4" wp14:textId="77777777">
      <w:pPr>
        <w:rPr>
          <w:sz w:val="20"/>
          <w:szCs w:val="20"/>
        </w:rPr>
      </w:pPr>
    </w:p>
    <w:p xmlns:wp14="http://schemas.microsoft.com/office/word/2010/wordml" w:rsidR="00054398" w:rsidP="00054398" w:rsidRDefault="00054398" w14:paraId="314EE24A" wp14:textId="77777777">
      <w:pPr>
        <w:rPr>
          <w:sz w:val="20"/>
          <w:szCs w:val="20"/>
        </w:rPr>
      </w:pPr>
    </w:p>
    <w:p xmlns:wp14="http://schemas.microsoft.com/office/word/2010/wordml" w:rsidR="00054398" w:rsidP="009F5F0C" w:rsidRDefault="00054398" w14:paraId="761E2294" wp14:textId="77777777">
      <w:pPr>
        <w:pStyle w:val="Heading2"/>
      </w:pPr>
      <w:r>
        <w:lastRenderedPageBreak/>
        <w:t>AFF Answers</w:t>
      </w:r>
    </w:p>
    <w:p xmlns:wp14="http://schemas.microsoft.com/office/word/2010/wordml" w:rsidRPr="0011615B" w:rsidR="00054398" w:rsidP="00054398" w:rsidRDefault="00054398" w14:paraId="33FBC6D6" wp14:textId="77777777">
      <w:pPr>
        <w:pStyle w:val="Heading3"/>
        <w:spacing w:before="0"/>
      </w:pPr>
      <w:bookmarkStart w:name="_Toc367736168" w:id="20"/>
      <w:r w:rsidRPr="0011615B">
        <w:lastRenderedPageBreak/>
        <w:t>Permutation</w:t>
      </w:r>
      <w:bookmarkEnd w:id="20"/>
      <w:r>
        <w:t>--Sentimentality</w:t>
      </w:r>
      <w:r w:rsidRPr="0011615B">
        <w:t xml:space="preserve"> </w:t>
      </w:r>
    </w:p>
    <w:p xmlns:wp14="http://schemas.microsoft.com/office/word/2010/wordml" w:rsidR="00054398" w:rsidP="00054398" w:rsidRDefault="00054398" w14:paraId="730ACECD" wp14:textId="77777777">
      <w:pPr>
        <w:pStyle w:val="Heading4"/>
      </w:pPr>
      <w:r>
        <w:t>Speaking of one’s pain is sometimes necessary to change structures of oppression even if it doesn’t necessarily result in justice. We should combine the AFF’s demand for structural change and the neg’s problematization of empathetic identification.</w:t>
      </w:r>
    </w:p>
    <w:p xmlns:wp14="http://schemas.microsoft.com/office/word/2010/wordml" w:rsidRPr="00095B9A" w:rsidR="00054398" w:rsidP="00054398" w:rsidRDefault="00054398" w14:paraId="1DA63C03" wp14:textId="77777777">
      <w:pPr>
        <w:rPr>
          <w:b/>
          <w:u w:val="single"/>
        </w:rPr>
      </w:pPr>
      <w:r w:rsidRPr="00095B9A">
        <w:rPr>
          <w:rStyle w:val="Style13ptBold"/>
        </w:rPr>
        <w:t>Berlant 1999</w:t>
      </w:r>
      <w:r w:rsidRPr="00095B9A">
        <w:t xml:space="preserve"> </w:t>
      </w:r>
      <w:r w:rsidRPr="0011615B">
        <w:t xml:space="preserve">/Lauren, George M. Pullman Professor, Department of English, University of Chicago, “The Subject of True Feeling: Pain, Privacy and Politics” in </w:t>
      </w:r>
      <w:r w:rsidRPr="0011615B">
        <w:rPr>
          <w:u w:val="single"/>
        </w:rPr>
        <w:t>Cultural Pluralism, Identity Politics and the Law</w:t>
      </w:r>
      <w:r w:rsidRPr="0011615B">
        <w:t xml:space="preserve"> ed. Sarat &amp; Kearns, Ann Arbor: University of Michigan Press, Pg. 77-78/</w:t>
      </w:r>
    </w:p>
    <w:p xmlns:wp14="http://schemas.microsoft.com/office/word/2010/wordml" w:rsidRPr="0011615B" w:rsidR="00054398" w:rsidP="00054398" w:rsidRDefault="00054398" w14:paraId="2E6D9506" wp14:textId="77777777">
      <w:pPr>
        <w:rPr>
          <w:rStyle w:val="StyleUnderline"/>
        </w:rPr>
      </w:pPr>
      <w:r w:rsidRPr="00BC0404">
        <w:rPr>
          <w:sz w:val="16"/>
        </w:rPr>
        <w:t xml:space="preserve">Too often, and almost always </w:t>
      </w:r>
      <w:r w:rsidRPr="0011615B">
        <w:rPr>
          <w:rStyle w:val="StyleUnderline"/>
        </w:rPr>
        <w:t xml:space="preserve">in the work of legal radicals, the nation remains sanctified as a political "zone of privacy" </w:t>
      </w:r>
      <w:r w:rsidRPr="00BC0404">
        <w:rPr>
          <w:sz w:val="16"/>
        </w:rPr>
        <w:t xml:space="preserve">in Griswold’s sense: </w:t>
      </w:r>
      <w:r w:rsidRPr="0011615B">
        <w:rPr>
          <w:rStyle w:val="StyleUnderline"/>
        </w:rPr>
        <w:t>it holds out a promise that it can relieve specific subjects of the pain of their specificity, even as the very project of nation formation virtually requires the public exposure of those who do not structurally assimilate to the national norm</w:t>
      </w:r>
      <w:r w:rsidRPr="00BC0404">
        <w:rPr>
          <w:sz w:val="16"/>
        </w:rPr>
        <w:t xml:space="preserve"> (so, if population x is relieved of the obstacles to its juridical and cultural citizenship, a given population y will almost inevitably come to bear the burden of surrogacy that expresses citizenship's status as privilege). Fighting for justice under the law in the face of these nonnative strategies is crucial, a tactic of necessity</w:t>
      </w:r>
      <w:r w:rsidRPr="0011615B">
        <w:rPr>
          <w:rStyle w:val="StyleUnderline"/>
        </w:rPr>
        <w:t>. If it means telling half-truths (that an experience of painful identity shocks a minoritized subject) in order to change juridical norms about that kind of subject, it still must be a good thing. But thinking that the good life will be achieved when there is no more pain but only (your) happiness does nothing to alter the hegemonic structures of normativity and mourning whose saturation of the diminished expectations for liberty in national life</w:t>
      </w:r>
      <w:r w:rsidRPr="00BC0404">
        <w:rPr>
          <w:sz w:val="16"/>
        </w:rPr>
        <w:t xml:space="preserve"> I have sketched out in this essay. </w:t>
      </w:r>
      <w:r w:rsidRPr="0011615B">
        <w:rPr>
          <w:rStyle w:val="StyleUnderline"/>
        </w:rPr>
        <w:t>The reparation of pain does not bring into being a just life.</w:t>
      </w:r>
    </w:p>
    <w:p xmlns:wp14="http://schemas.microsoft.com/office/word/2010/wordml" w:rsidR="00054398" w:rsidP="00054398" w:rsidRDefault="00054398" w14:paraId="76614669" wp14:textId="77777777">
      <w:pPr>
        <w:rPr>
          <w:sz w:val="20"/>
          <w:szCs w:val="20"/>
        </w:rPr>
      </w:pPr>
    </w:p>
    <w:p xmlns:wp14="http://schemas.microsoft.com/office/word/2010/wordml" w:rsidRPr="00E852F7" w:rsidR="00054398" w:rsidP="00054398" w:rsidRDefault="00054398" w14:paraId="4C6E78DD" wp14:textId="77777777">
      <w:pPr>
        <w:pStyle w:val="Heading4"/>
      </w:pPr>
      <w:r>
        <w:t>Insurrectionary acts require breaking silence</w:t>
      </w:r>
    </w:p>
    <w:p xmlns:wp14="http://schemas.microsoft.com/office/word/2010/wordml" w:rsidRPr="00E852F7" w:rsidR="00054398" w:rsidP="00054398" w:rsidRDefault="00054398" w14:paraId="372A5929" wp14:textId="77777777">
      <w:r w:rsidRPr="00E852F7">
        <w:rPr>
          <w:rStyle w:val="Style13ptBold"/>
        </w:rPr>
        <w:t>Brown 1996</w:t>
      </w:r>
      <w:r>
        <w:t xml:space="preserve"> [Wendy, Prof. Political Science, Prof. Rhetoric, Prof. Critical Theory @ UC-Berkeley, “In the ‘folds of our own discourse’: The Pleasures and Freedoms of Silence,” 3 U. Chi. L. Sch. Roundtable, 185-6]</w:t>
      </w:r>
    </w:p>
    <w:p xmlns:wp14="http://schemas.microsoft.com/office/word/2010/wordml" w:rsidRPr="00E852F7" w:rsidR="00054398" w:rsidP="00054398" w:rsidRDefault="00054398" w14:paraId="76BAEFE3" wp14:textId="77777777">
      <w:pPr>
        <w:rPr>
          <w:rStyle w:val="StyleUnderline"/>
        </w:rPr>
      </w:pPr>
      <w:r w:rsidRPr="00E852F7">
        <w:rPr>
          <w:rStyle w:val="StyleUnderline"/>
        </w:rPr>
        <w:t>Insurrectionary acts and movements require breaking silence</w:t>
      </w:r>
      <w:r>
        <w:t xml:space="preserve">-silence </w:t>
      </w:r>
      <w:r w:rsidRPr="00E852F7">
        <w:rPr>
          <w:rStyle w:val="StyleUnderline"/>
        </w:rPr>
        <w:t>about¶ the very existence as well as the activity or injury of the collective insurrectionary¶ subject. Even dreams of emancipation cannot take shape unless the¶ discursively shadowy or altogether invisible character of those subjects, injuries, events, or activities are supplanted with articulation</w:t>
      </w:r>
      <w:r>
        <w:t>, whether through slave</w:t>
      </w:r>
      <w:r w:rsidRPr="00E852F7">
        <w:rPr>
          <w:sz w:val="12"/>
        </w:rPr>
        <w:t xml:space="preserve">¶ </w:t>
      </w:r>
      <w:r>
        <w:t>ballads, the flaunting of forbidden love, the labor theory of value, or the</w:t>
      </w:r>
      <w:r w:rsidRPr="00E852F7">
        <w:rPr>
          <w:sz w:val="12"/>
        </w:rPr>
        <w:t xml:space="preserve">¶ </w:t>
      </w:r>
      <w:r>
        <w:t>quantification of housework.</w:t>
      </w:r>
      <w:r w:rsidRPr="00E852F7">
        <w:rPr>
          <w:sz w:val="12"/>
        </w:rPr>
        <w:t xml:space="preserve">¶ </w:t>
      </w:r>
      <w:r>
        <w:t xml:space="preserve">Nor are </w:t>
      </w:r>
      <w:r w:rsidRPr="00E852F7">
        <w:rPr>
          <w:rStyle w:val="StyleUnderline"/>
        </w:rPr>
        <w:t>the silences constitutive of dominance</w:t>
      </w:r>
      <w:r>
        <w:t xml:space="preserve"> broken forever when they</w:t>
      </w:r>
      <w:r w:rsidRPr="00E852F7">
        <w:rPr>
          <w:sz w:val="12"/>
        </w:rPr>
        <w:t xml:space="preserve">¶ </w:t>
      </w:r>
      <w:r>
        <w:t>are broken once. They do not shatter the moment their strategic function has</w:t>
      </w:r>
      <w:r w:rsidRPr="00E852F7">
        <w:rPr>
          <w:sz w:val="12"/>
        </w:rPr>
        <w:t xml:space="preserve">¶ </w:t>
      </w:r>
      <w:r>
        <w:t xml:space="preserve">been exposed but </w:t>
      </w:r>
      <w:r w:rsidRPr="00E852F7">
        <w:rPr>
          <w:rStyle w:val="StyleUnderline"/>
        </w:rPr>
        <w:t>must be assaulted repeatedly with stories, histories, theories,¶ discourses in alternate registers until this assault finally triumphs such that the¶ silence itself is rendered articulate as an historically injurious force. Thus have¶ the subjugated and marginalized proceeded against the variety of silences¶ tucked into the universal claims of humanist discourse for the last several¶ centuries.</w:t>
      </w:r>
    </w:p>
    <w:p xmlns:wp14="http://schemas.microsoft.com/office/word/2010/wordml" w:rsidR="00054398" w:rsidP="00054398" w:rsidRDefault="00054398" w14:paraId="57590049" wp14:textId="77777777">
      <w:pPr>
        <w:rPr>
          <w:sz w:val="20"/>
          <w:szCs w:val="20"/>
        </w:rPr>
      </w:pPr>
    </w:p>
    <w:p xmlns:wp14="http://schemas.microsoft.com/office/word/2010/wordml" w:rsidR="00054398" w:rsidP="00054398" w:rsidRDefault="00054398" w14:paraId="6D498E01" wp14:textId="77777777">
      <w:pPr>
        <w:pStyle w:val="Heading3"/>
      </w:pPr>
      <w:r>
        <w:lastRenderedPageBreak/>
        <w:t>Visibility Good</w:t>
      </w:r>
    </w:p>
    <w:p xmlns:wp14="http://schemas.microsoft.com/office/word/2010/wordml" w:rsidR="00054398" w:rsidP="00054398" w:rsidRDefault="00054398" w14:paraId="0C5B615A" wp14:textId="77777777">
      <w:pPr>
        <w:rPr>
          <w:sz w:val="20"/>
          <w:szCs w:val="20"/>
        </w:rPr>
      </w:pPr>
    </w:p>
    <w:p xmlns:wp14="http://schemas.microsoft.com/office/word/2010/wordml" w:rsidR="00054398" w:rsidP="00054398" w:rsidRDefault="00054398" w14:paraId="5BB72EEB" wp14:textId="77777777">
      <w:pPr>
        <w:pStyle w:val="Heading4"/>
        <w:rPr>
          <w:rFonts w:eastAsia="Calibri"/>
        </w:rPr>
      </w:pPr>
      <w:bookmarkStart w:name="_i257j4j6ajdq" w:colFirst="0" w:colLast="0" w:id="21"/>
      <w:bookmarkEnd w:id="21"/>
      <w:r>
        <w:rPr>
          <w:rFonts w:eastAsia="Calibri"/>
        </w:rPr>
        <w:t>Transparent movements key to create real change – empirics</w:t>
      </w:r>
    </w:p>
    <w:p xmlns:wp14="http://schemas.microsoft.com/office/word/2010/wordml" w:rsidR="00054398" w:rsidP="00054398" w:rsidRDefault="00054398" w14:paraId="07D45960" wp14:textId="77777777">
      <w:pPr>
        <w:rPr>
          <w:rFonts w:ascii="Calibri" w:hAnsi="Calibri" w:eastAsia="Calibri" w:cs="Calibri"/>
          <w:u w:val="single"/>
        </w:rPr>
      </w:pPr>
      <w:r>
        <w:rPr>
          <w:rFonts w:ascii="Calibri" w:hAnsi="Calibri" w:eastAsia="Calibri" w:cs="Calibri"/>
          <w:b/>
          <w:sz w:val="26"/>
          <w:szCs w:val="26"/>
        </w:rPr>
        <w:t>Casero-Ripollés and Feenstra 12</w:t>
      </w:r>
      <w:r>
        <w:rPr>
          <w:rFonts w:ascii="Calibri" w:hAnsi="Calibri" w:eastAsia="Calibri" w:cs="Calibri"/>
          <w:u w:val="single"/>
        </w:rPr>
        <w:t xml:space="preserve"> (Andreu and Ramón A.</w:t>
      </w:r>
      <w:r>
        <w:rPr>
          <w:rFonts w:ascii="Calibri" w:hAnsi="Calibri" w:eastAsia="Calibri" w:cs="Calibri"/>
        </w:rPr>
        <w:t>, Universitat Jaume I de Castelló, “The 15-M movement and the new media: a case study of how new themes were introduced into Spanish political discourse”, http://repositori.uji.es/xmlui/bitstream/handle/10234/80466/53905.pdf?sequence=1)</w:t>
      </w:r>
    </w:p>
    <w:p xmlns:wp14="http://schemas.microsoft.com/office/word/2010/wordml" w:rsidR="00054398" w:rsidP="00054398" w:rsidRDefault="00054398" w14:paraId="1D686624" wp14:textId="77777777">
      <w:pPr>
        <w:rPr>
          <w:rFonts w:ascii="Calibri" w:hAnsi="Calibri" w:eastAsia="Calibri" w:cs="Calibri"/>
          <w:sz w:val="16"/>
          <w:szCs w:val="16"/>
        </w:rPr>
      </w:pPr>
      <w:r>
        <w:rPr>
          <w:rFonts w:ascii="Calibri" w:hAnsi="Calibri" w:eastAsia="Calibri" w:cs="Calibri"/>
          <w:sz w:val="16"/>
          <w:szCs w:val="16"/>
        </w:rPr>
        <w:t>This new news environment heralds a paradigm change. The scenario of topdown information control under the journalistic and political elites to maintain social order has shifted to a new dynamic in which chaos prevails. Here,</w:t>
      </w:r>
      <w:r>
        <w:rPr>
          <w:rFonts w:ascii="Calibri" w:hAnsi="Calibri" w:eastAsia="Calibri" w:cs="Calibri"/>
          <w:sz w:val="16"/>
          <w:szCs w:val="16"/>
          <w:u w:val="single"/>
        </w:rPr>
        <w:t xml:space="preserve"> </w:t>
      </w:r>
      <w:r>
        <w:rPr>
          <w:rFonts w:ascii="Calibri" w:hAnsi="Calibri" w:eastAsia="Calibri" w:cs="Calibri"/>
          <w:highlight w:val="cyan"/>
          <w:u w:val="single"/>
        </w:rPr>
        <w:t>surplus of information has replaced scarcity, many-to-many news distribution channels prevail over one-to-many, transparency prevails over opacity, accessibility over exclusivity, interactivity over passivity, and competition over monopoly</w:t>
      </w:r>
      <w:r>
        <w:rPr>
          <w:rFonts w:ascii="Calibri" w:hAnsi="Calibri" w:eastAsia="Calibri" w:cs="Calibri"/>
          <w:sz w:val="16"/>
          <w:szCs w:val="16"/>
          <w:u w:val="single"/>
        </w:rPr>
        <w:t xml:space="preserve"> </w:t>
      </w:r>
      <w:r>
        <w:rPr>
          <w:rFonts w:ascii="Calibri" w:hAnsi="Calibri" w:eastAsia="Calibri" w:cs="Calibri"/>
          <w:sz w:val="16"/>
          <w:szCs w:val="16"/>
        </w:rPr>
        <w:t>(McNair, 2006). Instability and interdependence hold sway in this new news environment, which is defined by uncertainty (Lowrey and Gade, 2011). Journalism is heading towards modified and redefined power relations and the disappearance of existing dividing lines. The eradication of borders is tied in with the process of digital convergence (Jenkins, 2006; Dupagne and Garrinson, 2007; Deuze, 2007) that is shaping the new news environment. In this context, journalism is becoming increasingly liquid (Deuze, 2008) and operates in a more open scenario. This new news environment has given rise to a system of hybrid news (Chadwick, 2011), based on a blend of old and new media (Fenton, 2010). The outstanding events of 2011 have clearly revealed the new news environment’s potential to create new stories.</w:t>
      </w:r>
      <w:r>
        <w:rPr>
          <w:rFonts w:ascii="Calibri" w:hAnsi="Calibri" w:eastAsia="Calibri" w:cs="Calibri"/>
          <w:sz w:val="16"/>
          <w:szCs w:val="16"/>
          <w:u w:val="single"/>
        </w:rPr>
        <w:t xml:space="preserve"> </w:t>
      </w:r>
      <w:r>
        <w:rPr>
          <w:rFonts w:ascii="Calibri" w:hAnsi="Calibri" w:eastAsia="Calibri" w:cs="Calibri"/>
          <w:highlight w:val="cyan"/>
          <w:u w:val="single"/>
        </w:rPr>
        <w:t>The Arab uprisings, mass protests in Greece and, later on, the fast growing #Occupy movement, are examples of this new phenomenon. In these cases, the new media have played a prominent role in coordinating the protests</w:t>
      </w:r>
      <w:r>
        <w:rPr>
          <w:rFonts w:ascii="Calibri" w:hAnsi="Calibri" w:eastAsia="Calibri" w:cs="Calibri"/>
          <w:u w:val="single"/>
        </w:rPr>
        <w:t>,</w:t>
      </w:r>
      <w:r>
        <w:rPr>
          <w:rFonts w:ascii="Calibri" w:hAnsi="Calibri" w:eastAsia="Calibri" w:cs="Calibri"/>
          <w:sz w:val="16"/>
          <w:szCs w:val="16"/>
          <w:u w:val="single"/>
        </w:rPr>
        <w:t xml:space="preserve"> i</w:t>
      </w:r>
      <w:r>
        <w:rPr>
          <w:rFonts w:ascii="Calibri" w:hAnsi="Calibri" w:eastAsia="Calibri" w:cs="Calibri"/>
          <w:sz w:val="16"/>
          <w:szCs w:val="16"/>
        </w:rPr>
        <w:t>n communicating real-time images and up-to-date information, and in the processes of contagion (Cottle, 2011; Lotan et al., 2011; Della Porta, 2011). The 15-M movement offers a paradigmatic example of this phenomenon, as we explore below.</w:t>
      </w:r>
    </w:p>
    <w:p xmlns:wp14="http://schemas.microsoft.com/office/word/2010/wordml" w:rsidR="00054398" w:rsidP="00054398" w:rsidRDefault="00054398" w14:paraId="503DB1F1" wp14:textId="77777777">
      <w:pPr>
        <w:pStyle w:val="Heading4"/>
        <w:rPr>
          <w:rFonts w:eastAsia="Calibri"/>
        </w:rPr>
      </w:pPr>
      <w:r>
        <w:rPr>
          <w:rFonts w:eastAsia="Calibri"/>
        </w:rPr>
        <w:t>Public movements are key to the legitimization of social critique</w:t>
      </w:r>
    </w:p>
    <w:p xmlns:wp14="http://schemas.microsoft.com/office/word/2010/wordml" w:rsidRPr="001710C3" w:rsidR="00054398" w:rsidP="00054398" w:rsidRDefault="00054398" w14:paraId="1EE9F817" wp14:textId="77777777">
      <w:r w:rsidRPr="001710C3">
        <w:rPr>
          <w:rStyle w:val="Style13ptBold"/>
        </w:rPr>
        <w:t>Rebughini 10</w:t>
      </w:r>
      <w:r w:rsidRPr="001710C3">
        <w:t xml:space="preserve"> (Paola, University of Milan, Italy, “Critique and social movements: Looking beyond contingency and normativity”, http://est.sagepub.com/content/13/4/459.full.pdf+html)</w:t>
      </w:r>
    </w:p>
    <w:p xmlns:wp14="http://schemas.microsoft.com/office/word/2010/wordml" w:rsidR="00054398" w:rsidP="00054398" w:rsidRDefault="00054398" w14:paraId="2E719E1F" wp14:textId="77777777">
      <w:pPr>
        <w:rPr>
          <w:rFonts w:ascii="Calibri" w:hAnsi="Calibri" w:eastAsia="Calibri" w:cs="Calibri"/>
          <w:sz w:val="16"/>
          <w:szCs w:val="16"/>
          <w:u w:val="single"/>
        </w:rPr>
      </w:pPr>
      <w:r>
        <w:rPr>
          <w:rFonts w:ascii="Calibri" w:hAnsi="Calibri" w:eastAsia="Calibri" w:cs="Calibri"/>
          <w:sz w:val="16"/>
          <w:szCs w:val="16"/>
        </w:rPr>
        <w:t xml:space="preserve">At this point, it appears clear that within </w:t>
      </w:r>
      <w:r>
        <w:rPr>
          <w:rFonts w:ascii="Calibri" w:hAnsi="Calibri" w:eastAsia="Calibri" w:cs="Calibri"/>
        </w:rPr>
        <w:t>the social theories of critique, dichotomies such as contingent-normative, situated-transcendent, local-universal, accidental-necessary, are often linked to other dichotomies</w:t>
      </w:r>
      <w:r>
        <w:rPr>
          <w:rFonts w:ascii="Calibri" w:hAnsi="Calibri" w:eastAsia="Calibri" w:cs="Calibri"/>
          <w:sz w:val="16"/>
          <w:szCs w:val="16"/>
        </w:rPr>
        <w:t xml:space="preserve"> such as private-public, individual-collective and micro-macro. These polarities seem to indicate that</w:t>
      </w:r>
      <w:r>
        <w:rPr>
          <w:rFonts w:ascii="Calibri" w:hAnsi="Calibri" w:eastAsia="Calibri" w:cs="Calibri"/>
          <w:sz w:val="16"/>
          <w:szCs w:val="16"/>
          <w:u w:val="single"/>
        </w:rPr>
        <w:t xml:space="preserve"> </w:t>
      </w:r>
      <w:r>
        <w:rPr>
          <w:rFonts w:ascii="Calibri" w:hAnsi="Calibri" w:eastAsia="Calibri" w:cs="Calibri"/>
          <w:highlight w:val="cyan"/>
          <w:u w:val="single"/>
        </w:rPr>
        <w:t>critique is born in a local, situated and contingent way, but in order to consolidate and defend itself it needs legitimation, and therefore needs to refer to more universal types of validity and normativity that are transcendent to the context.</w:t>
      </w:r>
      <w:r>
        <w:rPr>
          <w:rFonts w:ascii="Calibri" w:hAnsi="Calibri" w:eastAsia="Calibri" w:cs="Calibri"/>
          <w:sz w:val="16"/>
          <w:szCs w:val="16"/>
          <w:u w:val="single"/>
        </w:rPr>
        <w:t xml:space="preserve"> </w:t>
      </w:r>
      <w:r>
        <w:rPr>
          <w:rFonts w:ascii="Calibri" w:hAnsi="Calibri" w:eastAsia="Calibri" w:cs="Calibri"/>
          <w:sz w:val="16"/>
          <w:szCs w:val="16"/>
        </w:rPr>
        <w:t>The creation process and universalizable validity of critique are, however, two movements that remain analytically distinct (Benhabib, 1992). At the same time individual practices of resistance and critique are born in a context that is restrained by symbolic grammar and language, by habitus and disposition, by routines and common sense;</w:t>
      </w:r>
      <w:r>
        <w:rPr>
          <w:rFonts w:ascii="Calibri" w:hAnsi="Calibri" w:eastAsia="Calibri" w:cs="Calibri"/>
          <w:sz w:val="16"/>
          <w:szCs w:val="16"/>
          <w:u w:val="single"/>
        </w:rPr>
        <w:t xml:space="preserve"> </w:t>
      </w:r>
      <w:r>
        <w:rPr>
          <w:rFonts w:ascii="Calibri" w:hAnsi="Calibri" w:eastAsia="Calibri" w:cs="Calibri"/>
          <w:highlight w:val="cyan"/>
          <w:u w:val="single"/>
        </w:rPr>
        <w:t>the break that single individuals manage to create in these processes must be communicated and made known to others in order to acquire the strength and visibility necessary to consolidate critique as a moment of change or of resistance.</w:t>
      </w:r>
      <w:r>
        <w:rPr>
          <w:rFonts w:ascii="Calibri" w:hAnsi="Calibri" w:eastAsia="Calibri" w:cs="Calibri"/>
          <w:sz w:val="16"/>
          <w:szCs w:val="16"/>
          <w:u w:val="single"/>
        </w:rPr>
        <w:t xml:space="preserve"> </w:t>
      </w:r>
      <w:r>
        <w:rPr>
          <w:rFonts w:ascii="Calibri" w:hAnsi="Calibri" w:eastAsia="Calibri" w:cs="Calibri"/>
          <w:u w:val="single"/>
        </w:rPr>
        <w:t>The social movements are the social phenomena that best allow us to understand how these processes arise, how a critique that is born in a local and daily context from individual initiative and contingent accident can be consolidated and legitimated through a process of collectivization</w:t>
      </w:r>
      <w:r>
        <w:rPr>
          <w:rFonts w:ascii="Calibri" w:hAnsi="Calibri" w:eastAsia="Calibri" w:cs="Calibri"/>
          <w:sz w:val="16"/>
          <w:szCs w:val="16"/>
          <w:u w:val="single"/>
        </w:rPr>
        <w:t>.</w:t>
      </w:r>
    </w:p>
    <w:p xmlns:wp14="http://schemas.microsoft.com/office/word/2010/wordml" w:rsidR="00054398" w:rsidP="00054398" w:rsidRDefault="00054398" w14:paraId="6733CB51" wp14:textId="77777777">
      <w:pPr>
        <w:pStyle w:val="Heading4"/>
        <w:rPr>
          <w:rFonts w:eastAsia="Calibri"/>
        </w:rPr>
      </w:pPr>
      <w:bookmarkStart w:name="_i7kblsagmdwy" w:colFirst="0" w:colLast="0" w:id="22"/>
      <w:bookmarkEnd w:id="22"/>
      <w:r>
        <w:rPr>
          <w:rFonts w:eastAsia="Calibri"/>
        </w:rPr>
        <w:t>Modern social movements rely on communication to solve</w:t>
      </w:r>
    </w:p>
    <w:p xmlns:wp14="http://schemas.microsoft.com/office/word/2010/wordml" w:rsidRPr="001710C3" w:rsidR="00054398" w:rsidP="00054398" w:rsidRDefault="00054398" w14:paraId="3266084E" wp14:textId="77777777">
      <w:r w:rsidRPr="001710C3">
        <w:rPr>
          <w:rStyle w:val="Style13ptBold"/>
        </w:rPr>
        <w:t>Rebughini 10</w:t>
      </w:r>
      <w:r w:rsidRPr="001710C3">
        <w:t xml:space="preserve"> (Paola, University of Milan, Italy, “Critique and social movements: Looking beyond contingency and normativity”, http://est.sagepub.com/content/13/4/459.full.pdf+html)</w:t>
      </w:r>
    </w:p>
    <w:p xmlns:wp14="http://schemas.microsoft.com/office/word/2010/wordml" w:rsidR="00054398" w:rsidP="00054398" w:rsidRDefault="00054398" w14:paraId="0CC0BE42" wp14:textId="77777777">
      <w:pPr>
        <w:rPr>
          <w:rFonts w:ascii="Calibri" w:hAnsi="Calibri" w:eastAsia="Calibri" w:cs="Calibri"/>
          <w:sz w:val="16"/>
          <w:szCs w:val="16"/>
          <w:u w:val="single"/>
        </w:rPr>
      </w:pPr>
      <w:r>
        <w:rPr>
          <w:rFonts w:ascii="Calibri" w:hAnsi="Calibri" w:eastAsia="Calibri" w:cs="Calibri"/>
          <w:sz w:val="16"/>
          <w:szCs w:val="16"/>
        </w:rPr>
        <w:t xml:space="preserve">The space of daily life is defined both by its proximity but also – in an interconnected and globalized world – by the openings and connections with the dimensions that transcend the here and now and immediacy of context. </w:t>
      </w:r>
      <w:r>
        <w:rPr>
          <w:rFonts w:ascii="Calibri" w:hAnsi="Calibri" w:eastAsia="Calibri" w:cs="Calibri"/>
          <w:highlight w:val="cyan"/>
          <w:u w:val="single"/>
        </w:rPr>
        <w:t xml:space="preserve">The path that leads to public mobilization is therefore that of the formation of more widespread networks in which contact with other groups and </w:t>
      </w:r>
      <w:r>
        <w:rPr>
          <w:rFonts w:ascii="Calibri" w:hAnsi="Calibri" w:eastAsia="Calibri" w:cs="Calibri"/>
          <w:highlight w:val="cyan"/>
          <w:u w:val="single"/>
        </w:rPr>
        <w:lastRenderedPageBreak/>
        <w:t>individuals mobilizes in the same form of resistance, and projects are made, and this leads to critical behaviour that is locally contingently formed to be expressed</w:t>
      </w:r>
      <w:r>
        <w:rPr>
          <w:rFonts w:ascii="Calibri" w:hAnsi="Calibri" w:eastAsia="Calibri" w:cs="Calibri"/>
          <w:sz w:val="16"/>
          <w:szCs w:val="16"/>
          <w:u w:val="single"/>
        </w:rPr>
        <w:t xml:space="preserve"> i</w:t>
      </w:r>
      <w:r>
        <w:rPr>
          <w:rFonts w:ascii="Calibri" w:hAnsi="Calibri" w:eastAsia="Calibri" w:cs="Calibri"/>
          <w:sz w:val="16"/>
          <w:szCs w:val="16"/>
        </w:rPr>
        <w:t>n a more systematic way in the public sphere through a form of conflict that defines individual common normative references as adversaries and interlocutors (Castells, 2002). Over the past thirty years, research conducted into the ‘new social movements’ and on the more recent phase of</w:t>
      </w:r>
      <w:r>
        <w:rPr>
          <w:rFonts w:ascii="Calibri" w:hAnsi="Calibri" w:eastAsia="Calibri" w:cs="Calibri"/>
          <w:sz w:val="16"/>
          <w:szCs w:val="16"/>
          <w:u w:val="single"/>
        </w:rPr>
        <w:t xml:space="preserve"> </w:t>
      </w:r>
      <w:r>
        <w:rPr>
          <w:rFonts w:ascii="Calibri" w:hAnsi="Calibri" w:eastAsia="Calibri" w:cs="Calibri"/>
          <w:u w:val="single"/>
        </w:rPr>
        <w:t>critical mobilization against neo-liberal economic globalization has revealed that collective action that aspires to express a critique</w:t>
      </w:r>
      <w:r>
        <w:rPr>
          <w:rFonts w:ascii="Calibri" w:hAnsi="Calibri" w:eastAsia="Calibri" w:cs="Calibri"/>
          <w:sz w:val="16"/>
          <w:szCs w:val="16"/>
          <w:u w:val="single"/>
        </w:rPr>
        <w:t>, t</w:t>
      </w:r>
      <w:r>
        <w:rPr>
          <w:rFonts w:ascii="Calibri" w:hAnsi="Calibri" w:eastAsia="Calibri" w:cs="Calibri"/>
          <w:sz w:val="16"/>
          <w:szCs w:val="16"/>
        </w:rPr>
        <w:t>o widen the space for democracy and individual freedom, often grows from networks that are initially formed in the area of local and daily life of the activists, with parallel links to normative references that transcend the specific ‘fluid’ context of the mobilization: critique of neoliberalist capitalism, the need for social justice, environmental protection, and recognition of cultural differences. This union between contingent and local components of mobilization and more general references and norms has been facilitated over the past twenty years by transitional mediated networks via the internet and by the construction of ‘virtual public spheres’ (Calhoun, 2004; van de Donk et al., 2004; Langman, 2005) that refer to the idea of a common ‘Global Civil Society’ that communicates via websites, blogs, alternative media, and continental and global forums. Even i</w:t>
      </w:r>
      <w:r>
        <w:rPr>
          <w:rFonts w:ascii="Calibri" w:hAnsi="Calibri" w:eastAsia="Calibri" w:cs="Calibri"/>
          <w:sz w:val="16"/>
          <w:szCs w:val="16"/>
          <w:u w:val="single"/>
        </w:rPr>
        <w:t xml:space="preserve">f </w:t>
      </w:r>
      <w:r>
        <w:rPr>
          <w:rFonts w:ascii="Calibri" w:hAnsi="Calibri" w:eastAsia="Calibri" w:cs="Calibri"/>
          <w:highlight w:val="cyan"/>
          <w:u w:val="single"/>
        </w:rPr>
        <w:t>communicative aspects</w:t>
      </w:r>
      <w:r>
        <w:rPr>
          <w:rFonts w:ascii="Calibri" w:hAnsi="Calibri" w:eastAsia="Calibri" w:cs="Calibri"/>
          <w:sz w:val="16"/>
          <w:szCs w:val="16"/>
          <w:highlight w:val="cyan"/>
          <w:u w:val="single"/>
        </w:rPr>
        <w:t xml:space="preserve"> </w:t>
      </w:r>
      <w:r>
        <w:rPr>
          <w:rFonts w:ascii="Calibri" w:hAnsi="Calibri" w:eastAsia="Calibri" w:cs="Calibri"/>
          <w:sz w:val="16"/>
          <w:szCs w:val="16"/>
          <w:u w:val="single"/>
        </w:rPr>
        <w:t xml:space="preserve">– initially cited by Adorno even before Habermas – </w:t>
      </w:r>
      <w:r>
        <w:rPr>
          <w:rFonts w:ascii="Calibri" w:hAnsi="Calibri" w:eastAsia="Calibri" w:cs="Calibri"/>
          <w:highlight w:val="cyan"/>
          <w:u w:val="single"/>
        </w:rPr>
        <w:t>have always been central to mobilization</w:t>
      </w:r>
      <w:r>
        <w:rPr>
          <w:rFonts w:ascii="Calibri" w:hAnsi="Calibri" w:eastAsia="Calibri" w:cs="Calibri"/>
          <w:sz w:val="16"/>
          <w:szCs w:val="16"/>
          <w:highlight w:val="cyan"/>
          <w:u w:val="single"/>
        </w:rPr>
        <w:t xml:space="preserve"> (</w:t>
      </w:r>
      <w:r>
        <w:rPr>
          <w:rFonts w:ascii="Calibri" w:hAnsi="Calibri" w:eastAsia="Calibri" w:cs="Calibri"/>
          <w:sz w:val="16"/>
          <w:szCs w:val="16"/>
        </w:rPr>
        <w:t xml:space="preserve">progressive but also reactionary) and in the construction of a public sphere, the present internet-based mobilizations and cyber-activism have profoundly transformed the way in which critique can emerge within the public sphere. </w:t>
      </w:r>
      <w:r>
        <w:rPr>
          <w:rFonts w:ascii="Calibri" w:hAnsi="Calibri" w:eastAsia="Calibri" w:cs="Calibri"/>
        </w:rPr>
        <w:t>As a consequence</w:t>
      </w:r>
      <w:r>
        <w:rPr>
          <w:rFonts w:ascii="Calibri" w:hAnsi="Calibri" w:eastAsia="Calibri" w:cs="Calibri"/>
          <w:u w:val="single"/>
        </w:rPr>
        <w:t xml:space="preserve">, </w:t>
      </w:r>
      <w:r>
        <w:rPr>
          <w:rFonts w:ascii="Calibri" w:hAnsi="Calibri" w:eastAsia="Calibri" w:cs="Calibri"/>
          <w:highlight w:val="cyan"/>
          <w:u w:val="single"/>
        </w:rPr>
        <w:t>even though every form of mobilization is based on forms of media communication, the nature of this media has a fundamental role, and the internet has allowed the unprecedented rapid and capillary distribution of critical issues</w:t>
      </w:r>
      <w:r>
        <w:rPr>
          <w:rFonts w:ascii="Calibri" w:hAnsi="Calibri" w:eastAsia="Calibri" w:cs="Calibri"/>
          <w:sz w:val="16"/>
          <w:szCs w:val="16"/>
          <w:u w:val="single"/>
        </w:rPr>
        <w:t xml:space="preserve"> even if they have often been packaged and become sectorial.</w:t>
      </w:r>
    </w:p>
    <w:p xmlns:wp14="http://schemas.microsoft.com/office/word/2010/wordml" w:rsidR="00054398" w:rsidP="00054398" w:rsidRDefault="00054398" w14:paraId="792F1AA2" wp14:textId="77777777">
      <w:pPr>
        <w:pStyle w:val="Heading4"/>
      </w:pPr>
    </w:p>
    <w:p xmlns:wp14="http://schemas.microsoft.com/office/word/2010/wordml" w:rsidR="00054398" w:rsidP="00054398" w:rsidRDefault="00054398" w14:paraId="6B0919CE" wp14:textId="77777777">
      <w:pPr>
        <w:pStyle w:val="Heading3"/>
      </w:pPr>
      <w:r>
        <w:lastRenderedPageBreak/>
        <w:t>Academy key</w:t>
      </w:r>
    </w:p>
    <w:p xmlns:wp14="http://schemas.microsoft.com/office/word/2010/wordml" w:rsidR="00054398" w:rsidP="00054398" w:rsidRDefault="00054398" w14:paraId="77987B9D" wp14:textId="77777777">
      <w:pPr>
        <w:pStyle w:val="Heading4"/>
      </w:pPr>
      <w:r>
        <w:t>As intellectuals, we can and must critically reclaim the academy as a site of critical interrogation of violence – the alternative is become complicit with militarization</w:t>
      </w:r>
    </w:p>
    <w:p xmlns:wp14="http://schemas.microsoft.com/office/word/2010/wordml" w:rsidRPr="00736214" w:rsidR="00054398" w:rsidP="00054398" w:rsidRDefault="00054398" w14:paraId="0B5DBE35" wp14:textId="77777777">
      <w:r w:rsidRPr="00736214">
        <w:t xml:space="preserve">Giroux 08 [Henry A. “Against the Militarized Academy,” </w:t>
      </w:r>
      <w:hyperlink w:history="1" r:id="rId145">
        <w:r w:rsidRPr="00736214">
          <w:rPr>
            <w:rStyle w:val="Hyperlink"/>
          </w:rPr>
          <w:t>http://www.truth-out.org/archive/item/81138:against-the-militarized-academy</w:t>
        </w:r>
      </w:hyperlink>
      <w:r w:rsidRPr="00736214">
        <w:t>]</w:t>
      </w:r>
    </w:p>
    <w:p xmlns:wp14="http://schemas.microsoft.com/office/word/2010/wordml" w:rsidRPr="00BA522C" w:rsidR="00054398" w:rsidP="00054398" w:rsidRDefault="00054398" w14:paraId="6E1B95AB" wp14:textId="77777777">
      <w:pPr>
        <w:rPr>
          <w:rStyle w:val="StyleUnderline"/>
        </w:rPr>
      </w:pPr>
      <w:r w:rsidRPr="00AF60A0">
        <w:rPr>
          <w:sz w:val="16"/>
        </w:rPr>
        <w:t xml:space="preserve">While there is an ongoing discussion about what shape the military-industrial complex will take under an Obama presidency, </w:t>
      </w:r>
      <w:r w:rsidRPr="00AF60A0">
        <w:rPr>
          <w:rStyle w:val="StyleUnderline"/>
        </w:rPr>
        <w:t>what is often left out of this analysis is the intrusion of the military into</w:t>
      </w:r>
      <w:r w:rsidRPr="00AF60A0">
        <w:rPr>
          <w:sz w:val="16"/>
        </w:rPr>
        <w:t xml:space="preserve"> higher </w:t>
      </w:r>
      <w:r w:rsidRPr="00AF60A0">
        <w:rPr>
          <w:rStyle w:val="StyleUnderline"/>
        </w:rPr>
        <w:t>education.</w:t>
      </w:r>
      <w:r w:rsidRPr="00AF60A0">
        <w:rPr>
          <w:sz w:val="16"/>
        </w:rPr>
        <w:t xml:space="preserve"> </w:t>
      </w:r>
      <w:r w:rsidRPr="00AF60A0">
        <w:rPr>
          <w:rStyle w:val="StyleUnderline"/>
        </w:rPr>
        <w:t xml:space="preserve">One example of the increasingly intensified and expansive symbiosis between the military-industrial complex and academia was on full display when </w:t>
      </w:r>
      <w:r w:rsidRPr="00AF60A0">
        <w:rPr>
          <w:sz w:val="16"/>
        </w:rPr>
        <w:t xml:space="preserve">Robert </w:t>
      </w:r>
      <w:r w:rsidRPr="00AF60A0">
        <w:rPr>
          <w:rStyle w:val="StyleUnderline"/>
        </w:rPr>
        <w:t>Gates, the secretary of defense, announced the creation of what he calls a new "Minerva Consortium,</w:t>
      </w:r>
      <w:r w:rsidRPr="00AF60A0">
        <w:rPr>
          <w:sz w:val="16"/>
        </w:rPr>
        <w:t xml:space="preserve">" ironically named after the goddess of wisdom, </w:t>
      </w:r>
      <w:r w:rsidRPr="00AF60A0">
        <w:rPr>
          <w:rStyle w:val="StyleUnderline"/>
        </w:rPr>
        <w:t>whose purpose is to fund various universities to "carry out social-sciences research relevant to national security.</w:t>
      </w:r>
      <w:r w:rsidRPr="00AF60A0">
        <w:rPr>
          <w:sz w:val="16"/>
        </w:rPr>
        <w:t>"(</w:t>
      </w:r>
      <w:hyperlink w:history="1" w:anchor="1" r:id="rId146">
        <w:r w:rsidRPr="00AF60A0">
          <w:rPr>
            <w:rStyle w:val="Hyperlink"/>
            <w:sz w:val="16"/>
          </w:rPr>
          <w:t>1</w:t>
        </w:r>
      </w:hyperlink>
      <w:r w:rsidRPr="00AF60A0">
        <w:rPr>
          <w:sz w:val="16"/>
        </w:rPr>
        <w:t xml:space="preserve">) </w:t>
      </w:r>
      <w:r w:rsidRPr="00AF60A0">
        <w:rPr>
          <w:rStyle w:val="StyleUnderline"/>
        </w:rPr>
        <w:t>Gates's desire to turn universities into militarized knowledge factories producing knowledge, research and personnel</w:t>
      </w:r>
      <w:r w:rsidRPr="00AF60A0">
        <w:rPr>
          <w:sz w:val="16"/>
        </w:rPr>
        <w:t xml:space="preserve"> in the interest of the Homeland (In)Security State should be of </w:t>
      </w:r>
      <w:r w:rsidRPr="00AF60A0">
        <w:rPr>
          <w:rStyle w:val="StyleUnderline"/>
        </w:rPr>
        <w:t>special concern for intellectuals</w:t>
      </w:r>
      <w:r w:rsidRPr="00AF60A0">
        <w:rPr>
          <w:sz w:val="16"/>
        </w:rPr>
        <w:t xml:space="preserve">, artists, academics and others who believe that the university should oppose such interests and alignments. At the very least, the emergence of the Minerva Consortium raises a larger set of concerns about the ongoing militarization of higher education in the United States. In a post-9/11 world, with its all-embracing war on terror and a culture of fear, </w:t>
      </w:r>
      <w:r w:rsidRPr="00AF60A0">
        <w:rPr>
          <w:rStyle w:val="StyleUnderline"/>
        </w:rPr>
        <w:t>the increasing spread of the discourse and values of militarization throughout the social order is intensifying the shift from the promise of a liberal democracy to the reality of a militarized society</w:t>
      </w:r>
      <w:r w:rsidRPr="00AF60A0">
        <w:rPr>
          <w:sz w:val="16"/>
        </w:rPr>
        <w:t xml:space="preserve">. </w:t>
      </w:r>
      <w:r w:rsidRPr="00AF60A0">
        <w:rPr>
          <w:rStyle w:val="StyleUnderline"/>
        </w:rPr>
        <w:t>Militarization suggests</w:t>
      </w:r>
      <w:r w:rsidRPr="00AF60A0">
        <w:rPr>
          <w:sz w:val="16"/>
        </w:rPr>
        <w:t xml:space="preserve"> more than simply a militaristic ideal - with its </w:t>
      </w:r>
      <w:r w:rsidRPr="00AF60A0">
        <w:rPr>
          <w:rStyle w:val="StyleUnderline"/>
        </w:rPr>
        <w:t>celebration of war as the truest measure of the health of the nation and the soldier-warrior as the most noble expression of the merging of masculinity and unquestioning patriotism</w:t>
      </w:r>
      <w:r w:rsidRPr="00AF60A0">
        <w:rPr>
          <w:sz w:val="16"/>
        </w:rPr>
        <w:t xml:space="preserve"> </w:t>
      </w:r>
      <w:r w:rsidRPr="00AF60A0">
        <w:rPr>
          <w:rStyle w:val="StyleUnderline"/>
        </w:rPr>
        <w:t>– [and] an intensification and expansion of the underlying values, practices, ideologies, social relations and cultural representations associated with military culture</w:t>
      </w:r>
      <w:r w:rsidRPr="00AF60A0">
        <w:rPr>
          <w:sz w:val="16"/>
        </w:rPr>
        <w:t xml:space="preserve">. What appears new about </w:t>
      </w:r>
      <w:r w:rsidRPr="00AF60A0">
        <w:rPr>
          <w:rStyle w:val="StyleUnderline"/>
        </w:rPr>
        <w:t>the amplified militarization</w:t>
      </w:r>
      <w:r w:rsidRPr="00AF60A0">
        <w:rPr>
          <w:sz w:val="16"/>
        </w:rPr>
        <w:t xml:space="preserve"> of the post-9/11 world is that it </w:t>
      </w:r>
      <w:r w:rsidRPr="00AF60A0">
        <w:rPr>
          <w:rStyle w:val="StyleUnderline"/>
        </w:rPr>
        <w:t>has become normalized, serving as a powerful educational force that shapes our lives, memories and daily experiences</w:t>
      </w:r>
      <w:r w:rsidRPr="00AF60A0">
        <w:rPr>
          <w:sz w:val="16"/>
        </w:rPr>
        <w:t xml:space="preserve">. </w:t>
      </w:r>
      <w:r w:rsidRPr="00AF60A0">
        <w:rPr>
          <w:rStyle w:val="StyleUnderline"/>
        </w:rPr>
        <w:t>As an educational force, military power produces identities, goods, institutions, knowledge, modes of communication and affective investments</w:t>
      </w:r>
      <w:r w:rsidRPr="00AF60A0">
        <w:rPr>
          <w:sz w:val="16"/>
        </w:rPr>
        <w:t xml:space="preserve"> - in short, it now bears down on all aspects of social life and the social order. As Michael Geyer points out, what is distinctive about the </w:t>
      </w:r>
      <w:r w:rsidRPr="00AF60A0">
        <w:rPr>
          <w:rStyle w:val="StyleUnderline"/>
        </w:rPr>
        <w:t>militarization of the social order is that civil society not only "organizes itself for the production of violence,"(</w:t>
      </w:r>
      <w:hyperlink w:history="1" w:anchor="2" r:id="rId147">
        <w:r w:rsidRPr="00AF60A0">
          <w:rPr>
            <w:rStyle w:val="StyleUnderline"/>
          </w:rPr>
          <w:t>2</w:t>
        </w:r>
      </w:hyperlink>
      <w:r w:rsidRPr="00AF60A0">
        <w:rPr>
          <w:rStyle w:val="StyleUnderline"/>
        </w:rPr>
        <w:t>) but increasingly spurs a gradual erosion of civil liberties</w:t>
      </w:r>
      <w:r w:rsidRPr="00AF60A0">
        <w:rPr>
          <w:sz w:val="16"/>
        </w:rPr>
        <w:t xml:space="preserve">. Military power and policies are expanded to address not only matters of defense and security, but also problems associated with the entire health and social life of the nation, which are now measured by military spending, discipline and loyalty, as well as hierarchical modes of authority. As citizens increasingly assume the roles of informer, soldier and consumer willing to enlist in or be conscripted by the totalizing war on terror, </w:t>
      </w:r>
      <w:r w:rsidRPr="00AF60A0">
        <w:rPr>
          <w:rStyle w:val="StyleUnderline"/>
        </w:rPr>
        <w:t>we see the very idea of the university as a site of critical thinking, public service and socially responsible research being usurped by a manic jingoism</w:t>
      </w:r>
      <w:r w:rsidRPr="00AF60A0">
        <w:rPr>
          <w:sz w:val="16"/>
        </w:rPr>
        <w:t xml:space="preserve"> and a market-driven fundamentalism that enshrine the entrepreneurial spirit and military aggression as means to dominate and control society. This should not surprise us, since, as William G. Martin, a professor of sociology at Binghamton University, indicates, "universities, colleges and schools have been targeted precisely because they are charged with both socializing youth and producing knowledge of peoples and cultures beyond the borders of Anglo-America."(</w:t>
      </w:r>
      <w:hyperlink w:history="1" w:anchor="3" r:id="rId148">
        <w:r w:rsidRPr="00AF60A0">
          <w:rPr>
            <w:rStyle w:val="Hyperlink"/>
            <w:sz w:val="16"/>
          </w:rPr>
          <w:t>3</w:t>
        </w:r>
      </w:hyperlink>
      <w:r w:rsidRPr="00AF60A0">
        <w:rPr>
          <w:sz w:val="16"/>
        </w:rPr>
        <w:t xml:space="preserve">) But rather than be lulled into complacency by the insidious spread of corporate and military power, </w:t>
      </w:r>
      <w:r w:rsidRPr="00AF60A0">
        <w:rPr>
          <w:rStyle w:val="StyleUnderline"/>
        </w:rPr>
        <w:t>we need to be prepared to reclaim institutions</w:t>
      </w:r>
      <w:r w:rsidRPr="00AF60A0">
        <w:rPr>
          <w:sz w:val="16"/>
        </w:rPr>
        <w:t xml:space="preserve"> such as the university </w:t>
      </w:r>
      <w:r w:rsidRPr="00AF60A0">
        <w:rPr>
          <w:rStyle w:val="StyleUnderline"/>
        </w:rPr>
        <w:t>that have historically served as vital democratic spheres protecting and serving the interests of social justice and equality</w:t>
      </w:r>
      <w:r w:rsidRPr="00AF60A0">
        <w:rPr>
          <w:sz w:val="16"/>
        </w:rPr>
        <w:t xml:space="preserve">. What I want to suggest is that </w:t>
      </w:r>
      <w:r w:rsidRPr="00AF60A0">
        <w:rPr>
          <w:rStyle w:val="StyleUnderline"/>
        </w:rPr>
        <w:t xml:space="preserve">such a struggle is not only political, but also pedagogical in nature. Over 17 million students pass through the hallowed halls of academe, and it is crucial that they be educated in ways that enable them to recognize creeping militarization and its effects throughout American society, particularly in terms </w:t>
      </w:r>
      <w:r w:rsidRPr="00AF60A0">
        <w:rPr>
          <w:rStyle w:val="StyleUnderline"/>
        </w:rPr>
        <w:lastRenderedPageBreak/>
        <w:t>of how these effects threaten "democratic government at home just as they menace the independence and sovereignty of other countries."</w:t>
      </w:r>
      <w:r w:rsidRPr="00AF60A0">
        <w:rPr>
          <w:sz w:val="16"/>
        </w:rPr>
        <w:t>(</w:t>
      </w:r>
      <w:hyperlink w:history="1" w:anchor="4" r:id="rId149">
        <w:r w:rsidRPr="00AF60A0">
          <w:rPr>
            <w:rStyle w:val="Hyperlink"/>
            <w:sz w:val="16"/>
          </w:rPr>
          <w:t>4</w:t>
        </w:r>
      </w:hyperlink>
      <w:r w:rsidRPr="00AF60A0">
        <w:rPr>
          <w:sz w:val="16"/>
        </w:rPr>
        <w:t>) But students must also recognize how such anti-democratic forces work in attempting to dismantle the university itself as a place to learn how to think critically and participate in public debate and civic engagement.(</w:t>
      </w:r>
      <w:hyperlink w:history="1" w:anchor="5" r:id="rId150">
        <w:r w:rsidRPr="00AF60A0">
          <w:rPr>
            <w:rStyle w:val="Hyperlink"/>
            <w:sz w:val="16"/>
          </w:rPr>
          <w:t>5</w:t>
        </w:r>
      </w:hyperlink>
      <w:r w:rsidRPr="00AF60A0">
        <w:rPr>
          <w:sz w:val="16"/>
        </w:rPr>
        <w:t xml:space="preserve">) In part, this means giving them the tools to fight for the demilitarization of knowledge on college campuses - to </w:t>
      </w:r>
      <w:r w:rsidRPr="00AF60A0">
        <w:rPr>
          <w:rStyle w:val="StyleUnderline"/>
        </w:rPr>
        <w:t xml:space="preserve">resist complicity with the production of knowledge, information and technologies in classrooms and research labs that contribute to militarized goals and violence. </w:t>
      </w:r>
      <w:r w:rsidRPr="00AF60A0">
        <w:rPr>
          <w:sz w:val="16"/>
        </w:rPr>
        <w:t xml:space="preserve">Even so, there is more at stake than simply educating students to be alert to the dangers of militarization and the way in which it is redefining the very mission of higher education. Chalmers Johnson, in his continuing critique of the threat that the politics of empire presents to democracy at home and abroad, argues that </w:t>
      </w:r>
      <w:r w:rsidRPr="00AF60A0">
        <w:rPr>
          <w:rStyle w:val="StyleUnderline"/>
        </w:rPr>
        <w:t>if the United States is not to degenerate into a military dictatorship</w:t>
      </w:r>
      <w:r w:rsidRPr="00AF60A0">
        <w:rPr>
          <w:sz w:val="16"/>
        </w:rPr>
        <w:t xml:space="preserve">, in spite of Obama's election, </w:t>
      </w:r>
      <w:r w:rsidRPr="00AF60A0">
        <w:rPr>
          <w:rStyle w:val="StyleUnderline"/>
        </w:rPr>
        <w:t>a grass-roots movement will have to occupy center stage in opposing militarization, government secrecy and imperial power, while reclaiming the basic principles of democracy</w:t>
      </w:r>
      <w:r w:rsidRPr="00AF60A0">
        <w:rPr>
          <w:sz w:val="16"/>
        </w:rPr>
        <w:t>.(</w:t>
      </w:r>
      <w:hyperlink w:history="1" w:anchor="6" r:id="rId151">
        <w:r w:rsidRPr="00AF60A0">
          <w:rPr>
            <w:rStyle w:val="Hyperlink"/>
            <w:sz w:val="16"/>
          </w:rPr>
          <w:t>6</w:t>
        </w:r>
      </w:hyperlink>
      <w:r w:rsidRPr="00AF60A0">
        <w:rPr>
          <w:sz w:val="16"/>
        </w:rPr>
        <w:t xml:space="preserve">) Such a task may seem daunting, but </w:t>
      </w:r>
      <w:r w:rsidRPr="00AF60A0">
        <w:rPr>
          <w:rStyle w:val="StyleUnderline"/>
        </w:rPr>
        <w:t>there is a crucial need for</w:t>
      </w:r>
      <w:r w:rsidRPr="00AF60A0">
        <w:rPr>
          <w:sz w:val="16"/>
        </w:rPr>
        <w:t xml:space="preserve"> faculty, </w:t>
      </w:r>
      <w:r w:rsidRPr="00AF60A0">
        <w:rPr>
          <w:rStyle w:val="StyleUnderline"/>
        </w:rPr>
        <w:t>students</w:t>
      </w:r>
      <w:r w:rsidRPr="00AF60A0">
        <w:rPr>
          <w:sz w:val="16"/>
        </w:rPr>
        <w:t xml:space="preserve">, administrators and concerned citizens </w:t>
      </w:r>
      <w:r w:rsidRPr="00AF60A0">
        <w:rPr>
          <w:rStyle w:val="StyleUnderline"/>
        </w:rPr>
        <w:t>to develop alliances for long-term organizations and social movements</w:t>
      </w:r>
      <w:r w:rsidRPr="00AF60A0">
        <w:rPr>
          <w:sz w:val="16"/>
        </w:rPr>
        <w:t xml:space="preserve"> to resist the growing ties among higher education, on the one hand, and the armed forces, intelligence agencies and war industries on the other - ties that play a crucial role in reproducing militarized knowledge. </w:t>
      </w:r>
      <w:r w:rsidRPr="00AF60A0">
        <w:rPr>
          <w:rStyle w:val="StyleUnderline"/>
        </w:rPr>
        <w:t>Opposing militarization as part of a broader pedagogical strategy</w:t>
      </w:r>
      <w:r w:rsidRPr="00AF60A0">
        <w:rPr>
          <w:sz w:val="16"/>
        </w:rPr>
        <w:t xml:space="preserve"> in and out of the classroom also raises the question of what kinds of competencies, skills and knowledge might be crucial to such a task. One possibility is to </w:t>
      </w:r>
      <w:r w:rsidRPr="00AF60A0">
        <w:rPr>
          <w:rStyle w:val="StyleUnderline"/>
        </w:rPr>
        <w:t>develop critical educational theories and practices that define the space of learning not only through the critical consumption of knowledge</w:t>
      </w:r>
      <w:r w:rsidRPr="00AF60A0">
        <w:rPr>
          <w:sz w:val="16"/>
        </w:rPr>
        <w:t xml:space="preserve"> but also through its production for peaceful and socially just ends. In the fight against militarization and "armed intellectuals," </w:t>
      </w:r>
      <w:r w:rsidRPr="00AF60A0">
        <w:rPr>
          <w:rStyle w:val="StyleUnderline"/>
        </w:rPr>
        <w:t>educators need a language of critique, but they also need a language that embraces a sense of hope and collective struggle</w:t>
      </w:r>
      <w:r w:rsidRPr="00AF60A0">
        <w:rPr>
          <w:sz w:val="16"/>
        </w:rPr>
        <w:t>. This means elaborating the meaning of politics through a concerted effort to expand the space of politics by reclaiming "the public character of spaces, relations, and institutions regarded as private" on the other.(</w:t>
      </w:r>
      <w:hyperlink w:history="1" w:anchor="7" r:id="rId152">
        <w:r w:rsidRPr="00AF60A0">
          <w:rPr>
            <w:rStyle w:val="Hyperlink"/>
            <w:sz w:val="16"/>
          </w:rPr>
          <w:t>7</w:t>
        </w:r>
      </w:hyperlink>
      <w:r w:rsidRPr="00AF60A0">
        <w:rPr>
          <w:sz w:val="16"/>
        </w:rPr>
        <w:t xml:space="preserve">) We live at a time when matters of life and death are central to political governance. While registering the shift in power toward the large-scale production of death, disposability and exclusion, a new understanding of the meaning and purpose of higher education must also point to notions of agency, power and responsibility that operate in the service of life, democratic struggles and the expansion of human rights. Finally, if higher education is to come to grips with the multilayered pathologies produced by militarization, it will have to rethink not merely the space of the university as a democratic public sphere, but also </w:t>
      </w:r>
      <w:r w:rsidRPr="00AF60A0">
        <w:rPr>
          <w:rStyle w:val="StyleUnderline"/>
        </w:rPr>
        <w:t>the</w:t>
      </w:r>
      <w:r w:rsidRPr="00AF60A0">
        <w:rPr>
          <w:sz w:val="16"/>
        </w:rPr>
        <w:t xml:space="preserve"> global space </w:t>
      </w:r>
      <w:r w:rsidRPr="00AF60A0">
        <w:rPr>
          <w:rStyle w:val="StyleUnderline"/>
        </w:rPr>
        <w:t>in which intellectuals</w:t>
      </w:r>
      <w:r w:rsidRPr="00AF60A0">
        <w:rPr>
          <w:sz w:val="16"/>
        </w:rPr>
        <w:t xml:space="preserve">, educators, students, artists, labor unions and other social actors and movements </w:t>
      </w:r>
      <w:r w:rsidRPr="00AF60A0">
        <w:rPr>
          <w:rStyle w:val="StyleUnderline"/>
        </w:rPr>
        <w:t>can form transnational alliances to oppose the death-dealing ideology of militarization</w:t>
      </w:r>
      <w:r w:rsidRPr="00AF60A0">
        <w:rPr>
          <w:sz w:val="16"/>
        </w:rPr>
        <w:t xml:space="preserve"> and its effects on the world - including violence, pollution, massive poverty, racism, the arms trade, growth of privatized armies, civil conflict, child slavery and the ongoing wars in Iraq and Afghanistan. As the Bush regime comes to an end, </w:t>
      </w:r>
      <w:r w:rsidRPr="00AF60A0">
        <w:rPr>
          <w:rStyle w:val="StyleUnderline"/>
        </w:rPr>
        <w:t>it is time for educators and students to take a stand and develop global organizations that can be mobilized in the effort to supplant a culture of war with a culture of peace, whose elemental principles must be grounded in relations of economic, political, cultural and social democracy and the desire to sustain human life.</w:t>
      </w:r>
    </w:p>
    <w:p xmlns:wp14="http://schemas.microsoft.com/office/word/2010/wordml" w:rsidRPr="00736214" w:rsidR="00054398" w:rsidP="00054398" w:rsidRDefault="00054398" w14:paraId="1A499DFC" wp14:textId="77777777"/>
    <w:p xmlns:wp14="http://schemas.microsoft.com/office/word/2010/wordml" w:rsidR="00054398" w:rsidP="00054398" w:rsidRDefault="00054398" w14:paraId="6D7724E2" wp14:textId="77777777">
      <w:pPr>
        <w:pStyle w:val="Heading3"/>
      </w:pPr>
      <w:r>
        <w:lastRenderedPageBreak/>
        <w:t>Opacity Fails</w:t>
      </w:r>
    </w:p>
    <w:p xmlns:wp14="http://schemas.microsoft.com/office/word/2010/wordml" w:rsidR="00054398" w:rsidP="00054398" w:rsidRDefault="00054398" w14:paraId="5E7E3C41" wp14:textId="77777777">
      <w:pPr>
        <w:rPr>
          <w:sz w:val="20"/>
          <w:szCs w:val="20"/>
        </w:rPr>
      </w:pPr>
    </w:p>
    <w:p xmlns:wp14="http://schemas.microsoft.com/office/word/2010/wordml" w:rsidR="00054398" w:rsidP="00054398" w:rsidRDefault="00054398" w14:paraId="02BD8DD9" wp14:textId="77777777">
      <w:pPr>
        <w:pStyle w:val="Heading4"/>
        <w:rPr>
          <w:rFonts w:eastAsia="Calibri"/>
        </w:rPr>
      </w:pPr>
      <w:bookmarkStart w:name="_ax0zfdaw2qhv" w:colFirst="0" w:colLast="0" w:id="23"/>
      <w:bookmarkEnd w:id="23"/>
      <w:r>
        <w:rPr>
          <w:rFonts w:eastAsia="Calibri"/>
        </w:rPr>
        <w:t>Opacity has no effect on the success of a movement</w:t>
      </w:r>
    </w:p>
    <w:p xmlns:wp14="http://schemas.microsoft.com/office/word/2010/wordml" w:rsidRPr="001710C3" w:rsidR="00054398" w:rsidP="00054398" w:rsidRDefault="00054398" w14:paraId="41004DE1" wp14:textId="77777777">
      <w:r w:rsidRPr="001710C3">
        <w:rPr>
          <w:rStyle w:val="Style13ptBold"/>
        </w:rPr>
        <w:t>Rebughini 10</w:t>
      </w:r>
      <w:r w:rsidRPr="001710C3">
        <w:t xml:space="preserve"> (Paola, University of Milan, Italy, “Critique and social movements: Looking beyond contingency and normativity”, http://est.sagepub.com/content/13/4/459.full.pdf+html)</w:t>
      </w:r>
    </w:p>
    <w:p xmlns:wp14="http://schemas.microsoft.com/office/word/2010/wordml" w:rsidR="00054398" w:rsidP="00054398" w:rsidRDefault="00054398" w14:paraId="5AFCCB40" wp14:textId="77777777">
      <w:pPr>
        <w:rPr>
          <w:rFonts w:ascii="Calibri" w:hAnsi="Calibri" w:eastAsia="Calibri" w:cs="Calibri"/>
          <w:sz w:val="16"/>
          <w:szCs w:val="16"/>
        </w:rPr>
      </w:pPr>
      <w:r>
        <w:rPr>
          <w:rFonts w:ascii="Calibri" w:hAnsi="Calibri" w:eastAsia="Calibri" w:cs="Calibri"/>
          <w:sz w:val="16"/>
          <w:szCs w:val="16"/>
        </w:rPr>
        <w:t>The frame of normative references, ‘consensual truths’ and symbolic resources constituted by the</w:t>
      </w:r>
      <w:r>
        <w:rPr>
          <w:rFonts w:ascii="Calibri" w:hAnsi="Calibri" w:eastAsia="Calibri" w:cs="Calibri"/>
          <w:sz w:val="16"/>
          <w:szCs w:val="16"/>
          <w:u w:val="single"/>
        </w:rPr>
        <w:t xml:space="preserve"> </w:t>
      </w:r>
      <w:r>
        <w:rPr>
          <w:rFonts w:ascii="Calibri" w:hAnsi="Calibri" w:eastAsia="Calibri" w:cs="Calibri"/>
          <w:highlight w:val="cyan"/>
          <w:u w:val="single"/>
        </w:rPr>
        <w:t>contemporary communicative networks of mobilization presents a broad horizon of sense for protests and critical forms that are tied to a specific context and its constraints</w:t>
      </w:r>
      <w:r>
        <w:rPr>
          <w:rFonts w:ascii="Calibri" w:hAnsi="Calibri" w:eastAsia="Calibri" w:cs="Calibri"/>
          <w:sz w:val="16"/>
          <w:szCs w:val="16"/>
          <w:u w:val="single"/>
        </w:rPr>
        <w:t xml:space="preserve">. </w:t>
      </w:r>
      <w:r>
        <w:rPr>
          <w:rFonts w:ascii="Calibri" w:hAnsi="Calibri" w:eastAsia="Calibri" w:cs="Calibri"/>
          <w:sz w:val="16"/>
          <w:szCs w:val="16"/>
        </w:rPr>
        <w:t>The networks also contribute to the creation of collective identities that ‘emerge within an interactive process in which social networks define their values and the meaning of their action’ (Langman, 2005: 57). In this sense,</w:t>
      </w:r>
      <w:r>
        <w:rPr>
          <w:rFonts w:ascii="Calibri" w:hAnsi="Calibri" w:eastAsia="Calibri" w:cs="Calibri"/>
          <w:sz w:val="16"/>
          <w:szCs w:val="16"/>
          <w:u w:val="single"/>
        </w:rPr>
        <w:t xml:space="preserve"> </w:t>
      </w:r>
      <w:r>
        <w:rPr>
          <w:rFonts w:ascii="Calibri" w:hAnsi="Calibri" w:eastAsia="Calibri" w:cs="Calibri"/>
          <w:highlight w:val="cyan"/>
          <w:u w:val="single"/>
        </w:rPr>
        <w:t>local and contingent mobilizations have been able to base their legitimacy, inserting themselves into a frame of normative references and of similar mobilizations that by now have a transnational character</w:t>
      </w:r>
      <w:r>
        <w:rPr>
          <w:rFonts w:ascii="Calibri" w:hAnsi="Calibri" w:eastAsia="Calibri" w:cs="Calibri"/>
          <w:sz w:val="16"/>
          <w:szCs w:val="16"/>
          <w:highlight w:val="cyan"/>
          <w:u w:val="single"/>
        </w:rPr>
        <w:t>.</w:t>
      </w:r>
      <w:r>
        <w:rPr>
          <w:rFonts w:ascii="Calibri" w:hAnsi="Calibri" w:eastAsia="Calibri" w:cs="Calibri"/>
          <w:sz w:val="16"/>
          <w:szCs w:val="16"/>
          <w:u w:val="single"/>
        </w:rPr>
        <w:t xml:space="preserve"> </w:t>
      </w:r>
      <w:r>
        <w:rPr>
          <w:rFonts w:ascii="Calibri" w:hAnsi="Calibri" w:eastAsia="Calibri" w:cs="Calibri"/>
          <w:sz w:val="16"/>
          <w:szCs w:val="16"/>
        </w:rPr>
        <w:t>Naturally these references do not function in an automatic way, we often witness the reflexive appropriation – diversified according to contexts – of a general framework that is based on the recognition of fundamental human rights – such as global justice – but also on an anti-liberalist and anti-militarist standpoint. In this sense,</w:t>
      </w:r>
      <w:r>
        <w:rPr>
          <w:rFonts w:ascii="Calibri" w:hAnsi="Calibri" w:eastAsia="Calibri" w:cs="Calibri"/>
          <w:sz w:val="16"/>
          <w:szCs w:val="16"/>
          <w:u w:val="single"/>
        </w:rPr>
        <w:t xml:space="preserve"> </w:t>
      </w:r>
      <w:r>
        <w:rPr>
          <w:rFonts w:ascii="Calibri" w:hAnsi="Calibri" w:eastAsia="Calibri" w:cs="Calibri"/>
          <w:b/>
          <w:highlight w:val="cyan"/>
          <w:u w:val="single"/>
        </w:rPr>
        <w:t>the success of critique expressed by a movement cannot be measured solely through the numerical visibility of a demonstration on public soil</w:t>
      </w:r>
      <w:r>
        <w:rPr>
          <w:rFonts w:ascii="Calibri" w:hAnsi="Calibri" w:eastAsia="Calibri" w:cs="Calibri"/>
          <w:sz w:val="16"/>
          <w:szCs w:val="16"/>
          <w:highlight w:val="cyan"/>
          <w:u w:val="single"/>
        </w:rPr>
        <w:t xml:space="preserve">, but also and above all </w:t>
      </w:r>
      <w:r>
        <w:rPr>
          <w:rFonts w:ascii="Calibri" w:hAnsi="Calibri" w:eastAsia="Calibri" w:cs="Calibri"/>
          <w:highlight w:val="cyan"/>
          <w:u w:val="single"/>
        </w:rPr>
        <w:t>by the quantity of information that the mobilization is able to circulate and by the changes in daily practice that it is able to provoke</w:t>
      </w:r>
      <w:r>
        <w:rPr>
          <w:rFonts w:ascii="Calibri" w:hAnsi="Calibri" w:eastAsia="Calibri" w:cs="Calibri"/>
          <w:sz w:val="16"/>
          <w:szCs w:val="16"/>
          <w:u w:val="single"/>
        </w:rPr>
        <w:t xml:space="preserve">. </w:t>
      </w:r>
      <w:r>
        <w:rPr>
          <w:rFonts w:ascii="Calibri" w:hAnsi="Calibri" w:eastAsia="Calibri" w:cs="Calibri"/>
          <w:sz w:val="16"/>
          <w:szCs w:val="16"/>
        </w:rPr>
        <w:t xml:space="preserve">IT webs have anyway played a propulsive role that has enormously facilitated the circulation of information and expressions of critique, even if the transnationalization of mobilization or the existence of more general frames of reference also existed in the past. Today </w:t>
      </w:r>
      <w:r>
        <w:rPr>
          <w:rFonts w:ascii="Calibri" w:hAnsi="Calibri" w:eastAsia="Calibri" w:cs="Calibri"/>
          <w:highlight w:val="cyan"/>
          <w:u w:val="single"/>
        </w:rPr>
        <w:t>organizational networks exist that are capable of mobilizing initiatives and people on a trans-continental scale; networks are thus plural, inclusive and geometrically variable, they tend to be anti-hierarchical and are perceived as a space for the experimentation of forms of participative and deliberative democracy.</w:t>
      </w:r>
      <w:r>
        <w:rPr>
          <w:rFonts w:ascii="Calibri" w:hAnsi="Calibri" w:eastAsia="Calibri" w:cs="Calibri"/>
          <w:sz w:val="16"/>
          <w:szCs w:val="16"/>
          <w:u w:val="single"/>
        </w:rPr>
        <w:t xml:space="preserve"> </w:t>
      </w:r>
      <w:r>
        <w:rPr>
          <w:rFonts w:ascii="Calibri" w:hAnsi="Calibri" w:eastAsia="Calibri" w:cs="Calibri"/>
          <w:sz w:val="16"/>
          <w:szCs w:val="16"/>
        </w:rPr>
        <w:t>The extension of these networks and their speed of action have also facilitated</w:t>
      </w:r>
      <w:r>
        <w:rPr>
          <w:rFonts w:ascii="Calibri" w:hAnsi="Calibri" w:eastAsia="Calibri" w:cs="Calibri"/>
          <w:sz w:val="16"/>
          <w:szCs w:val="16"/>
          <w:u w:val="single"/>
        </w:rPr>
        <w:t xml:space="preserve"> </w:t>
      </w:r>
      <w:r>
        <w:rPr>
          <w:rFonts w:ascii="Calibri" w:hAnsi="Calibri" w:eastAsia="Calibri" w:cs="Calibri"/>
          <w:u w:val="single"/>
        </w:rPr>
        <w:t>the circulation of references of validity on which actions and protests are based and upon which the legitimacy of critique is based</w:t>
      </w:r>
      <w:r>
        <w:rPr>
          <w:rFonts w:ascii="Calibri" w:hAnsi="Calibri" w:eastAsia="Calibri" w:cs="Calibri"/>
          <w:sz w:val="16"/>
          <w:szCs w:val="16"/>
          <w:u w:val="single"/>
        </w:rPr>
        <w:t xml:space="preserve">. </w:t>
      </w:r>
      <w:r>
        <w:rPr>
          <w:rFonts w:ascii="Calibri" w:hAnsi="Calibri" w:eastAsia="Calibri" w:cs="Calibri"/>
          <w:sz w:val="16"/>
          <w:szCs w:val="16"/>
        </w:rPr>
        <w:t>As a consequence, the spread of local actions, the pluralism of the issues in play and the contingency of critical expressions have been compensated with the construction of a common normative frame of reference, even if not unified and marked by old tensions between references to justice and those to autonomy and between appeals to difference and those to equality.</w:t>
      </w:r>
    </w:p>
    <w:p xmlns:wp14="http://schemas.microsoft.com/office/word/2010/wordml" w:rsidRPr="004E65E8" w:rsidR="00E45F43" w:rsidP="008263E8" w:rsidRDefault="00E45F43" w14:paraId="03F828E4" wp14:textId="77777777"/>
    <w:p xmlns:wp14="http://schemas.microsoft.com/office/word/2010/wordml" w:rsidR="00507555" w:rsidP="00507555" w:rsidRDefault="00507555" w14:paraId="10642E26" wp14:textId="77777777">
      <w:pPr>
        <w:pStyle w:val="Heading1"/>
      </w:pPr>
      <w:r>
        <w:lastRenderedPageBreak/>
        <w:t>Empire K</w:t>
      </w:r>
    </w:p>
    <w:p xmlns:wp14="http://schemas.microsoft.com/office/word/2010/wordml" w:rsidRPr="00271121" w:rsidR="00507555" w:rsidP="00507555" w:rsidRDefault="00507555" w14:paraId="05BBC402" wp14:textId="77777777">
      <w:pPr>
        <w:pStyle w:val="Heading2"/>
      </w:pPr>
      <w:r>
        <w:lastRenderedPageBreak/>
        <w:t>1NC</w:t>
      </w:r>
    </w:p>
    <w:p xmlns:wp14="http://schemas.microsoft.com/office/word/2010/wordml" w:rsidRPr="0038390C" w:rsidR="00507555" w:rsidP="00507555" w:rsidRDefault="00507555" w14:paraId="134D135C" wp14:textId="77777777">
      <w:pPr>
        <w:keepNext/>
        <w:keepLines/>
        <w:spacing w:before="40" w:after="0"/>
        <w:outlineLvl w:val="3"/>
        <w:rPr>
          <w:rFonts w:eastAsiaTheme="majorEastAsia" w:cstheme="majorBidi"/>
          <w:b/>
          <w:bCs/>
          <w:iCs/>
          <w:sz w:val="26"/>
        </w:rPr>
      </w:pPr>
      <w:r w:rsidRPr="0038390C">
        <w:rPr>
          <w:rFonts w:eastAsiaTheme="majorEastAsia" w:cstheme="majorBidi"/>
          <w:b/>
          <w:bCs/>
          <w:iCs/>
          <w:sz w:val="26"/>
        </w:rPr>
        <w:t xml:space="preserve">Welcome to the age of Empire where sovereignty is no longer defined by borders, but instead by lack </w:t>
      </w:r>
      <w:r>
        <w:rPr>
          <w:rFonts w:eastAsiaTheme="majorEastAsia" w:cstheme="majorBidi"/>
          <w:b/>
          <w:bCs/>
          <w:iCs/>
          <w:sz w:val="26"/>
        </w:rPr>
        <w:t>of such. The age of imperialism</w:t>
      </w:r>
      <w:r w:rsidRPr="0038390C">
        <w:rPr>
          <w:rFonts w:eastAsiaTheme="majorEastAsia" w:cstheme="majorBidi"/>
          <w:b/>
          <w:bCs/>
          <w:iCs/>
          <w:sz w:val="26"/>
        </w:rPr>
        <w:t xml:space="preserve"> </w:t>
      </w:r>
      <w:r>
        <w:rPr>
          <w:rFonts w:eastAsiaTheme="majorEastAsia" w:cstheme="majorBidi"/>
          <w:b/>
          <w:bCs/>
          <w:iCs/>
          <w:sz w:val="26"/>
        </w:rPr>
        <w:t>with its borders and territories</w:t>
      </w:r>
      <w:r w:rsidRPr="0038390C">
        <w:rPr>
          <w:rFonts w:eastAsiaTheme="majorEastAsia" w:cstheme="majorBidi"/>
          <w:b/>
          <w:bCs/>
          <w:iCs/>
          <w:sz w:val="26"/>
        </w:rPr>
        <w:t xml:space="preserve"> is over, now replaced by capitalist control. Here the </w:t>
      </w:r>
      <w:r>
        <w:rPr>
          <w:rFonts w:eastAsiaTheme="majorEastAsia" w:cstheme="majorBidi"/>
          <w:b/>
          <w:bCs/>
          <w:iCs/>
          <w:sz w:val="26"/>
        </w:rPr>
        <w:t>AFF</w:t>
      </w:r>
      <w:r w:rsidRPr="0038390C">
        <w:rPr>
          <w:rFonts w:eastAsiaTheme="majorEastAsia" w:cstheme="majorBidi"/>
          <w:b/>
          <w:bCs/>
          <w:iCs/>
          <w:sz w:val="26"/>
        </w:rPr>
        <w:t xml:space="preserve"> colludes with Empire’s attempts to biopolitically regulate whole populations by constantly decentering </w:t>
      </w:r>
      <w:r>
        <w:rPr>
          <w:rFonts w:eastAsiaTheme="majorEastAsia" w:cstheme="majorBidi"/>
          <w:b/>
          <w:bCs/>
          <w:iCs/>
          <w:sz w:val="26"/>
        </w:rPr>
        <w:t>the</w:t>
      </w:r>
      <w:r w:rsidRPr="0038390C">
        <w:rPr>
          <w:rFonts w:eastAsiaTheme="majorEastAsia" w:cstheme="majorBidi"/>
          <w:b/>
          <w:bCs/>
          <w:iCs/>
          <w:sz w:val="26"/>
        </w:rPr>
        <w:t xml:space="preserve"> reach and expanding </w:t>
      </w:r>
      <w:r>
        <w:rPr>
          <w:rFonts w:eastAsiaTheme="majorEastAsia" w:cstheme="majorBidi"/>
          <w:b/>
          <w:bCs/>
          <w:iCs/>
          <w:sz w:val="26"/>
        </w:rPr>
        <w:t>the</w:t>
      </w:r>
      <w:r w:rsidRPr="0038390C">
        <w:rPr>
          <w:rFonts w:eastAsiaTheme="majorEastAsia" w:cstheme="majorBidi"/>
          <w:b/>
          <w:bCs/>
          <w:iCs/>
          <w:sz w:val="26"/>
        </w:rPr>
        <w:t xml:space="preserve"> frontier</w:t>
      </w:r>
      <w:r>
        <w:rPr>
          <w:rFonts w:eastAsiaTheme="majorEastAsia" w:cstheme="majorBidi"/>
          <w:b/>
          <w:bCs/>
          <w:iCs/>
          <w:sz w:val="26"/>
        </w:rPr>
        <w:t xml:space="preserve"> Empire</w:t>
      </w:r>
      <w:r w:rsidRPr="0038390C">
        <w:rPr>
          <w:rFonts w:eastAsiaTheme="majorEastAsia" w:cstheme="majorBidi"/>
          <w:b/>
          <w:bCs/>
          <w:iCs/>
          <w:sz w:val="26"/>
        </w:rPr>
        <w:t>.</w:t>
      </w:r>
      <w:r>
        <w:rPr>
          <w:rFonts w:eastAsiaTheme="majorEastAsia" w:cstheme="majorBidi"/>
          <w:b/>
          <w:bCs/>
          <w:iCs/>
          <w:sz w:val="26"/>
        </w:rPr>
        <w:t xml:space="preserve"> Against the Empire’s forces of oppression and destruction, we call for a new cartography written via the multitude.</w:t>
      </w:r>
    </w:p>
    <w:p xmlns:wp14="http://schemas.microsoft.com/office/word/2010/wordml" w:rsidRPr="007434D0" w:rsidR="00507555" w:rsidP="00507555" w:rsidRDefault="00507555" w14:paraId="76F6EC97" wp14:textId="77777777">
      <w:pPr>
        <w:rPr>
          <w:bCs/>
          <w:sz w:val="16"/>
        </w:rPr>
      </w:pPr>
      <w:r w:rsidRPr="00B974FD">
        <w:rPr>
          <w:rStyle w:val="Style13ptBold"/>
        </w:rPr>
        <w:t>Hardt and Negri 00</w:t>
      </w:r>
      <w:r w:rsidRPr="007434D0">
        <w:rPr>
          <w:bCs/>
          <w:sz w:val="16"/>
        </w:rPr>
        <w:t xml:space="preserve"> [Michael, American literary theorist and political philosopher, best known for his book Empire, which was co-written with Antonio, Italian Marxist sociologist and political philosopher, best known for his co-authorship of Empire and secondarily for his work on Spinoza, </w:t>
      </w:r>
      <w:r w:rsidRPr="007434D0">
        <w:rPr>
          <w:bCs/>
          <w:i/>
          <w:sz w:val="16"/>
        </w:rPr>
        <w:t>Empire,</w:t>
      </w:r>
      <w:r w:rsidRPr="007434D0">
        <w:rPr>
          <w:bCs/>
          <w:sz w:val="16"/>
        </w:rPr>
        <w:t xml:space="preserve"> xi-xvi, Harvard University Press, 2000]//KI</w:t>
      </w:r>
    </w:p>
    <w:p xmlns:wp14="http://schemas.microsoft.com/office/word/2010/wordml" w:rsidRPr="00590E18" w:rsidR="00507555" w:rsidP="00507555" w:rsidRDefault="00507555" w14:paraId="07FC69FC" wp14:textId="77777777">
      <w:pPr>
        <w:spacing w:after="0" w:line="240" w:lineRule="auto"/>
        <w:rPr>
          <w:rFonts w:ascii="Times" w:hAnsi="Times" w:cs="Times New Roman" w:eastAsiaTheme="minorEastAsia"/>
          <w:sz w:val="20"/>
          <w:szCs w:val="20"/>
          <w:lang w:eastAsia="ja-JP"/>
        </w:rPr>
      </w:pPr>
      <w:r w:rsidRPr="00B974FD">
        <w:rPr>
          <w:rStyle w:val="StyleUnderline"/>
        </w:rPr>
        <w:t xml:space="preserve">Empire is materializing before our very eyes. Over the past several decades, as colonial regimes were overthrown and then precipitously after the Soviet barriers to the capitalist world market finally collapsed, we have witnessed an irresistible and irreversible globalization of economic and cultural exchanges. Along with the global market and global circuits of production has emerged a global order, a new logic and structure of rule—in short, </w:t>
      </w:r>
      <w:r w:rsidRPr="0038390C">
        <w:rPr>
          <w:rFonts w:cs="Times New Roman" w:eastAsiaTheme="minorEastAsia"/>
          <w:b/>
          <w:bCs/>
          <w:color w:val="000000"/>
          <w:u w:val="single"/>
          <w:lang w:eastAsia="ja-JP"/>
        </w:rPr>
        <w:t>a new form of sovereignty</w:t>
      </w:r>
      <w:r w:rsidRPr="00B974FD">
        <w:rPr>
          <w:rStyle w:val="StyleUnderline"/>
        </w:rPr>
        <w:t>. Empire is the political subject that effectively regulates these global exchanges, the sovereign power that governs the world.</w:t>
      </w:r>
      <w:r w:rsidRPr="0038390C">
        <w:rPr>
          <w:rFonts w:cs="Times New Roman" w:eastAsiaTheme="minorEastAsia"/>
          <w:color w:val="000000"/>
          <w:sz w:val="16"/>
          <w:szCs w:val="16"/>
          <w:lang w:eastAsia="ja-JP"/>
        </w:rPr>
        <w:t xml:space="preserve"> </w:t>
      </w:r>
      <w:r w:rsidRPr="00B974FD">
        <w:rPr>
          <w:rStyle w:val="StyleUnderline"/>
        </w:rPr>
        <w:t>Many argue that the globalization of capitalist production and exchange means that economic relations have become more autono- mous from political controls, and consequently that political sover- eignty has declined</w:t>
      </w:r>
      <w:r w:rsidRPr="0038390C">
        <w:rPr>
          <w:rFonts w:cs="Times New Roman" w:eastAsiaTheme="minorEastAsia"/>
          <w:color w:val="000000"/>
          <w:sz w:val="16"/>
          <w:szCs w:val="16"/>
          <w:lang w:eastAsia="ja-JP"/>
        </w:rPr>
        <w:t xml:space="preserve">. Some celebrate this new era as the liberation of the capitalist economy from the restrictions and distortions that political forces have imposed on it; others lament it as the closing of the institutional channels through which workers and citizens can influence or contest the cold logic of capitalist profit. </w:t>
      </w:r>
      <w:r w:rsidRPr="00B974FD">
        <w:rPr>
          <w:rStyle w:val="StyleUnderline"/>
        </w:rPr>
        <w:t xml:space="preserve">It is certainly true that, in step with the processes of globalization, the sovereignty of nation-states, while still effective, has progressively declined. </w:t>
      </w:r>
      <w:r w:rsidRPr="0038390C">
        <w:rPr>
          <w:rFonts w:cs="Times New Roman" w:eastAsiaTheme="minorEastAsia"/>
          <w:b/>
          <w:bCs/>
          <w:color w:val="000000"/>
          <w:u w:val="single"/>
          <w:lang w:eastAsia="ja-JP"/>
        </w:rPr>
        <w:t>The primary factors of production and exchange— money, technology, people, and goods—move with increasing ease across national boundaries</w:t>
      </w:r>
      <w:r w:rsidRPr="00B974FD">
        <w:rPr>
          <w:rStyle w:val="StyleUnderline"/>
        </w:rPr>
        <w:t>; hence the nation-state has less and less power to regulate these flows and impose its authority over the economy</w:t>
      </w:r>
      <w:r w:rsidRPr="0038390C">
        <w:rPr>
          <w:rFonts w:cs="Times New Roman" w:eastAsiaTheme="minorEastAsia"/>
          <w:color w:val="000000"/>
          <w:sz w:val="16"/>
          <w:szCs w:val="16"/>
          <w:lang w:eastAsia="ja-JP"/>
        </w:rPr>
        <w:t xml:space="preserve">. Even the most dominant nation-states should no longer be thought of as supreme and sovereign authorities, either outside or even within their own borders. </w:t>
      </w:r>
      <w:r w:rsidRPr="0038390C">
        <w:rPr>
          <w:rFonts w:cs="Times New Roman" w:eastAsiaTheme="minorEastAsia"/>
          <w:b/>
          <w:bCs/>
          <w:i/>
          <w:iCs/>
          <w:color w:val="000000"/>
          <w:u w:val="single"/>
          <w:lang w:eastAsia="ja-JP"/>
        </w:rPr>
        <w:t>The decline in sovereignty of nation- states, however, does not mean that sovereignty as such has declined.</w:t>
      </w:r>
      <w:r w:rsidRPr="0038390C">
        <w:rPr>
          <w:rFonts w:cs="Times New Roman" w:eastAsiaTheme="minorEastAsia"/>
          <w:b/>
          <w:bCs/>
          <w:color w:val="000000"/>
          <w:u w:val="single"/>
          <w:lang w:eastAsia="ja-JP"/>
        </w:rPr>
        <w:t xml:space="preserve">1 </w:t>
      </w:r>
      <w:r w:rsidRPr="00B974FD">
        <w:rPr>
          <w:rStyle w:val="StyleUnderline"/>
        </w:rPr>
        <w:t>Throughout the contemporary transformations, political controls, state functions, and regulatory mechanisms have continued to rule the realm of economic and social production and exchange</w:t>
      </w:r>
      <w:r w:rsidRPr="0038390C">
        <w:rPr>
          <w:rFonts w:cs="Times New Roman" w:eastAsiaTheme="minorEastAsia"/>
          <w:color w:val="000000"/>
          <w:sz w:val="16"/>
          <w:szCs w:val="16"/>
          <w:lang w:eastAsia="ja-JP"/>
        </w:rPr>
        <w:t xml:space="preserve">. Our basic hypothesis is that </w:t>
      </w:r>
      <w:r w:rsidRPr="0038390C">
        <w:rPr>
          <w:rFonts w:cs="Times New Roman" w:eastAsiaTheme="minorEastAsia"/>
          <w:b/>
          <w:bCs/>
          <w:color w:val="000000"/>
          <w:u w:val="single"/>
          <w:lang w:eastAsia="ja-JP"/>
        </w:rPr>
        <w:t>sovereignty has taken a new form</w:t>
      </w:r>
      <w:r w:rsidRPr="00B974FD">
        <w:rPr>
          <w:rStyle w:val="StyleUnderline"/>
        </w:rPr>
        <w:t xml:space="preserve">, composed of a series of national and supranational organisms united under a single logic of rule. </w:t>
      </w:r>
      <w:r w:rsidRPr="0038390C">
        <w:rPr>
          <w:rFonts w:cs="Times New Roman" w:eastAsiaTheme="minorEastAsia"/>
          <w:b/>
          <w:bCs/>
          <w:color w:val="000000"/>
          <w:u w:val="single"/>
          <w:lang w:eastAsia="ja-JP"/>
        </w:rPr>
        <w:t>This new global form of sovereignty is what we call Empire</w:t>
      </w:r>
      <w:r w:rsidRPr="0038390C">
        <w:rPr>
          <w:rFonts w:cs="Times New Roman" w:eastAsiaTheme="minorEastAsia"/>
          <w:color w:val="000000"/>
          <w:sz w:val="16"/>
          <w:szCs w:val="16"/>
          <w:lang w:eastAsia="ja-JP"/>
        </w:rPr>
        <w:t xml:space="preserve">. </w:t>
      </w:r>
      <w:r w:rsidRPr="0038390C">
        <w:rPr>
          <w:rFonts w:cs="Times New Roman" w:eastAsiaTheme="minorEastAsia"/>
          <w:b/>
          <w:bCs/>
          <w:color w:val="000000"/>
          <w:u w:val="single"/>
          <w:lang w:eastAsia="ja-JP"/>
        </w:rPr>
        <w:t>The declining sovereignty of nation-states and their increasing inability to regulate economic and cultural exchanges is in fact one of the primary symptoms of the coming of Empire</w:t>
      </w:r>
      <w:r w:rsidRPr="0038390C">
        <w:rPr>
          <w:rFonts w:cs="Times New Roman" w:eastAsiaTheme="minorEastAsia"/>
          <w:color w:val="000000"/>
          <w:sz w:val="16"/>
          <w:szCs w:val="16"/>
          <w:lang w:eastAsia="ja-JP"/>
        </w:rPr>
        <w:t xml:space="preserve">. The sovereignty of the nation-state was the cornerstone of the imperialisms that European powers constructed throughout the modern era. By ‘‘Em- pire,’’ however, we understand something altogether different from ‘‘imperialism.’’ The boundaries defined by the modern system of nation-states were fundamental to European colonialism and eco- nomic expansion: the territorial boundaries of the nation delimited the center of power from which rule was exerted over external foreign territories through a system of channels and barriers that alternately facilitated and obstructed the flows of production and circulation. Imperialism was really an extension of the sovereignty of the European nation-states beyond their own boundaries. Even- tually nearly all the world’s territories could be parceled out and the entire world map could becoded in European colors: red for British territory, blue for French, green for Portuguese, and so forth. Wherever modern sovereignty took root, it constructed a Leviathan that overarched its social domain and imposed hierarchical territorial boundaries, both to police the purity of its own identity and to exclude all that was other. </w:t>
      </w:r>
      <w:r w:rsidRPr="00B974FD">
        <w:rPr>
          <w:rStyle w:val="StyleUnderline"/>
        </w:rPr>
        <w:t>The passage to Empire emerges from the twilight of modern sovereignty</w:t>
      </w:r>
      <w:r w:rsidRPr="0038390C">
        <w:rPr>
          <w:rFonts w:cs="Times New Roman" w:eastAsiaTheme="minorEastAsia"/>
          <w:color w:val="000000"/>
          <w:sz w:val="16"/>
          <w:szCs w:val="16"/>
          <w:lang w:eastAsia="ja-JP"/>
        </w:rPr>
        <w:t xml:space="preserve">. In contrast to imperialism, </w:t>
      </w:r>
      <w:r w:rsidRPr="0038390C">
        <w:rPr>
          <w:rFonts w:cs="Times New Roman" w:eastAsiaTheme="minorEastAsia"/>
          <w:b/>
          <w:bCs/>
          <w:color w:val="000000"/>
          <w:u w:val="single"/>
          <w:lang w:eastAsia="ja-JP"/>
        </w:rPr>
        <w:t xml:space="preserve">Empire establishes no terri- torial center of power and does not rely on fixed boundaries or barriers. It is a </w:t>
      </w:r>
      <w:r w:rsidRPr="0038390C">
        <w:rPr>
          <w:rFonts w:cs="Times New Roman" w:eastAsiaTheme="minorEastAsia"/>
          <w:b/>
          <w:bCs/>
          <w:i/>
          <w:iCs/>
          <w:color w:val="000000"/>
          <w:u w:val="single"/>
          <w:lang w:eastAsia="ja-JP"/>
        </w:rPr>
        <w:t xml:space="preserve">decentered </w:t>
      </w:r>
      <w:r w:rsidRPr="0038390C">
        <w:rPr>
          <w:rFonts w:cs="Times New Roman" w:eastAsiaTheme="minorEastAsia"/>
          <w:b/>
          <w:bCs/>
          <w:color w:val="000000"/>
          <w:u w:val="single"/>
          <w:lang w:eastAsia="ja-JP"/>
        </w:rPr>
        <w:t xml:space="preserve">and </w:t>
      </w:r>
      <w:r w:rsidRPr="0038390C">
        <w:rPr>
          <w:rFonts w:cs="Times New Roman" w:eastAsiaTheme="minorEastAsia"/>
          <w:b/>
          <w:bCs/>
          <w:i/>
          <w:iCs/>
          <w:color w:val="000000"/>
          <w:u w:val="single"/>
          <w:lang w:eastAsia="ja-JP"/>
        </w:rPr>
        <w:t xml:space="preserve">deterritorializing </w:t>
      </w:r>
      <w:r w:rsidRPr="0038390C">
        <w:rPr>
          <w:rFonts w:cs="Times New Roman" w:eastAsiaTheme="minorEastAsia"/>
          <w:b/>
          <w:bCs/>
          <w:color w:val="000000"/>
          <w:u w:val="single"/>
          <w:lang w:eastAsia="ja-JP"/>
        </w:rPr>
        <w:t xml:space="preserve">apparatus of rule that progressively </w:t>
      </w:r>
      <w:r w:rsidRPr="0038390C">
        <w:rPr>
          <w:rFonts w:cs="Times New Roman" w:eastAsiaTheme="minorEastAsia"/>
          <w:b/>
          <w:bCs/>
          <w:color w:val="000000"/>
          <w:u w:val="single"/>
          <w:lang w:eastAsia="ja-JP"/>
        </w:rPr>
        <w:lastRenderedPageBreak/>
        <w:t>incorporates the entire global realm within its open, expanding frontiers</w:t>
      </w:r>
      <w:r w:rsidRPr="00B974FD">
        <w:rPr>
          <w:rStyle w:val="StyleUnderline"/>
        </w:rPr>
        <w:t>. Empire manages hybrid identities, flexible hier- archies, and plural exchanges through modulating networks of command</w:t>
      </w:r>
      <w:r w:rsidRPr="0038390C">
        <w:rPr>
          <w:rFonts w:cs="Times New Roman" w:eastAsiaTheme="minorEastAsia"/>
          <w:color w:val="000000"/>
          <w:sz w:val="16"/>
          <w:szCs w:val="16"/>
          <w:lang w:eastAsia="ja-JP"/>
        </w:rPr>
        <w:t xml:space="preserve">. The distinct national colors of the imperialist map of the world have merged and blended in the imperial global rainbow. </w:t>
      </w:r>
      <w:r w:rsidRPr="00B974FD">
        <w:rPr>
          <w:rStyle w:val="StyleUnderline"/>
        </w:rPr>
        <w:t>The transformation of the modern imperialist geography of the globe and the realization of the world market signal a passage within the capitalist mode of production.</w:t>
      </w:r>
      <w:r w:rsidRPr="0038390C">
        <w:rPr>
          <w:rFonts w:cs="Times New Roman" w:eastAsiaTheme="minorEastAsia"/>
          <w:color w:val="000000"/>
          <w:sz w:val="16"/>
          <w:szCs w:val="16"/>
          <w:lang w:eastAsia="ja-JP"/>
        </w:rPr>
        <w:t xml:space="preserve"> Most significant, </w:t>
      </w:r>
      <w:r w:rsidRPr="00B974FD">
        <w:rPr>
          <w:rStyle w:val="StyleUnderline"/>
        </w:rPr>
        <w:t xml:space="preserve">the spatial divisions of the three Worlds (First, Second, and Third) have been scrambled so that we continually find the First World in the Third, the Third in the First, and the Second almost nowhere at all. </w:t>
      </w:r>
      <w:r w:rsidRPr="0038390C">
        <w:rPr>
          <w:rFonts w:cs="Times New Roman" w:eastAsiaTheme="minorEastAsia"/>
          <w:b/>
          <w:bCs/>
          <w:color w:val="000000"/>
          <w:u w:val="single"/>
          <w:lang w:eastAsia="ja-JP"/>
        </w:rPr>
        <w:t>Capital seems to be faced with a smooth world</w:t>
      </w:r>
      <w:r w:rsidRPr="00B974FD">
        <w:rPr>
          <w:rStyle w:val="StyleUnderline"/>
        </w:rPr>
        <w:t>—or really, a world defined by new and complex regimes of differentiation and homogenization, deterritorialization and reterritorialization</w:t>
      </w:r>
      <w:r w:rsidRPr="0038390C">
        <w:rPr>
          <w:rFonts w:cs="Times New Roman" w:eastAsiaTheme="minorEastAsia"/>
          <w:color w:val="000000"/>
          <w:sz w:val="16"/>
          <w:szCs w:val="16"/>
          <w:lang w:eastAsia="ja-JP"/>
        </w:rPr>
        <w:t xml:space="preserve">. The construction of the paths and limits of these new global flows has been accompanied by a transformation of the dominant productive processes themselves, with the result that the role of industrial factory labor has been reduced and priority given instead to communicative, cooperative, and affective labor. </w:t>
      </w:r>
      <w:r w:rsidRPr="00B974FD">
        <w:rPr>
          <w:rStyle w:val="StyleUnderline"/>
        </w:rPr>
        <w:t xml:space="preserve">In the postmodernization of the global economy, the creation of wealth tends ever more toward what we will call biopolitical production, the production of social life itself, in which the economic, the political, and the cultural increasingly overlap and invest one another. </w:t>
      </w:r>
      <w:r w:rsidRPr="0038390C">
        <w:rPr>
          <w:rFonts w:cs="Times New Roman" w:eastAsiaTheme="minorEastAsia"/>
          <w:color w:val="000000"/>
          <w:sz w:val="16"/>
          <w:szCs w:val="16"/>
          <w:lang w:eastAsia="ja-JP"/>
        </w:rPr>
        <w:t xml:space="preserve">Many locate the ultimate authority that rules over the processes of globalization and the new world order in the United States. Proponents praise the United States as the world leader and sole superpower, and detractors denounce it as an imperialist oppressor. Both these views rest on the assumption that the United States has simply donned the mantle of global power that the European nations have now let fall. If the nineteenth century was a British century, then the twentieth century has been an American century; or really, if modernity was European, then postmodernity is American. The most damning charge critics can level, then, is that the United States is repeating the practices of old European imperialists, while proponents celebrate the United States as a more efficient and more benevolent world leader, getting right what the Europeans got wrong. Our basic hypothesis, however, that </w:t>
      </w:r>
      <w:r w:rsidRPr="00B974FD">
        <w:rPr>
          <w:rStyle w:val="StyleUnderline"/>
        </w:rPr>
        <w:t>a new imperial form of sovereignty has emerged</w:t>
      </w:r>
      <w:r w:rsidRPr="0038390C">
        <w:rPr>
          <w:rFonts w:cs="Times New Roman" w:eastAsiaTheme="minorEastAsia"/>
          <w:color w:val="000000"/>
          <w:sz w:val="16"/>
          <w:szCs w:val="16"/>
          <w:lang w:eastAsia="ja-JP"/>
        </w:rPr>
        <w:t xml:space="preserve">, contradicts both these views. </w:t>
      </w:r>
      <w:r w:rsidRPr="0038390C">
        <w:rPr>
          <w:rFonts w:cs="Times New Roman" w:eastAsiaTheme="minorEastAsia"/>
          <w:i/>
          <w:iCs/>
          <w:color w:val="000000"/>
          <w:u w:val="single"/>
          <w:lang w:eastAsia="ja-JP"/>
        </w:rPr>
        <w:t xml:space="preserve">The United States does not, and indeed no nation-state can today, form the center of an imperialist project. </w:t>
      </w:r>
      <w:r w:rsidRPr="0038390C">
        <w:rPr>
          <w:rFonts w:cs="Times New Roman" w:eastAsiaTheme="minorEastAsia"/>
          <w:b/>
          <w:bCs/>
          <w:color w:val="000000"/>
          <w:u w:val="single"/>
          <w:lang w:eastAsia="ja-JP"/>
        </w:rPr>
        <w:t>Imperialism is over</w:t>
      </w:r>
      <w:r w:rsidRPr="00B974FD">
        <w:rPr>
          <w:rStyle w:val="StyleUnderline"/>
        </w:rPr>
        <w:t xml:space="preserve">. No nation will be world leader in the way modern European nations were. </w:t>
      </w:r>
      <w:r w:rsidRPr="0038390C">
        <w:rPr>
          <w:rFonts w:cs="Times New Roman" w:eastAsiaTheme="minorEastAsia"/>
          <w:color w:val="000000"/>
          <w:sz w:val="16"/>
          <w:szCs w:val="16"/>
          <w:lang w:eastAsia="ja-JP"/>
        </w:rPr>
        <w:t xml:space="preserve">The United States does indeed occupy a privileged position in Empire, but this privilege derives not from its similarities to the old European imperialist powers, but from its differences. These differences can be recognized most clearly by focusing on the prop- erly imperial (not imperialist) foundations of the United States constitution, where by ‘‘constitution’’ we mean both the </w:t>
      </w:r>
      <w:r w:rsidRPr="0038390C">
        <w:rPr>
          <w:rFonts w:cs="Times New Roman" w:eastAsiaTheme="minorEastAsia"/>
          <w:i/>
          <w:iCs/>
          <w:color w:val="000000"/>
          <w:sz w:val="16"/>
          <w:szCs w:val="16"/>
          <w:lang w:eastAsia="ja-JP"/>
        </w:rPr>
        <w:t xml:space="preserve">formal constitution, </w:t>
      </w:r>
      <w:r w:rsidRPr="0038390C">
        <w:rPr>
          <w:rFonts w:cs="Times New Roman" w:eastAsiaTheme="minorEastAsia"/>
          <w:color w:val="000000"/>
          <w:sz w:val="16"/>
          <w:szCs w:val="16"/>
          <w:lang w:eastAsia="ja-JP"/>
        </w:rPr>
        <w:t xml:space="preserve">the written document along with its various amend- ments and legal apparatuses, and the </w:t>
      </w:r>
      <w:r w:rsidRPr="0038390C">
        <w:rPr>
          <w:rFonts w:cs="Times New Roman" w:eastAsiaTheme="minorEastAsia"/>
          <w:i/>
          <w:iCs/>
          <w:color w:val="000000"/>
          <w:sz w:val="16"/>
          <w:szCs w:val="16"/>
          <w:lang w:eastAsia="ja-JP"/>
        </w:rPr>
        <w:t xml:space="preserve">material constitution, </w:t>
      </w:r>
      <w:r w:rsidRPr="0038390C">
        <w:rPr>
          <w:rFonts w:cs="Times New Roman" w:eastAsiaTheme="minorEastAsia"/>
          <w:color w:val="000000"/>
          <w:sz w:val="16"/>
          <w:szCs w:val="16"/>
          <w:lang w:eastAsia="ja-JP"/>
        </w:rPr>
        <w:t xml:space="preserve">that is, the continuous formation and re-formation of the composition of social forces. Thomas Jefferson, the authors of the </w:t>
      </w:r>
      <w:r w:rsidRPr="0038390C">
        <w:rPr>
          <w:rFonts w:cs="Times New Roman" w:eastAsiaTheme="minorEastAsia"/>
          <w:i/>
          <w:iCs/>
          <w:color w:val="000000"/>
          <w:sz w:val="16"/>
          <w:szCs w:val="16"/>
          <w:lang w:eastAsia="ja-JP"/>
        </w:rPr>
        <w:t xml:space="preserve">Federalist, </w:t>
      </w:r>
      <w:r w:rsidRPr="0038390C">
        <w:rPr>
          <w:rFonts w:cs="Times New Roman" w:eastAsiaTheme="minorEastAsia"/>
          <w:color w:val="000000"/>
          <w:sz w:val="16"/>
          <w:szCs w:val="16"/>
          <w:lang w:eastAsia="ja-JP"/>
        </w:rPr>
        <w:t xml:space="preserve">and the other ideological founders of the United States were all inspired by the ancient imperial model; they believed they were creating on the other side of the Atlantic a new Empire with open, expanding frontiers, where </w:t>
      </w:r>
      <w:r w:rsidRPr="00B974FD">
        <w:rPr>
          <w:rStyle w:val="StyleUnderline"/>
        </w:rPr>
        <w:t>power would be effectively distributed in networks</w:t>
      </w:r>
      <w:r w:rsidRPr="0038390C">
        <w:rPr>
          <w:rFonts w:cs="Times New Roman" w:eastAsiaTheme="minorEastAsia"/>
          <w:color w:val="000000"/>
          <w:sz w:val="16"/>
          <w:szCs w:val="16"/>
          <w:lang w:eastAsia="ja-JP"/>
        </w:rPr>
        <w:t xml:space="preserve">. This imperial idea has survived and matured throughout the history of the United States constitution and has emerged now on a global scale in its fully realized form. We should emphasize that we use ‘‘Empire’’ here not as a </w:t>
      </w:r>
      <w:r w:rsidRPr="0038390C">
        <w:rPr>
          <w:rFonts w:cs="Times New Roman" w:eastAsiaTheme="minorEastAsia"/>
          <w:i/>
          <w:iCs/>
          <w:color w:val="000000"/>
          <w:sz w:val="16"/>
          <w:szCs w:val="16"/>
          <w:lang w:eastAsia="ja-JP"/>
        </w:rPr>
        <w:t xml:space="preserve">metaphor, </w:t>
      </w:r>
      <w:r w:rsidRPr="0038390C">
        <w:rPr>
          <w:rFonts w:cs="Times New Roman" w:eastAsiaTheme="minorEastAsia"/>
          <w:color w:val="000000"/>
          <w:sz w:val="16"/>
          <w:szCs w:val="16"/>
          <w:lang w:eastAsia="ja-JP"/>
        </w:rPr>
        <w:t xml:space="preserve">which would require demonstration of the resemblances between today’s world order and the Empires of Rome, China, the Americas, and so forth, but rather as a </w:t>
      </w:r>
      <w:r w:rsidRPr="0038390C">
        <w:rPr>
          <w:rFonts w:cs="Times New Roman" w:eastAsiaTheme="minorEastAsia"/>
          <w:i/>
          <w:iCs/>
          <w:color w:val="000000"/>
          <w:sz w:val="16"/>
          <w:szCs w:val="16"/>
          <w:lang w:eastAsia="ja-JP"/>
        </w:rPr>
        <w:t xml:space="preserve">concept, </w:t>
      </w:r>
      <w:r w:rsidRPr="0038390C">
        <w:rPr>
          <w:rFonts w:cs="Times New Roman" w:eastAsiaTheme="minorEastAsia"/>
          <w:color w:val="000000"/>
          <w:sz w:val="16"/>
          <w:szCs w:val="16"/>
          <w:lang w:eastAsia="ja-JP"/>
        </w:rPr>
        <w:t xml:space="preserve">which calls primarily for a theoretical approach.2 </w:t>
      </w:r>
      <w:r w:rsidRPr="0038390C">
        <w:rPr>
          <w:rFonts w:cs="Times New Roman" w:eastAsiaTheme="minorEastAsia"/>
          <w:b/>
          <w:bCs/>
          <w:color w:val="000000"/>
          <w:u w:val="single"/>
          <w:lang w:eastAsia="ja-JP"/>
        </w:rPr>
        <w:t>The concept of Empire is characterized fundamentally by a lack of boundaries: Empire’s rule has no limits</w:t>
      </w:r>
      <w:r w:rsidRPr="0038390C">
        <w:rPr>
          <w:rFonts w:cs="Times New Roman" w:eastAsiaTheme="minorEastAsia"/>
          <w:color w:val="000000"/>
          <w:sz w:val="16"/>
          <w:szCs w:val="16"/>
          <w:lang w:eastAsia="ja-JP"/>
        </w:rPr>
        <w:t xml:space="preserve">. First and foremost, then, </w:t>
      </w:r>
      <w:r w:rsidRPr="00B974FD">
        <w:rPr>
          <w:rStyle w:val="StyleUnderline"/>
        </w:rPr>
        <w:t xml:space="preserve">the concept of Empire posits a regime that effectively encompasses the spatial totality, or really that rules over the entire ‘‘civilized’’ world. </w:t>
      </w:r>
      <w:r w:rsidRPr="0038390C">
        <w:rPr>
          <w:rFonts w:cs="Times New Roman" w:eastAsiaTheme="minorEastAsia"/>
          <w:b/>
          <w:bCs/>
          <w:color w:val="000000"/>
          <w:u w:val="single"/>
          <w:lang w:eastAsia="ja-JP"/>
        </w:rPr>
        <w:t>No territorial boundaries limit its reign</w:t>
      </w:r>
      <w:r w:rsidRPr="0038390C">
        <w:rPr>
          <w:rFonts w:cs="Times New Roman" w:eastAsiaTheme="minorEastAsia"/>
          <w:color w:val="000000"/>
          <w:sz w:val="16"/>
          <w:szCs w:val="16"/>
          <w:lang w:eastAsia="ja-JP"/>
        </w:rPr>
        <w:t xml:space="preserve">. Second, </w:t>
      </w:r>
      <w:r w:rsidRPr="00B974FD">
        <w:rPr>
          <w:rStyle w:val="StyleUnderline"/>
        </w:rPr>
        <w:t>the concept of Empire presents itself not as a historical regime originating in conquest, but rather as an order that effectively suspends history and thereby fixes the existing state of affairs for eternity. From the perspective of Empire, this is the way things will always be and the way they were always meant to be.</w:t>
      </w:r>
      <w:r w:rsidRPr="0038390C">
        <w:rPr>
          <w:rFonts w:cs="Times New Roman" w:eastAsiaTheme="minorEastAsia"/>
          <w:color w:val="000000"/>
          <w:sz w:val="16"/>
          <w:szCs w:val="16"/>
          <w:lang w:eastAsia="ja-JP"/>
        </w:rPr>
        <w:t xml:space="preserve"> In other words, </w:t>
      </w:r>
      <w:r w:rsidRPr="00B974FD">
        <w:rPr>
          <w:rStyle w:val="StyleUnderline"/>
        </w:rPr>
        <w:t>Empire presents its rule not as a transitory moment in the movement of history, but as a regime with no temporal boundaries and in this sense outside of history or at the end of history</w:t>
      </w:r>
      <w:r w:rsidRPr="0038390C">
        <w:rPr>
          <w:rFonts w:cs="Times New Roman" w:eastAsiaTheme="minorEastAsia"/>
          <w:color w:val="000000"/>
          <w:sz w:val="16"/>
          <w:szCs w:val="16"/>
          <w:lang w:eastAsia="ja-JP"/>
        </w:rPr>
        <w:t>. Third</w:t>
      </w:r>
      <w:r w:rsidRPr="00B974FD">
        <w:rPr>
          <w:rStyle w:val="StyleUnderline"/>
        </w:rPr>
        <w:t xml:space="preserve">, the rule of Empire operates on all registers of the social order extending down to the depths of the social world. Empire not only manages a territory and a population but also creates the very world it inhabits. It not only regulates human interactions but also seeks directly to rule over human nature. The object of its rule is social life in its entirety, and thus Empire presents the paradigmatic form of </w:t>
      </w:r>
      <w:r w:rsidRPr="0038390C">
        <w:rPr>
          <w:rFonts w:cs="Times New Roman" w:eastAsiaTheme="minorEastAsia"/>
          <w:b/>
          <w:bCs/>
          <w:color w:val="000000"/>
          <w:u w:val="single"/>
          <w:lang w:eastAsia="ja-JP"/>
        </w:rPr>
        <w:t>biopower</w:t>
      </w:r>
      <w:r w:rsidRPr="0038390C">
        <w:rPr>
          <w:rFonts w:cs="Times New Roman" w:eastAsiaTheme="minorEastAsia"/>
          <w:color w:val="000000"/>
          <w:sz w:val="16"/>
          <w:szCs w:val="16"/>
          <w:lang w:eastAsia="ja-JP"/>
        </w:rPr>
        <w:t xml:space="preserve">. Finally, </w:t>
      </w:r>
      <w:r w:rsidRPr="00B974FD">
        <w:rPr>
          <w:rStyle w:val="StyleUnderline"/>
        </w:rPr>
        <w:t>although the practice of Empire is continually bathed in blood, the concept of Empire is always dedicated to peace—a perpetual and universal peace out- side of history.</w:t>
      </w:r>
      <w:r>
        <w:rPr>
          <w:rFonts w:ascii="Times" w:hAnsi="Times" w:cs="Times New Roman" w:eastAsiaTheme="minorEastAsia"/>
          <w:sz w:val="20"/>
          <w:szCs w:val="20"/>
          <w:lang w:eastAsia="ja-JP"/>
        </w:rPr>
        <w:t xml:space="preserve"> </w:t>
      </w:r>
      <w:r w:rsidRPr="00590E18">
        <w:rPr>
          <w:rFonts w:cs="Times New Roman" w:eastAsiaTheme="minorEastAsia"/>
          <w:b/>
          <w:bCs/>
          <w:color w:val="000000"/>
          <w:u w:val="single"/>
          <w:lang w:eastAsia="ja-JP"/>
        </w:rPr>
        <w:t>The Empire we are faced with wields enormous powers of oppression and destruction</w:t>
      </w:r>
      <w:r w:rsidRPr="00B974FD">
        <w:rPr>
          <w:rStyle w:val="StyleUnderline"/>
        </w:rPr>
        <w:t xml:space="preserve">, but that fact should not make us nostal- gic in any way for the old forms of domination. The passage to Empire and its processes of globalization offer new </w:t>
      </w:r>
      <w:r w:rsidRPr="00B974FD">
        <w:rPr>
          <w:rStyle w:val="StyleUnderline"/>
        </w:rPr>
        <w:lastRenderedPageBreak/>
        <w:t>possibilities to the forces of liberation</w:t>
      </w:r>
      <w:r w:rsidRPr="00590E18">
        <w:rPr>
          <w:rFonts w:cs="Times New Roman" w:eastAsiaTheme="minorEastAsia"/>
          <w:color w:val="000000"/>
          <w:sz w:val="16"/>
          <w:szCs w:val="16"/>
          <w:lang w:eastAsia="ja-JP"/>
        </w:rPr>
        <w:t xml:space="preserve">. </w:t>
      </w:r>
      <w:r w:rsidRPr="00B974FD">
        <w:rPr>
          <w:rStyle w:val="StyleUnderline"/>
        </w:rPr>
        <w:t>Globalization</w:t>
      </w:r>
      <w:r w:rsidRPr="00590E18">
        <w:rPr>
          <w:rFonts w:cs="Times New Roman" w:eastAsiaTheme="minorEastAsia"/>
          <w:color w:val="000000"/>
          <w:sz w:val="16"/>
          <w:szCs w:val="16"/>
          <w:lang w:eastAsia="ja-JP"/>
        </w:rPr>
        <w:t xml:space="preserve">, of course, </w:t>
      </w:r>
      <w:r w:rsidRPr="00B974FD">
        <w:rPr>
          <w:rStyle w:val="StyleUnderline"/>
        </w:rPr>
        <w:t>is not one thing, and the multiple processes that we recognize as globalization are not unified or univocal. Our political task</w:t>
      </w:r>
      <w:r w:rsidRPr="00590E18">
        <w:rPr>
          <w:rFonts w:cs="Times New Roman" w:eastAsiaTheme="minorEastAsia"/>
          <w:color w:val="000000"/>
          <w:sz w:val="16"/>
          <w:szCs w:val="16"/>
          <w:lang w:eastAsia="ja-JP"/>
        </w:rPr>
        <w:t xml:space="preserve">, we will argue, </w:t>
      </w:r>
      <w:r w:rsidRPr="00B974FD">
        <w:rPr>
          <w:rStyle w:val="StyleUnderline"/>
        </w:rPr>
        <w:t xml:space="preserve">is not simply to resist these processes but to reorganize them and redirect them toward new ends. The creative forces of the multitude that sustain Empire are also capable of autonomously constructing a </w:t>
      </w:r>
      <w:r w:rsidRPr="00590E18">
        <w:rPr>
          <w:rFonts w:cs="Times New Roman" w:eastAsiaTheme="minorEastAsia"/>
          <w:b/>
          <w:bCs/>
          <w:color w:val="000000"/>
          <w:u w:val="single"/>
          <w:lang w:eastAsia="ja-JP"/>
        </w:rPr>
        <w:t>counter-Empire</w:t>
      </w:r>
      <w:r w:rsidRPr="00B974FD">
        <w:rPr>
          <w:rStyle w:val="StyleUnderline"/>
        </w:rPr>
        <w:t xml:space="preserve">, an alternative political organization of global flows and exchanges. The struggles to contest and subvert Empire, as well as those to construct a real alternative, will thus take place on the imperial terrain itself—indeed, such </w:t>
      </w:r>
      <w:r w:rsidRPr="00590E18">
        <w:rPr>
          <w:rFonts w:cs="Times New Roman" w:eastAsiaTheme="minorEastAsia"/>
          <w:b/>
          <w:bCs/>
          <w:color w:val="000000"/>
          <w:u w:val="single"/>
          <w:lang w:eastAsia="ja-JP"/>
        </w:rPr>
        <w:t>new struggles have already begun to emerge</w:t>
      </w:r>
      <w:r w:rsidRPr="00B974FD">
        <w:rPr>
          <w:rStyle w:val="StyleUnderline"/>
        </w:rPr>
        <w:t xml:space="preserve">. Through these struggles and many more like them, the multitude will have to invent new democratic forms and a new constituent power that will one day take us through and beyond Empire. </w:t>
      </w:r>
      <w:r w:rsidRPr="00590E18">
        <w:rPr>
          <w:rFonts w:cs="Times New Roman" w:eastAsiaTheme="minorEastAsia"/>
          <w:color w:val="000000"/>
          <w:sz w:val="16"/>
          <w:szCs w:val="16"/>
          <w:lang w:eastAsia="ja-JP"/>
        </w:rPr>
        <w:t xml:space="preserve">The genealogy we follow in our analysis of the passage from imperialism to Empire will be first European and then Euro- American, not because we believe that these regions are the exclu- sive or privileged source of new ideas and historical innovation, but simply because this was the dominant geographical path along which the concepts and practices that animate today’s </w:t>
      </w:r>
      <w:r w:rsidRPr="00B974FD">
        <w:rPr>
          <w:rStyle w:val="StyleUnderline"/>
        </w:rPr>
        <w:t xml:space="preserve">Empire devel- oped—in step, as we will argue, with the development of the capitalist mode of production.3 Whereas the genealogy of Empire is in this sense Eurocentric, however, its present powers are not limited to any region. Logics of rule that in some sense originated in Europe and the United States now invest practices of domination throughout the globe. More important, the forces that contest Empire and effectively prefigure an alternative global society are themselves not limited to any geographical region. </w:t>
      </w:r>
      <w:r w:rsidRPr="00590E18">
        <w:rPr>
          <w:rFonts w:cs="Times New Roman" w:eastAsiaTheme="minorEastAsia"/>
          <w:b/>
          <w:bCs/>
          <w:color w:val="000000"/>
          <w:u w:val="single"/>
          <w:lang w:eastAsia="ja-JP"/>
        </w:rPr>
        <w:t>The geography of these alternative powers, the new cartography, is still waiting to be written—or really, it is being written today through the resistances, struggles, and desires of the multitude.</w:t>
      </w:r>
    </w:p>
    <w:p xmlns:wp14="http://schemas.microsoft.com/office/word/2010/wordml" w:rsidRPr="007434D0" w:rsidR="00507555" w:rsidP="00507555" w:rsidRDefault="00507555" w14:paraId="2AC57CB0" wp14:textId="77777777"/>
    <w:p xmlns:wp14="http://schemas.microsoft.com/office/word/2010/wordml" w:rsidRPr="007434D0" w:rsidR="00507555" w:rsidP="00507555" w:rsidRDefault="00507555" w14:paraId="118423D9" wp14:textId="77777777">
      <w:pPr>
        <w:pStyle w:val="Heading4"/>
      </w:pPr>
      <w:r w:rsidRPr="007434D0">
        <w:t>US imperialism can be explained only as open territory to be conquered, not borders limiting movement. Absent this analysis, the US war machine will continue from its imperial history through to the imperial projects of the future.</w:t>
      </w:r>
    </w:p>
    <w:p xmlns:wp14="http://schemas.microsoft.com/office/word/2010/wordml" w:rsidRPr="007434D0" w:rsidR="00507555" w:rsidP="00507555" w:rsidRDefault="00507555" w14:paraId="7AA3F4FD" wp14:textId="77777777">
      <w:pPr>
        <w:rPr>
          <w:sz w:val="16"/>
        </w:rPr>
      </w:pPr>
      <w:r w:rsidRPr="007434D0">
        <w:rPr>
          <w:rStyle w:val="Style13ptBold"/>
        </w:rPr>
        <w:t>Hardt and Negri 00</w:t>
      </w:r>
      <w:r w:rsidRPr="007434D0">
        <w:rPr>
          <w:sz w:val="16"/>
        </w:rPr>
        <w:t xml:space="preserve"> (Michael, American literary theorist and political philosopher, best known for his book Empire, which was co-written with Antonio, Italian Marxist sociologist and political philosopher, best known for his co-authorship of Empire and secondarily for his work on Spinoza, Empire, 164-182, Harvard University Press, 2000) //jd</w:t>
      </w:r>
    </w:p>
    <w:p xmlns:wp14="http://schemas.microsoft.com/office/word/2010/wordml" w:rsidRPr="00E64250" w:rsidR="00507555" w:rsidP="00507555" w:rsidRDefault="00507555" w14:paraId="4C2AF3D8" wp14:textId="77777777">
      <w:pPr>
        <w:rPr>
          <w:rStyle w:val="StyleUnderline"/>
        </w:rPr>
      </w:pPr>
      <w:r w:rsidRPr="00C8473F">
        <w:rPr>
          <w:sz w:val="16"/>
        </w:rPr>
        <w:t xml:space="preserve">Extensive Empire Before moving on to analyze how in the course of U.S. history this new principle of sovereignty developed and was transformed, let us concentrate our attention for a moment on the nature of the concept itself. </w:t>
      </w:r>
      <w:r w:rsidRPr="00B974FD">
        <w:rPr>
          <w:rStyle w:val="StyleUnderline"/>
        </w:rPr>
        <w:t>The first characteristic of the U.S. notion of sovereignty is that it poses an idea of the immanence of power in opposition to the transcendent character of modern European sovereignty. This idea of immanence is based on an idea of produc- tivity. If it were not, the principle would be impotent: in immanence alone, nothing allows society to become political. The multitude that constitutes society is productive. U.S. sovereignty does not consist, then, in the regulation of the multitude but arises, rather, as the result of the productive synergies of the multitude</w:t>
      </w:r>
      <w:r w:rsidRPr="00C8473F">
        <w:rPr>
          <w:sz w:val="16"/>
        </w:rPr>
        <w:t xml:space="preserve">. The humanist revolution of the Renaissance and the subsequent experi- ences of sectarian Protestantism all developed this idea of productiv- ity. In line with the Protestant ethic, one might say that only the productive power of the multitude demonstrates the existence of God and the presence of divinity on earth.8 Power is not something that lords over us but something that we make. </w:t>
      </w:r>
      <w:r w:rsidRPr="00B974FD">
        <w:rPr>
          <w:rStyle w:val="StyleUnderline"/>
        </w:rPr>
        <w:t xml:space="preserve">The American Declaration of Independence celebrates this new idea of power in the clearest terms. The emancipation of humanity from every transcendent power is grounded on the multitude’s power to con- struct its own political institutions and constitute society. </w:t>
      </w:r>
      <w:r w:rsidRPr="00C8473F">
        <w:rPr>
          <w:sz w:val="16"/>
        </w:rPr>
        <w:t xml:space="preserve">This principle of constituent production, however, yields to orisexplainedbyaprocedureofself-reflectioninakindofdialectical ballet. </w:t>
      </w:r>
      <w:r w:rsidRPr="00B974FD">
        <w:rPr>
          <w:rStyle w:val="StyleUnderline"/>
        </w:rPr>
        <w:t xml:space="preserve">This is the second characteristic of the U.S. notion of sover- eignty. In the process of the constitution of sovereignty on the plane of immanence, there also arises an experience of finitude that results from the conflictive and plural </w:t>
      </w:r>
      <w:r w:rsidRPr="00B974FD">
        <w:rPr>
          <w:rStyle w:val="StyleUnderline"/>
        </w:rPr>
        <w:lastRenderedPageBreak/>
        <w:t>nature of the multitude itself. The new principle of sovereignty seems to produce its own internal limit. To prevent these obstacles from disrupting order and com- pletely emptying out the project, sovereign power</w:t>
      </w:r>
      <w:r w:rsidRPr="00C8473F">
        <w:rPr>
          <w:sz w:val="16"/>
        </w:rPr>
        <w:t xml:space="preserve"> must rely on the exercise of control. In other words, after the first moment of affirmation comes a dialectical negation of the constituent power of the multitude that preserves the teleology of the project of sovereignty. Are we thus faced with a point of crisis in the elabora- tion of the new concept? Does transcendence, first refused in the definitionofthesourceofpower,returnthroughthebackdoor intheexerciseofpower,whenthemultitudeisposedasfiniteand thus demanding special instruments of correction and control? That outcome is a constant threat, but after having recognized these internal limits, the new U.S. concept of sovereignty opens with extraordinary force toward the outside, almost as if it wanted to banish the idea of control and the moment of reflection from its own Constitution. </w:t>
      </w:r>
      <w:r w:rsidRPr="00E64250">
        <w:rPr>
          <w:rStyle w:val="StyleUnderline"/>
        </w:rPr>
        <w:t xml:space="preserve">The third characteristic of this notion of sovereignty is its tendency toward an open, expansive project oper- ating on an unbounded terrain. Although the text of the U.S. Con- stitution is extremely attentive to the self-reflective moment, the life and exercise of the Constitution are instead, throughout their jurisprudential and political history, decidedly open to expansive movements, to the renewed declaration of the democratic foundation of power. The principle of expansion continually struggles against the forces of limitation and control.9 </w:t>
      </w:r>
      <w:r w:rsidRPr="00B974FD">
        <w:rPr>
          <w:rStyle w:val="StyleUnderline"/>
        </w:rPr>
        <w:t xml:space="preserve">It is striking how strongly this American experiment resembles the ancient constitutional experience, and specifically the political theory inspired by imperial Rome! In that tradition the conflict between limit and expansion was always resolved in favor of expan- sion. Machiavelli defined as expansive those republics whose demo- cratic foundations led to both the continuous production of conflicts and the appropriation of new territories. </w:t>
      </w:r>
      <w:r w:rsidRPr="00C8473F">
        <w:rPr>
          <w:sz w:val="16"/>
        </w:rPr>
        <w:t xml:space="preserve">Polybius conceived expan- siveness as the reward for the perfect synthesis of the three forms of government, because the eminent form of such a power encour- ages the democratic pressure of the multitude to surpass every limit and every control. Without expansion the republic constantly risks being absorbed into the cycle of corruption.10 This democratic expansive tendency implicit in the notion of network power must be distinguished from other, purely expansion- ist and imperialist forms of expansion. </w:t>
      </w:r>
      <w:r w:rsidRPr="00E64250">
        <w:rPr>
          <w:rStyle w:val="StyleUnderline"/>
        </w:rPr>
        <w:t xml:space="preserve">The fundamental difference is that the expansiveness of the immanent concept of sovereignty is inclusive, not exclusive. In other words, when it expands, this new sovereignty does not annex or destroy the other powers it faces but on the contrary opens itself to them, including them in the network. What opens is the basis of consensus, and thus, through the constitutive network of powers and counterpowers, the entire sovereign body is continually reformed. Precisely because of this expansive tendency, the new concept of sovereignty is pro- foundly reformist.11 </w:t>
      </w:r>
      <w:r w:rsidRPr="00C8473F">
        <w:rPr>
          <w:sz w:val="16"/>
        </w:rPr>
        <w:t xml:space="preserve">We can now distinguish clearly the expansive tendency of the democratic republic from the expansionism of the transcendent sover- eigns—or from, because this is primarily what is at issue, the expan- sionism of modern nation-states. </w:t>
      </w:r>
      <w:r w:rsidRPr="00B974FD">
        <w:rPr>
          <w:rStyle w:val="StyleUnderline"/>
        </w:rPr>
        <w:t>The idea of sovereignty as an expansive power in networks is poised on the hinge that links the principle of a democratic republic to the idea of Empire. Empire can only be conceived as a universal republic, a network of powers and counterpowers structured in a boundless and inclusive architec- ture. This imperial expansion has nothing to do with imperialism, nor with those state organisms designed for conquest, pillage, genocide, colonization, and slavery. Against such imperialisms, Empire extends and consolidates the model of network power</w:t>
      </w:r>
      <w:r w:rsidRPr="00C8473F">
        <w:rPr>
          <w:sz w:val="16"/>
        </w:rPr>
        <w:t xml:space="preserve">. Certainly, when we consider these imperial processes historically (and we will soonfocusontheminU.S.history),weseeclearlythattheexpansive momentsofEmpirehavebeenbathedintearsandblood,but this ignoble history does not negate the difference between the two concepts. </w:t>
      </w:r>
      <w:r w:rsidRPr="00E64250">
        <w:rPr>
          <w:rStyle w:val="StyleUnderline"/>
        </w:rPr>
        <w:t xml:space="preserve">Perhaps the fundamental characteristic of imperial sovereignty is that its space is always open. As we saw in earlier sections, the modern sovereignty that developed in Europe from the sixteenth century onward conceived space as bounded, and its boundaries were always policed by the sovereign administration. Modern sover- eignty resides precisely on the limit. In the imperial conception, by contrast, power finds the logics of its order always renewed and always re-created in expansion. This definition of imperial power raises numerous paradoxes: the indifference of the subjects coupled with the singularization of productive networks; the open and ex- pansive space of Empire together with its continuous reterritorializa- </w:t>
      </w:r>
      <w:r w:rsidRPr="00E64250">
        <w:rPr>
          <w:rStyle w:val="StyleUnderline"/>
        </w:rPr>
        <w:lastRenderedPageBreak/>
        <w:t xml:space="preserve">tions; and so forth. The idea of an Empire that is also a democratic republic, however, is formed precisely by linking and combining the extreme terms of these paradoxes. The tension of these conceptual paradoxes will run throughout the articulation and establishment of imperial sovereignty in practice. </w:t>
      </w:r>
      <w:r w:rsidRPr="00C8473F">
        <w:rPr>
          <w:sz w:val="16"/>
        </w:rPr>
        <w:t xml:space="preserve">Finally, we should note that an idea of peace is at the basis of the development and expansion of Empire. This is an immanent idea of peace that is dramatically opposed to the transcendent idea of peace, that is, the peace that only the transcendent sovereign canimposeonasocietywhosenatureisdefinedbywar.Here,on the contrary, nature is peace. Virgil gives us perhaps the highest expressionofthisRomanpeace:‘‘Thefinalagethattheoracle foretold has arrived; / The great order of the centuries is born again.’’ 12 Open Frontiers </w:t>
      </w:r>
      <w:r w:rsidRPr="00B974FD">
        <w:rPr>
          <w:rStyle w:val="StyleUnderline"/>
        </w:rPr>
        <w:t>The realization of the imperial notion of sovereignty was a long process that developed through the different phases of U.S. constitutional history. As a written document, of course, the U.S. Constitu- tion has remained more or less unchanged (except for a few ex- tremely important amendments), but the Constitution should also be understood as a material regime of juridical interpretation and practice that is exercised not only by jurists and judges but also by subjects throughout the society.</w:t>
      </w:r>
      <w:r w:rsidRPr="00C8473F">
        <w:rPr>
          <w:sz w:val="16"/>
        </w:rPr>
        <w:t xml:space="preserve"> This material, social constitution has indeed changed radically since the founding of the republic. U.S. constitutional history, in fact, should be divided into four distinct phases or regimes.13 A first phase extends from the Declara- tion of Independence to the Civil War and Reconstruction; a second, extremely contradictory, phase corresponds to the Progres- sive era, straddling the turn of the century, from the imperialist doctrine of Theodore Roosevelt to Woodrow Wilson’s interna- tional reformism; a third phase moves from the New Deal and the Second World War through the height of the cold war; and finally, a fourth phase is inaugurated with the social movements of the 1960s and continues through the dissolution of the Soviet Union and itsEasternEuropeanbloc.EachofthesephasesofU.S.constitutional historymarksasteptowardtherealizationofimperialsovereignty. In the first phase of the Constitution, between the presidencies of Thomas Jefferson and Andrew Jackson, the open space of the frontier became the conceptual terrain of republican democracy: this opening afforded the Constitution its first strong definition</w:t>
      </w:r>
      <w:r w:rsidRPr="00B974FD">
        <w:rPr>
          <w:rStyle w:val="StyleUnderline"/>
        </w:rPr>
        <w:t>. The declarations of freedom made sense in a space where the constitution of the state was seen as an open process, a collective self-making.1</w:t>
      </w:r>
      <w:r w:rsidRPr="00C8473F">
        <w:rPr>
          <w:sz w:val="16"/>
        </w:rPr>
        <w:t xml:space="preserve">4 Mostimportant,thisAmericanterrainwasfreeof the forms of centralization and hierarchy typical of Europe. Tocque- ville and Marx, from opposite perspectives, agree on this point: Americancivilsocietydoesnotdevelopwithintheheavyshackles of feudal and aristocratic power but starts off from a separate and very different foundation.15 An ancient dream seems newly possible. An unbounded territory is open to the desire (cupiditas) of humanity, and this humanity can thus avoid the crisis of the relationship betweenvirtue(virtus)andfortune(fortuna)thathadambushedand derailed the humanist and democratic revolution in Europe. </w:t>
      </w:r>
      <w:r w:rsidRPr="00B974FD">
        <w:rPr>
          <w:rStyle w:val="StyleUnderline"/>
        </w:rPr>
        <w:t xml:space="preserve">From the perspective of the new United States, the obstacles to human development are posed by nature, not history—and nature does not present insuperable antagonisms or fixed social relationships. It is a terrain to transform and traverse. </w:t>
      </w:r>
      <w:r w:rsidRPr="00E64250">
        <w:rPr>
          <w:rStyle w:val="StyleUnderline"/>
        </w:rPr>
        <w:t>Already in this first phase, then, a new principle of sovereignty is affirmed, different from the European one: liberty is made sover- eign and sovereignty is defined as radically democratic within an open and continuous process of expansion. The frontier is a frontier of liberty. How hollow the rhetoric of the Federalists would have been and how inadequate their own ‘‘new political science’’ had they not presupposed this vast and mobile threshold of the frontier! The very idea of scarcity that—like the idea of war—had been at the center of the European concept of modern sovereignty is a priori stripped away from the constitutive processes of the American experience. Jefferson and Jackson both understood the materiality of the frontier and recognized it as the basis that supported the expansiveness of democracy.16 Liberty and the frontier stand in a relationship of reciprocal implication: every difficulty, every limit of liberty is an obstacle to overcome, a threshold to pass through</w:t>
      </w:r>
      <w:r w:rsidRPr="00C8473F">
        <w:rPr>
          <w:sz w:val="16"/>
        </w:rPr>
        <w:t xml:space="preserve">. From the Atlantic to the Pacific extended a terrain of wealth and freedom, constantly open to new lines of flight. In this framework there is at least a partial displacement or resolution of that ambiguous dialecticwesawdevelopingwithintheAmericanConstitution that subordinated the immanent principles of the Declaration of Independence to a transcendent order of constitutional self- reflection. Across the great open spaces the constituent tendency wins out over the constitutional decree, the tendency of the imma- nence of the principle over regulative reflection, and the initiative of the multitude over the centralization of power. </w:t>
      </w:r>
      <w:r w:rsidRPr="00E64250">
        <w:rPr>
          <w:rStyle w:val="StyleUnderline"/>
        </w:rPr>
        <w:t xml:space="preserve">This utopia of open spaces that plays such an important role in the first phase of American constitutional history, however, al- ready hides ingenuously a brutal form of subordination. The North American terrain can be imagined </w:t>
      </w:r>
      <w:r w:rsidRPr="00E64250">
        <w:rPr>
          <w:rStyle w:val="StyleUnderline"/>
        </w:rPr>
        <w:lastRenderedPageBreak/>
        <w:t>as empty only by willfully ignor- ing the existence of the Native Americans—or really conceiving them as a different order of human being, as subhuman, part of the natural environment. Just as the land must be cleared of trees and rocks in order to farm it, so too the terrain must be cleared of the native inhabitants. Just as the frontier people must gird themselves against the severe winters, so too they must arm themselves against the indigenous populations. Native Americans were regarded as merely a particularly thorny element of nature, and a continuous war was aimed at their expulsion and/or elimination. Here we are faced with a contradiction that could not be absorbed within the constitutional machine: the Native Americans could not be inte- grated in the expansive movement of the frontier as part of the constitutional tendency; rather, they had to be excluded from the terrain to open its spaces and make expansion possible. If they had been recognized, there would have been no real frontier on the continent and no open spaces to fill</w:t>
      </w:r>
      <w:r w:rsidRPr="00C8473F">
        <w:rPr>
          <w:sz w:val="16"/>
        </w:rPr>
        <w:t xml:space="preserve">. They existed outside the Constitution as its negative foundation: in other words, their exclu- sion and elimination were essential conditions of the functioning of the Constitution itself. This contradiction may not even properly be conceived as a crisis since Native Americans are so dramatically excluded from and external to the workings of the constitutional ma- chine. In this first phase that runs from the founding of the democratic republic to the Civil War, the constitutional dynamic did go into crisis as a result of an internal contradiction. </w:t>
      </w:r>
      <w:r w:rsidRPr="00B974FD">
        <w:rPr>
          <w:rStyle w:val="StyleUnderline"/>
        </w:rPr>
        <w:t>Whereas Native Ameri- cans were cast outside the Constitution, African Americans were from the beginning posed within it. The conception of frontier and the idea and practice of an open space of democracy were in fact woven together with an equally open and dynamic concept of people, multitude, and gens. The republican people is a new people, a people in exodus populating the empty (or emptied) new territories. From the beginning, American space was not only an extensive, unbounded space but also an intensive space: a space of crossings, a ‘‘melting pot’’ of continuous hybridization. The first real crisis of American liberty was determined on this internal, intensive space. Black slavery, a practice inherited from the colonial powers, was an insurmountable barrier to the formation of a free people. The great American anticolonial constitution had to integrate this para- digmatic colonial institution at its very heart. Native Americans could be excluded because the new republic did not depend on their labor, but black labor was an essential support of the new United States: African Americans had to be included in the Constitution but could not be included equally. (Women, of course, occupied a very similar position.)</w:t>
      </w:r>
      <w:r w:rsidRPr="00C8473F">
        <w:rPr>
          <w:sz w:val="16"/>
        </w:rPr>
        <w:t xml:space="preserve"> The Southern constitutionalists had no trouble demonstrating that the Constitution, in its dialectical, self- reflective, and ‘‘federalist’’ moment, permitted, and even demanded, this perverse interpretation of the social division of labor that ran completelycountertotheaffirmationofequalityexpressedinthe Declaration of Independence. </w:t>
      </w:r>
      <w:r w:rsidRPr="00B974FD">
        <w:rPr>
          <w:rStyle w:val="StyleUnderline"/>
        </w:rPr>
        <w:t>The delicate nature of this contradiction is indicated by the bizarre compromise in the drafting of the Constitution, arrived at only through tortuous negotiation, whereby the slave population does count in the determination of the number of representatives for each state in the House of Representatives, but at a ratio whereby one slave equals three-fifths of a free person</w:t>
      </w:r>
      <w:r w:rsidRPr="00C8473F">
        <w:rPr>
          <w:sz w:val="16"/>
        </w:rPr>
        <w:t xml:space="preserve">. (Southern states fought to make this ratio as high as possible to increase their congressional power, and Northerners fought to lower it.) The constitutionalists wereforcedineffecttoquantifytheconstitutionalvalueofdifferent races. The framers thus declared that the number of representatives ‘‘shall be determined by adding to the whole Number of free Persons, including those bound to Service for a Term of Years, and excluding Indians not taxed, three fifths of all other persons.’’17 One for white and zero for Native Americans poses relatively little problem, but three fifths is a very awkward number for a Constitu- tion. African American slaves could be neither completely included nor entirely excluded. </w:t>
      </w:r>
      <w:r w:rsidRPr="00E64250">
        <w:rPr>
          <w:rStyle w:val="StyleUnderline"/>
        </w:rPr>
        <w:t xml:space="preserve">Black slavery was paradoxically both an exception to and a foundation of the Constitution. </w:t>
      </w:r>
      <w:r w:rsidRPr="00B974FD">
        <w:rPr>
          <w:rStyle w:val="StyleUnderline"/>
        </w:rPr>
        <w:t xml:space="preserve">This contradiction posed a crisis for the newly developed U.S. notion of sovereignty because it blocked the free circulation, mixing, and equality that animate its foundation.18 Imperial sovereignty must always overcome barriers and boundaries both within its domain and at the frontiers. This continuous overcoming is what makes the imperial space open. The enormous internal barriers between black and white, free and slave, blocked the imperial integration </w:t>
      </w:r>
      <w:r w:rsidRPr="00B974FD">
        <w:rPr>
          <w:rStyle w:val="StyleUnderline"/>
        </w:rPr>
        <w:lastRenderedPageBreak/>
        <w:t xml:space="preserve">machine and deflated the ideological pretense to open spaces. </w:t>
      </w:r>
      <w:r w:rsidRPr="00C8473F">
        <w:rPr>
          <w:sz w:val="16"/>
        </w:rPr>
        <w:t xml:space="preserve">Abraham Lincoln was certainly right when, conducting the Civil War, he thought of himself as refounding the nation. The passage of the Fourteenth Amendment inaugurated more than a century of juridical struggles over civil rights and African American equality. Furthermore, the debate over slavery was inextricably tied to the debates over the new territories. What was in play was a redefinition of the space of the nation. </w:t>
      </w:r>
      <w:r w:rsidRPr="00E64250">
        <w:rPr>
          <w:rStyle w:val="StyleUnderline"/>
        </w:rPr>
        <w:t xml:space="preserve">At stake was the question whether the free exodus of the multitude, unified in a plural com- munity, could continue to develop, perfect itself, and realize a new configuration of public space. The new democracy had to destroy the transcendental idea of the nation with all its racial divisions and create its own people, defined not by old heritages but by a new ethics of the construction and expansion of the community. The new nation could not but be the product of the political and cultural management of hybrid identities. </w:t>
      </w:r>
      <w:r w:rsidRPr="00C8473F">
        <w:rPr>
          <w:sz w:val="16"/>
        </w:rPr>
        <w:t xml:space="preserve">The Closure of Imperial Space ThegreatopenAmericanspaceseventuallyranout. </w:t>
      </w:r>
      <w:r w:rsidRPr="00B974FD">
        <w:rPr>
          <w:rStyle w:val="StyleUnderline"/>
        </w:rPr>
        <w:t>Even pushing Native Americans farther and farther away, into smaller and smaller confines, was not enough. In the nineteenth and twentieth centu- ries, American liberty, its new model of network power, and its alternative conception to modern sovereignty all ran up against the recognition that open terrain was limited. The development of the U.S. Constitution would be from this moment on constantly poised on a contradictory border.</w:t>
      </w:r>
      <w:r w:rsidRPr="00C8473F">
        <w:rPr>
          <w:sz w:val="16"/>
        </w:rPr>
        <w:t xml:space="preserve"> Every time the expansiveness of the constitutional project ran up against its limits, the republic was tempted to engage in a European-style imperialism. There was always, however, another option: to return to the project of imperial sovereignty and articulate it in a way consistent with the original ‘‘Roman’’ mission of the United States. This new drama of the U.S.politicalprojectwasplayedoutintheProgressiveera,from the 1890s to the First World War. </w:t>
      </w:r>
      <w:r w:rsidRPr="00B974FD">
        <w:rPr>
          <w:rStyle w:val="StyleUnderline"/>
        </w:rPr>
        <w:t>This was the same period in which class struggle rose to center stage in the United States. Class struggle posed the problem of scarcity, not in absolute terms, but in terms proper to the history of capitalism: that is, as the inequity of the division of the goods of development along the lines of the social division of labor. Class division emerged as a limit that threatened to destabilize the expansive equilibria of the constitution. At the same time, capital’s great trusts began to organize new forms of financial power, delink- ing wealth from productivity and money from the relations of production.</w:t>
      </w:r>
      <w:r w:rsidRPr="00C8473F">
        <w:rPr>
          <w:sz w:val="16"/>
        </w:rPr>
        <w:t xml:space="preserve"> Whereas in Europe this was experienced as a relatively continuous development—because finance capital was built on the social position of land rent and the aristocracy—in the United States itwasanexplosiveevent.Itjeopardizedtheverypossibilityofa constitutioninnetwork,becausewhenapowerbecomesmonopo- listic, the network itself is destroyed. </w:t>
      </w:r>
      <w:r w:rsidRPr="00B974FD">
        <w:rPr>
          <w:rStyle w:val="StyleUnderline"/>
        </w:rPr>
        <w:t xml:space="preserve">Since the expansion of space was no longer possible and thus could no longer be used as a strategy to resolve conflicts, social conflict appeared directly as a violent and irreconcilable event. The entrance on the scene of the great U.S. workers’ movement confirmed the closure of the constitutional space of mediation and the impossibility of the spatial displacement of conflicts. </w:t>
      </w:r>
      <w:r w:rsidRPr="00C8473F">
        <w:rPr>
          <w:sz w:val="16"/>
        </w:rPr>
        <w:t xml:space="preserve">The Haymarket Square riot and the Pullman strike stated it loud and clear: there is no more open space, and thus conflictwillresultinadirectclash,righthere.19Ineffect,when power ran up against its spatial limits, it was constrained to fold back on itself. This was the new context in which all actions had to be played out. </w:t>
      </w:r>
      <w:r w:rsidRPr="00E64250">
        <w:rPr>
          <w:rStyle w:val="StyleUnderline"/>
        </w:rPr>
        <w:t xml:space="preserve">The closure of space posed a serious challenge to the original American constitutional spirit, and the path to address this challenge was treacherous. Never was the drive stronger to transform the United States into something like a European-style sovereignty. Our concepts of ‘‘reaction,’’ ‘‘active counterrevolution,’’ ‘‘preven- tive police,’’ and ‘‘Pinkerton State’’ were all developed in the United States in this period. U.S. class repression had no reason to be jealous of the various kaisers and czars of Europe. Today that fero- cious period of capitalist and state repression still lives on, even if the names of its primary perpetrators (such as Frick, Carnegie, Mellon, and Morgan) now only serve to grace the mantels of philanthropic foundations. How ferocious that repression was—and the stronger it was, the stronger the resistance! This is what really matters. If things had gone differently, if the resistance to repression had not been so strong, this book on Empire, as a form of rule different from imperialism, would have had no reason to be written. </w:t>
      </w:r>
      <w:r w:rsidRPr="00C8473F">
        <w:rPr>
          <w:sz w:val="16"/>
        </w:rPr>
        <w:t xml:space="preserve">The possible lines of response to address the closure of space on the North American continent were diverse, contradictory, and conflicting. The two proposals that most strongly determined the tendency of the subsequent </w:t>
      </w:r>
      <w:r w:rsidRPr="00C8473F">
        <w:rPr>
          <w:sz w:val="16"/>
        </w:rPr>
        <w:lastRenderedPageBreak/>
        <w:t xml:space="preserve">development of the Constitution were bothelaboratedwithintheframeworkofU.S.‘‘progressivism’’at the beginning of the twentieth century. The first was put forward by Theodore Roosevelt, the second by Woodrow Wilson; the first exercised a completely traditional European-style imperialist ideology, and the second adopted an internationalist ideology of peace as an expansion of the constitutional conception of network power. Both of these proposals were intended as responses to the same problem: the crisis of the social relationship and consequently the crisis of Jeffersonian space. For both, the second element of importance was the corruption of the network power of the Consti- tutionthroughtheformationofpowerfultrusts.Bothoftheir presidential administrations were marked by the passage of important progressivist antitrust legislation, from the regulation of the railroads under Roosevelt to broad regulation of business and finance under Wilson. Their common problem was understanding how class an- tagonism, which by this time had all but destroyed the model of network power, could be placated. They recognized that within the bounds of the system itself—and this is the third point in common—itwasimpossible.Theopenterrainhadbeenusedup, and even if it were not completely depleted, any room for movement could not be managed in democratic terms. </w:t>
      </w:r>
      <w:r w:rsidRPr="00E64250">
        <w:rPr>
          <w:rStyle w:val="StyleUnderline"/>
        </w:rPr>
        <w:t>Since an internal solution to the closing of space was impossi- ble, the progressivism of American ideology had to be realized with reference to the outside. The two responses both emphasized this move outward, but Wilson’s project was so much more utopian that Roosevelt’s. For Roosevelt, the Spanish-American War and theRoughRiders’rallyupSanJuanHillconstitutedtheprototype of the solution, and that image became even more central as he underwent his populist conversion. Roosevelt’s solution to the limits of space involved abandoning the original features of the U.S. model and instead following goals and methods similar to the populist colonial imperialism of a Cecil Rhodes and the progres- sive imperialism of the French Third Republic.20</w:t>
      </w:r>
      <w:r w:rsidRPr="00C8473F">
        <w:rPr>
          <w:sz w:val="16"/>
        </w:rPr>
        <w:t xml:space="preserve"> This imperialist path led to the colonialist experience of the United States in the Philippines. ‘‘It is our duty toward the people living in barbarism,’’ Roosevelt proclaimed, ‘‘to see that they are freed from their chains.’’ Any concession to liberation struggles that allowed uncivilized pop- ulations like the Filipinos to govern themselves would thus be ‘‘an international crime.’’21 Roosevelt, along with generations of Europeanideologuesbeforehim,reliedonthenotionof‘‘civiliza- tion’’ as an adequate justification for imperialist conquest and domi- nation. Wilson’s solution to the crisis of space took an entirely different path. </w:t>
      </w:r>
      <w:r w:rsidRPr="00B974FD">
        <w:rPr>
          <w:rStyle w:val="StyleUnderline"/>
        </w:rPr>
        <w:t>His project of the international extension of the network power of the Constitution was a concrete political utopia.</w:t>
      </w:r>
      <w:r w:rsidRPr="00C8473F">
        <w:rPr>
          <w:sz w:val="16"/>
        </w:rPr>
        <w:t xml:space="preserve"> Nowhere was Wilson’s interpretation of American ideology derided more stronglythanitwasinEuropeintheperiodoftheTreatyof Versailles, but it was not very well appreciated in the United States, either. It is true that the League of Nations, the crowning glory of the Wilsonian project for European and world peace, never got past the veto power of Congress; but his concept of world order based on the extension of the U.S. constitutional project, the idea of peace as product of a new world network of powers, was a powerful and long-lasting proposal.22 This </w:t>
      </w:r>
      <w:r w:rsidRPr="00B974FD">
        <w:rPr>
          <w:rStyle w:val="StyleUnderline"/>
        </w:rPr>
        <w:t>proposal corresponded to the original logic of the U.S. Constitution and its idea of expansive Empire. European modernists could not help mocking this proposal of a postmodern Empire: the chronicles are full of the ironies and insults of Georges Clemenceau and Lloyd George, along with the fascists, who all declared that the refusal of the Wilsonian project was a central element of their projects of dictatorship and war</w:t>
      </w:r>
      <w:r w:rsidRPr="00C8473F">
        <w:rPr>
          <w:sz w:val="16"/>
        </w:rPr>
        <w:t xml:space="preserve">. Yet poor maligned Wilson appears today in a rather different light: a utopian, yes, but lucid in his foresight of the horrible future that awaited the Europe of nations in the coming years; the inventor of a world government of peace, which was certainly unrealizable, but the vision proved nonetheless an efficient promoter of the passagetoEmpire.ThisisalltrueevenifWilsondidnotrecognize it. Here in fact we begin to touch concretely the difference between imperialism and Empire, and we can see in those Wilsonian utopias the intelligence and foresight of a great idiot. American Imperialism The third phase or regime of the U.S. Constitution might be seen as taking effect fully with the passage of the New Deal legislation such as the National Industrial Relations Act, but for our purposes it is better to mark its inception earlier, even as early as the Bolshevik Revolutionof1917andtheperiodwhenitsthreatechoedacross the United States and throughout the world. In retrospect, in those firstdecadesaftertheOctoberRevolutionwecanalreadyrecognize therootsofthecoldwar—thebipolardivisionoftheterritoriesof the globe and the frantic competition between the two systems. The New Deal legislation itself, along with the construction of comparablewelfaresystemsinWesternEurope,mightbecastasa response to the threat conjured up by the Soviet experience, that is, to the increasing power of workers’ movements both at home and abroad.23 </w:t>
      </w:r>
      <w:r w:rsidRPr="00B974FD">
        <w:rPr>
          <w:rStyle w:val="StyleUnderline"/>
        </w:rPr>
        <w:t xml:space="preserve">The United States found itself increasingly driven by the need to placate class antagonism, and thus anticommunism became the overriding imperative. Cold war ideology gave rise to the most exaggerated forms of Manichaean division, and as a result, some of the central elements we have seen defining modern Euro- pean sovereignty reappeared in the United States. </w:t>
      </w:r>
      <w:r w:rsidRPr="00E64250">
        <w:rPr>
          <w:rStyle w:val="StyleUnderline"/>
        </w:rPr>
        <w:t xml:space="preserve">It became increasingly evident during this phase, and through- out the course of the twentieth century, that the United States, far from being that singular and democratic nation its founders imagined it to be, an Empire of Liberty, was the author of </w:t>
      </w:r>
      <w:r w:rsidRPr="00E64250">
        <w:rPr>
          <w:rStyle w:val="StyleUnderline"/>
        </w:rPr>
        <w:lastRenderedPageBreak/>
        <w:t xml:space="preserve">direct and brutal imperialist projects, both domestically and abroad. </w:t>
      </w:r>
      <w:r w:rsidRPr="00C8473F">
        <w:rPr>
          <w:sz w:val="16"/>
        </w:rPr>
        <w:t xml:space="preserve">The figure of the U.S. government as the world cop and mastermind of the repressionofliberationstrugglesthroughouttheworldwasnot reallyborninthe1960s,norevenwiththeinceptionofthecold war proper, but stretches back to the Soviet revolution, and maybe evenearlier.Perhapswhatwehavepresentedasexceptionstothe development of imperial sovereignty should instead be linked to- gether as a real tendency, an alternative within the history of the U.S. Constitution. In other words, perhaps the root of these imperialist practices should be traced back to the very origins of the country, to black slavery and the genocidal wars against the Native Americans. </w:t>
      </w:r>
      <w:r w:rsidRPr="00E64250">
        <w:rPr>
          <w:rStyle w:val="StyleUnderline"/>
        </w:rPr>
        <w:t xml:space="preserve">Earlier we considered black slavery as a constitutional problem in the antebellum period, but racial subordination and the super- exploitation of black labor continued well after the passage of the Thirteenth, Fourteenth, and Fifteenth Amendments. The ideologi- cal and physical barriers erected around African Americans have always contradicted the imperial notion of open spaces and mixed populations. In particular, the position of black labor in the United States strongly paralleled the position of colonial labor in European regimes in terms of the division of labor, working conditions, and wage structure. Indeed, the super-exploitation of black labor gives us one example, an internal example, of the imperialist tendency that has run throughout U.S. history. </w:t>
      </w:r>
      <w:r w:rsidRPr="00C8473F">
        <w:rPr>
          <w:sz w:val="16"/>
        </w:rPr>
        <w:t xml:space="preserve">A second example of this imperialist tendency, an external example, can be seen in the history of the Monroe Doctrine and the U.S. efforts to exert control over the Americas. The doctrine, announced by President James Monroe in 1823, was presented first and foremost as a defensive measure against European colonialism: the free and independent American continents ‘‘are henceforth not to be considered as subjects for future colonization by a European power.’’24 The United States assumed the role of protector of all the nations of the Americans against European aggression, a role that was eventually made explicit with the Theodore Roosevelt corollary to the doctrine, claiming for the United States ‘‘an inter- national police power.’’ One would be hard-pressed, however, to characterize the numerous U.S. military interventions in the Americas simply in terms of defense against European aggression.25 Yanqui politics is a strong tradition of imperialism dressed in anti- imperialist clothing. </w:t>
      </w:r>
      <w:r w:rsidRPr="00B974FD">
        <w:rPr>
          <w:rStyle w:val="StyleUnderline"/>
        </w:rPr>
        <w:t>During the cold war this imperialist temptation—or really the ambiguity between protector and dominator—became more intense and more extensive. In other words, protecting countries across the entire world from communism (or, more accurately, Soviet imperialism) became indistinguishable from dominating and exploiting them with imperialist techniques. The U.S. involvement in Vietnam might well be considered the pinnacle of this tendency. From one perspective, and certainly within the U.S. government’s elaboration of cold war ideology, the war in Vietnam fit into a global political strategy to defend the ‘‘free world’’ against communism, to contain its advances. The war, however, could not but also be, in practice, a continuation of European imperialism on the part of the United States.</w:t>
      </w:r>
      <w:r w:rsidRPr="00C8473F">
        <w:rPr>
          <w:sz w:val="16"/>
        </w:rPr>
        <w:t xml:space="preserve"> By the 1960s, the European colonial powers were losing crucial battles and their control was waning. Like aging prizefighters they began to bow out of the ring, and the United States stepped in as the new champion. The U.S. military never doubted that it was strong enough to avoid the kind of humiliation that the French suffered at Dien Bien Phu. The Americans acted during their brief tenure in Vietnam with all the violence, brutality, and barbarity befitting any European imperialist power. It seemed that the United States would declare itself the rightful heir to the declining European powers, donning their imperialist mantle and outdoing them at their own imperialist practices. The U.S. adventure in Vietnam, of course, ended in defeat. In an extraordinary feat of unparalleled strength and courage, the Vietnamese combated two imperialist powers in succession and emerged victorious—although the fruits of that victory have since proven to be exceedingly bitter. From the perspective of the United States, however, and in terms of our brief constitutional history, the Vietnam War might be seen as the final moment of the imperialist tendency and thus a point of passage to a new regime of the Constitution. The path of European-style imperialism had become once and for all impassable, and henceforth the United States would have tobothturnbackandleapforwardtoaproperlyimperialrule. As a kind of historical shorthand, we could locate the end of the third and beginning of the fourth regime of the U.S. Constitution in 1968.26 The Tet offensive in January marked the irreversible military defeat of the U.S. imperialist adventures. More important, however, as is the case before each shift of constitutional regimes, the pressure for a return to republican principles and the original constitutional spirit was already prepared by the powerful internal social move- ments. Just when the United States was most deeply embroiled in animperialistventureabroad,whenithadstrayedfarthestfromits original constitutional project, that constituent spirit bloomed most strongly at home—not only in the antiwar movements themselves, but also in the civil rights and Black Power movements, the student movements, and eventually the second-wave feminist movements. The emergence of the various components of the New Left was an enormous and powerful affirmation of the principle of constituent power and the declaration of the reopening of social spaces. Beyond the Cold War </w:t>
      </w:r>
      <w:r w:rsidRPr="00B974FD">
        <w:rPr>
          <w:rStyle w:val="StyleUnderline"/>
        </w:rPr>
        <w:t xml:space="preserve">During the cold war, when the United States ambiguously adopted the mantle of imperialism, it subordinated the old imperialist powers to its own regime. The coldwarwagedbytheUnitedStatesdid not defeat the socialist enemy, and perhaps that </w:t>
      </w:r>
      <w:r w:rsidRPr="00B974FD">
        <w:rPr>
          <w:rStyle w:val="StyleUnderline"/>
        </w:rPr>
        <w:lastRenderedPageBreak/>
        <w:t>was never really its primary goal. The Soviet Union collapsed under the burden of its own internal contradictions</w:t>
      </w:r>
      <w:r w:rsidRPr="00C8473F">
        <w:rPr>
          <w:sz w:val="16"/>
        </w:rPr>
        <w:t xml:space="preserve">. The cold war at the most produced some of the conditions of isolation that, reverberating within the Soviet bloc itself, multiplied those explosive contradictions. The most important effect of the cold war was to reorganize the lines of hegemony within the imperialist world, accelerating the decline of the old powers and raising up the U.S. initiative of the constitu- tionofanimperialorder.TheUnitedStateswouldnothavebeen victorious at the end of the cold war had a new type of hegemonic initiative not already been prepared. This imperial project, a global project of network power, defines the fourth phase or regime of U.S. constitutional history. In the waning years and wake of the cold war, the responsibility of exercising an international police power ‘‘fell’’ squarely on the shoulders of the United States. The Gulf War was the first time the United States could exercise this power in its full form. Really, thewarwasanoperationofrepressionofverylittleinterestfrom the point of view of the objectives, the regional interests, and the political ideologies involved. We have seen many such wars conducted directly by the United States and its allies. Iraq was accused of having broken international law, and it thus had to be judged and punished. </w:t>
      </w:r>
      <w:r w:rsidRPr="00B974FD">
        <w:rPr>
          <w:rStyle w:val="StyleUnderline"/>
        </w:rPr>
        <w:t xml:space="preserve">The importance of the Gulf War derives rather from the fact that it presented the United States as the only power able to manage international justice, not as a function of its own national motives but in the name of global right. Certainly, many powers have falsely claimed to act in the universal interest before, but this new role of the United States is different. Perhaps it is most accurate to say that this claim to universality may also be false, but it is false in a new way. The U.S. world police acts not in imperialist interest but in imperial interest. In this sense the Gulf War did indeed, as George Bush claimed, announce the birth of a new world order. </w:t>
      </w:r>
      <w:r w:rsidRPr="00C8473F">
        <w:rPr>
          <w:sz w:val="16"/>
        </w:rPr>
        <w:t xml:space="preserve">Legitimation of the imperial order, however, cannot be based on the mere effectiveness of legal sanction and the military might toimposeit.Itmustbedevelopedthroughtheproductionof international juridical norms that raise up the power of the hege- monic actor in a durable and legal way. Here the constitutional process that had originated with Wilson finally reaches maturity and emerges again. Between the First and Second World Wars, between Wilson’s messianism and the international economic- political initiatives of the New Deal (which we will return to in Section 3.2), a series of international organizations was built that produced what in the traditional contractual terms of international right is called a surplus of normativity and efficacy. This surplus was given an expansive and tendentially universal basis in the spirit of the San Francisco accords that founded the United Nations. The unifying, internal process was hindered by the cold war, but not completely blocked by it. Through the years of the cold war there was both a multiplication of international organisms capable of producing right and a reduction of the resistances to their function- ing.WeemphasizedinSection1.1howtheproliferationofthese different international organisms and their consolidation in a set of symbiotic relationships—as if the one asked the other for its own legitimation—pushed beyond a conception of international right based in contract or negotiation, and alluded instead to a central authority, a legitimate supranational motor of juridical action. The objective process was thus given a subjective face. The great interna- tional institutions, which had been born on the limited basis of negotiations and pacts, led to a proliferation of organisms and actors that began to act as if there were a central authority sanctioning right. </w:t>
      </w:r>
      <w:r w:rsidRPr="00B974FD">
        <w:rPr>
          <w:rStyle w:val="StyleUnderline"/>
        </w:rPr>
        <w:t>With the end of the cold war, the United States was called to serve the role of guaranteeing and adding juridical efficacy to this complex process of the formation of a new supranational right. Just as in the first century of the Christian era the Roman senators asked Augustus to assume imperial powers of the administration for the public good, so too today the international organizations (the United Nations, the international monetary organizations, and even the humanitarian organizations) ask the United States to assume the central role in a new world order. In all the regional conflicts of the late twentieth century, from Haiti to the Persian Gulf and Somalia to Bosnia, the United States is called to intervene mili- tarily—and these calls are real and substantial, not merely publicity stunts to quell U.S. public dissent</w:t>
      </w:r>
      <w:r w:rsidRPr="00C8473F">
        <w:rPr>
          <w:sz w:val="16"/>
        </w:rPr>
        <w:t xml:space="preserve">. Even if it were reluctant, the U.S. military would have to answer the call in the name of peace and order. This is perhaps one of the central characteristics of Empire—that is, it resides in a world context that continually calls it into existence. The United States is the peace police, but only in the final instance, when the supranational organizations of peace call for an organizational activity and an articulated complex of juridical and organizational initiatives. </w:t>
      </w:r>
      <w:r w:rsidRPr="00E64250">
        <w:rPr>
          <w:rStyle w:val="StyleUnderline"/>
        </w:rPr>
        <w:t>There are many reasons for the United States’ privileged posi- tion in the new global constitution of imperial authority. It can be explained in part by the continuity of the United States’ role (particularly its military role) from the central figure in the struggle against the USSR to the central figure in the newly unified world order.</w:t>
      </w:r>
      <w:r w:rsidRPr="00C8473F">
        <w:rPr>
          <w:sz w:val="16"/>
        </w:rPr>
        <w:t xml:space="preserve"> From the perspective of the constitutional history we are tracing here, however, we can see that the United States is privileged in a more important way by the imperial tendency of its own Constitution. The U.S. Constitution, as Jefferson said, is the one best calibrated for extensive Empire. We should emphasize once again that this Constitution is imperial and not imperialist. It is imperialbecause(incontrasttoimperialism’sprojectalwaysto spread its power linearly in closed spaces and invade, destroy, and subsume subject countries within its sovereignty) the U.S. constitu- tional project is constructed on the model of rearticulating an open space and reinventing incessantly diverse and singular relations in networks across an unbounded terrain. </w:t>
      </w:r>
      <w:r w:rsidRPr="00E64250">
        <w:rPr>
          <w:rStyle w:val="StyleUnderline"/>
        </w:rPr>
        <w:t xml:space="preserve">The </w:t>
      </w:r>
      <w:r w:rsidRPr="00E64250">
        <w:rPr>
          <w:rStyle w:val="StyleUnderline"/>
        </w:rPr>
        <w:lastRenderedPageBreak/>
        <w:t>contemporary idea of Empire is born through the global expansion of the internal U.S. constitutional project. It is in fact through the extension of internal constitutional processes that we enter into a constituent process of Empire. International right always had to be a negotiated, contractual process among external par- ties—in the ancient world that Thucydides portrayed in the Melian Dialogue, in the era of state reason, and in the modern relations among nations. Today right involves instead an internal and consti- tutive institutional process. The networks of agreements and associa- tions, the channels of mediation and conflict resolution, and the coordination of the various dynamics of states are all institutionalized within Empire. We are experiencing a first phase of the transformation of the global frontier into an open space of imperial sovereignty.</w:t>
      </w:r>
    </w:p>
    <w:p xmlns:wp14="http://schemas.microsoft.com/office/word/2010/wordml" w:rsidRPr="007434D0" w:rsidR="00507555" w:rsidP="00507555" w:rsidRDefault="00507555" w14:paraId="5186B13D" wp14:textId="77777777"/>
    <w:p xmlns:wp14="http://schemas.microsoft.com/office/word/2010/wordml" w:rsidR="00507555" w:rsidP="00507555" w:rsidRDefault="00507555" w14:paraId="37FF2962" wp14:textId="77777777">
      <w:pPr>
        <w:pStyle w:val="Heading4"/>
      </w:pPr>
      <w:r>
        <w:t>So here we are in a state of eternal warfare and torture, where peace is impossible, as the imperial war machine has turned inwards, enacting biopolitical violence on its own populations. Sovereign power now sustains itself by enacting a constant state of disciplinary and regulatory war and violence. Inside/outside dichotomies are meaningless now because the outside is gone, replace by the omnipresent Empire.</w:t>
      </w:r>
    </w:p>
    <w:p xmlns:wp14="http://schemas.microsoft.com/office/word/2010/wordml" w:rsidRPr="007434D0" w:rsidR="00507555" w:rsidP="00507555" w:rsidRDefault="00507555" w14:paraId="1F9AD163" wp14:textId="77777777">
      <w:pPr>
        <w:tabs>
          <w:tab w:val="left" w:pos="8958"/>
        </w:tabs>
        <w:spacing w:after="0" w:line="240" w:lineRule="auto"/>
        <w:rPr>
          <w:rFonts w:eastAsiaTheme="minorEastAsia"/>
          <w:sz w:val="16"/>
          <w:szCs w:val="26"/>
        </w:rPr>
      </w:pPr>
      <w:r w:rsidRPr="007434D0">
        <w:rPr>
          <w:rStyle w:val="Style13ptBold"/>
        </w:rPr>
        <w:t>Hardt and Negri 04</w:t>
      </w:r>
      <w:r w:rsidRPr="007434D0">
        <w:rPr>
          <w:rFonts w:eastAsiaTheme="minorEastAsia"/>
          <w:b/>
          <w:sz w:val="16"/>
          <w:szCs w:val="26"/>
        </w:rPr>
        <w:t xml:space="preserve"> </w:t>
      </w:r>
      <w:r w:rsidRPr="007434D0">
        <w:rPr>
          <w:sz w:val="16"/>
          <w:szCs w:val="26"/>
        </w:rPr>
        <w:t>(</w:t>
      </w:r>
      <w:r w:rsidRPr="007434D0">
        <w:rPr>
          <w:rFonts w:eastAsiaTheme="minorEastAsia"/>
          <w:bCs/>
          <w:sz w:val="16"/>
          <w:szCs w:val="26"/>
        </w:rPr>
        <w:t xml:space="preserve">Michael, American literary theorist and political philosopher, best known for his book Empire, which was co-written with Antonio, Italian Marxist sociologist and political philosopher, best known for his co-authorship of Empire and secondarily for his work on Spinoza, </w:t>
      </w:r>
      <w:r w:rsidRPr="007434D0">
        <w:rPr>
          <w:rFonts w:eastAsiaTheme="minorEastAsia"/>
          <w:bCs/>
          <w:i/>
          <w:sz w:val="16"/>
          <w:szCs w:val="26"/>
        </w:rPr>
        <w:t>Multitude: War and Democracy in the Age of Empire,</w:t>
      </w:r>
      <w:r w:rsidRPr="007434D0">
        <w:rPr>
          <w:rFonts w:eastAsiaTheme="minorEastAsia"/>
          <w:bCs/>
          <w:sz w:val="16"/>
          <w:szCs w:val="26"/>
        </w:rPr>
        <w:t xml:space="preserve"> </w:t>
      </w:r>
      <w:r w:rsidRPr="007434D0">
        <w:rPr>
          <w:bCs/>
          <w:sz w:val="16"/>
          <w:szCs w:val="26"/>
        </w:rPr>
        <w:t>12</w:t>
      </w:r>
      <w:r w:rsidRPr="007434D0">
        <w:rPr>
          <w:rFonts w:eastAsiaTheme="minorEastAsia"/>
          <w:bCs/>
          <w:sz w:val="16"/>
          <w:szCs w:val="26"/>
        </w:rPr>
        <w:t>-</w:t>
      </w:r>
      <w:r w:rsidRPr="007434D0">
        <w:rPr>
          <w:bCs/>
          <w:sz w:val="16"/>
          <w:szCs w:val="26"/>
        </w:rPr>
        <w:t>25</w:t>
      </w:r>
      <w:r w:rsidRPr="007434D0">
        <w:rPr>
          <w:rFonts w:eastAsiaTheme="minorEastAsia"/>
          <w:bCs/>
          <w:sz w:val="16"/>
          <w:szCs w:val="26"/>
        </w:rPr>
        <w:t>, The Penguin Press, 2004</w:t>
      </w:r>
      <w:r w:rsidRPr="007434D0">
        <w:rPr>
          <w:sz w:val="16"/>
          <w:szCs w:val="26"/>
        </w:rPr>
        <w:t>) //jd&amp;KI</w:t>
      </w:r>
    </w:p>
    <w:p xmlns:wp14="http://schemas.microsoft.com/office/word/2010/wordml" w:rsidRPr="00E64250" w:rsidR="00507555" w:rsidP="00507555" w:rsidRDefault="00507555" w14:paraId="4867109F" wp14:textId="77777777">
      <w:pPr>
        <w:rPr>
          <w:rStyle w:val="StyleUnderline"/>
        </w:rPr>
      </w:pPr>
      <w:r w:rsidRPr="00C17916">
        <w:rPr>
          <w:sz w:val="16"/>
        </w:rPr>
        <w:t xml:space="preserve">THE GLOBAL STATE OF WAR Let us go back and start again from the basic elements of our global state of war. </w:t>
      </w:r>
      <w:r w:rsidRPr="00B974FD">
        <w:rPr>
          <w:rStyle w:val="StyleUnderline"/>
        </w:rPr>
        <w:t xml:space="preserve">When the state of exception becomes the rule and when wartime becomes an interminable condition, then the traditional distinction be­ tween war and politics becomes increasingly blurred. The tradition of tragic drama, from Aeschylus to Shakespeare, has continually emphasized the interminable and proliferating nature of war.IS Today, however, war tends to extend even farther, becoming a permanent social relation. Some contemporary authors try to express this novelty by reversing the Clause­ witz formula that we cited earlier: it may be that war is a continuation of politics by other means, but politics itself is increasingly becoming war conducted by other means.I6 War, that is to say, is becoming the primary organizing principle of society, and politics merely one of its means or guises. What appears as civil peace, then, really only puts an end to one form of war and opens the way for another. </w:t>
      </w:r>
      <w:r w:rsidRPr="00C17916">
        <w:rPr>
          <w:sz w:val="16"/>
        </w:rPr>
        <w:t xml:space="preserve">Of course, theorists of insurrection and revolutionary politics, particu­ larly in the anarchist and communist traditions, have long made similar claims about the indistinction of war and politics: Mao Zedong, for in­ stance, claimed that politics is simply war without bloodshed, and Antonio Gramsci in a rather different framework divided political strategies between wars of position and wars of maneuver. These theorists, however, were dealing with exceptional social periods, that is, times of insurrection and revolution. </w:t>
      </w:r>
      <w:r w:rsidRPr="00B974FD">
        <w:rPr>
          <w:rStyle w:val="StyleUnderline"/>
        </w:rPr>
        <w:t>What is distinctive and new about the claim that politics is the continuation of war is that it refers to power in its normal functioning, everywhere and always, outside and within each society. Michel Foucault goes so far as to say that the socially pacifying function of political power involves constantly reinscribing this fundamental relationship of force in a sort of silent war and reinscribing it too in the social institutions, systems of economic inequality, and even the spheres of personal and sexual rela­ tions.I? War, in other words, becomes the general matrix for all relations of power and techniques of domination, whether or not bloodshed is in­ volved. War has become a regime of biopower, that is, a form of rule aimed not only at controlling the population but producing and reproducing all aspects of social life.18</w:t>
      </w:r>
      <w:r w:rsidRPr="00C17916">
        <w:rPr>
          <w:sz w:val="16"/>
        </w:rPr>
        <w:t xml:space="preserve"> This war brings death but also, paradoxically, must produce life. This does not mean that war has been domesticated or its vi­ </w:t>
      </w:r>
      <w:r w:rsidRPr="00C17916">
        <w:rPr>
          <w:sz w:val="16"/>
        </w:rPr>
        <w:lastRenderedPageBreak/>
        <w:t xml:space="preserve">olence attenuated, but rather that daily life and the normal functioning of power has been permeated with the threat and violence of warfare. Consider, as a symptom of the change in the nature of war today, how common public usage of the concept of war has changed in the late twen­ tieth and early twenty-first centuries. </w:t>
      </w:r>
      <w:r w:rsidRPr="00E64250">
        <w:rPr>
          <w:rStyle w:val="StyleUnderline"/>
        </w:rPr>
        <w:t>The rhetoric of war has long been used, of course, to describe activities that are very different from war it­ self. In some cases, war metaphors are applied to forms of competition and relations of force that do not generally involve lethal violence or bloodshed, such as spons, commerce, and domestic politics. In all of these contests, one has competitors but never really enemies properly conceived. Such metaphorical usage serves to highlight the risks, competition, and conflict involved in these various activities, but it also assumes a funda­ mental difference from real war</w:t>
      </w:r>
      <w:r w:rsidRPr="00C17916">
        <w:rPr>
          <w:sz w:val="16"/>
        </w:rPr>
        <w:t xml:space="preserve">. </w:t>
      </w:r>
      <w:r w:rsidRPr="00B974FD">
        <w:rPr>
          <w:rStyle w:val="StyleUnderline"/>
        </w:rPr>
        <w:t xml:space="preserve">In other cases, the metaphorical discourse of war is invoked as a strategic political maneuver in order to achieve the total mobilization of social forces for a united purpose that is typical of a war effort. The war on poverty, for example, launched in the United States </w:t>
      </w:r>
      <w:r w:rsidRPr="00C17916">
        <w:rPr>
          <w:sz w:val="16"/>
        </w:rPr>
        <w:t xml:space="preserve">in the mid-1960s by the Johnson administration, used the discourse of war to avoid partisan conflict and rally national forces for a domestic pol­ icy goal. Because poverty is an abstract enemy and the means to combat it are nonviolent, the war discourse in this case remains merely rhetorical. With the war on drugs, however, which began in the 1980s, and more so with the twenty-first-century war on terrorism, the rhetoric of war begins to develop a more concrete character. As in the case of the war on poverty, here too the enemies are posed not as specific nation-states or political communities or even individuals but rather as abstract concepts or perhaps as sets of practices. Much more successfully than the war on poverty, these discourses of war serve to mobilize all social forces and suspend or limit normal political exchange. And yet these wars are not so metaphorical be­ cause like war traditionally conceived they involve armed combat and lethal force. </w:t>
      </w:r>
      <w:r w:rsidRPr="00B974FD">
        <w:rPr>
          <w:rStyle w:val="StyleUnderline"/>
        </w:rPr>
        <w:t xml:space="preserve">In these wars there is increasingly little difference between outside and inside, between foreign conflicts and homeland security. We have thus proceeded from metaphorical and rhetorical invocations of war to real wars against indefinite, immaterial enemies. </w:t>
      </w:r>
      <w:r w:rsidRPr="00C17916">
        <w:rPr>
          <w:sz w:val="16"/>
        </w:rPr>
        <w:t xml:space="preserve">One consequence of this new kind of war is that the limits of war are rendered indeterminate, both spatially and temporally. </w:t>
      </w:r>
      <w:r w:rsidRPr="00E64250">
        <w:rPr>
          <w:rStyle w:val="StyleUnderline"/>
        </w:rPr>
        <w:t xml:space="preserve">The old-fashioned war against a nation-state was clearly defined spatially, even if it could at times spread to other countries, and the end of such a war was generally marked by the surrender, victory, or truce between the conflicting states. By contrast, war against a concept or set of practices, somewhat like a war of religion, has no definite spatial or temporal boundaries. Such wars can potentially extend anywhere for any period of time. Indeed, when U.S. leaders announced the "war against terrorism" they emphasized that it would have to extend throughout the world and continue for an indefinite period, perhaps decades or even generations. A war to create and maintain social order can have no end. It must involve the continuous, uninter­ rupted exercise of power and violence. In other words, one cannot win such a war, or, rather, it has to be won again every day. War has thus be­ come virtually indistinguishable from police activity. </w:t>
      </w:r>
      <w:r w:rsidRPr="00C17916">
        <w:rPr>
          <w:sz w:val="16"/>
        </w:rPr>
        <w:t xml:space="preserve">A second consequence of this new state of war is that international re­ lations and domestic politics become increasingly similar and intermin­ gled. </w:t>
      </w:r>
      <w:r w:rsidRPr="00B974FD">
        <w:rPr>
          <w:rStyle w:val="StyleUnderline"/>
        </w:rPr>
        <w:t>In the context of this cross between military and police activity aimed at security there is ever less difference between inside and outside the nation-state: low-intensity warfare meets high-intensity police actions. The "enemy," which has traditionally been conceived outside, and the "danger­ ous classes," which have traditionally been inside, are thus increasingly indistinguishable from one another and serve together as the object of the war effort</w:t>
      </w:r>
      <w:r w:rsidRPr="00C17916">
        <w:rPr>
          <w:sz w:val="16"/>
        </w:rPr>
        <w:t xml:space="preserve">. We will focus extensively on the notion of "dangerous classes" in the next chapter, but here we should emphasize that its being identified with "the enemy" tends effectively to criminalize the various forms of so­ cial contestation and resistance. In this respect, the conceptual merging of war and policing poses an obstacle to all forces of social transformation. A third consequence is a reorientation of the conception of the sides of battle or conditions of enmity. To the extent that the enemy is abstract and unlimited, the alliance of friends tOO is expansive and potentially uni­ versal. All of humanity can in principle be united against an abstract con­ cept or practice such as terrorism. 1 9 </w:t>
      </w:r>
      <w:r w:rsidRPr="00E64250">
        <w:rPr>
          <w:rStyle w:val="StyleUnderline"/>
        </w:rPr>
        <w:t xml:space="preserve">It should not be surprising, then, that the concept of "just war" has emerged again in the discourse of politicians, journalists, and scholars, particularly in the context of the war on terror­ ism and the various military operations conducted in the name of human rights. The concept of justice serves to universalize war beyond any partic­ ular interests toward the interest of humanity as a </w:t>
      </w:r>
      <w:r w:rsidRPr="00E64250">
        <w:rPr>
          <w:rStyle w:val="StyleUnderline"/>
        </w:rPr>
        <w:lastRenderedPageBreak/>
        <w:t>whole.</w:t>
      </w:r>
      <w:r w:rsidRPr="00C17916">
        <w:rPr>
          <w:sz w:val="16"/>
        </w:rPr>
        <w:t xml:space="preserve"> Modern Euro­ pean political thinkers, we should keep in mind, sought to banish the concept of just war, which had been common throughout the Middle Ages, especially during the Crusades and the religious wars, because they thought it tended to generalize war beyond its proper scope and confuse it with other social realms, such as morality and religion. </w:t>
      </w:r>
      <w:r w:rsidRPr="00B974FD">
        <w:rPr>
          <w:rStyle w:val="StyleUnderline"/>
        </w:rPr>
        <w:t>Justice does not be­ long to the modern concept ofwar.20 When the modern realist theorists of war claimed that war is a means for political ends, for instance, they in­ tended not only to link war to interstate politics but also separate it from other social realms, such as morality and religion. It is true that various other social realms have often throughout history been superimposed on war, especially in propaganda campaigns, such that the enemy might be presented as evil or ugly or sexually perverse, but the modern theorists insisted on this fundamental separation.</w:t>
      </w:r>
      <w:r w:rsidRPr="00C17916">
        <w:rPr>
          <w:sz w:val="16"/>
        </w:rPr>
        <w:t xml:space="preserve"> War, they thought, could thus be isolated to its necessary and rational functions.</w:t>
      </w:r>
      <w:r w:rsidRPr="00B974FD">
        <w:rPr>
          <w:rStyle w:val="StyleUnderline"/>
        </w:rPr>
        <w:t xml:space="preserve"> </w:t>
      </w:r>
      <w:r w:rsidRPr="00C17916">
        <w:rPr>
          <w:sz w:val="16"/>
        </w:rPr>
        <w:t xml:space="preserve">The "just" wars of the late twentieth and early-twenty-first centuries often carry explicit or implicit echoes of the old wars of religion. </w:t>
      </w:r>
      <w:r w:rsidRPr="00B974FD">
        <w:rPr>
          <w:rStyle w:val="StyleUnderline"/>
        </w:rPr>
        <w:t>And the various concepts of civilizational conflict-the West versus Islam, for instance­ that animate a strong vein of foreign policy and international relations theory are never far removed from the old religious paradigm of the wars o f religionY I t seems that we are back once again in the situation defined by the seventeenth-century motto, Cujus regio, ejus religio, that is, the one who rules also determines religious faith-a dangerous and oppressive sit­ uation against which all the great modern movements of tolerance strug­ gled. Along with the renewed concept of just war, then, comes also, predictably, the allied concept of evil. Posing the enemy as evil serves to make the enemy and the struggle against it absolute and thus outside of politics-evil is the enemy of all humanity.</w:t>
      </w:r>
      <w:r w:rsidRPr="00C17916">
        <w:rPr>
          <w:sz w:val="16"/>
        </w:rPr>
        <w:t xml:space="preserve"> (The category of a crime against humanity, which has in effect been transformed from an element of the Geneva Convention into global penal code, is perhaps the legal concept that most clearly makes concrete this notion of evil.) Modern Eu­ ropean philosophers tried to put to rest this problem too, the problem of evil, the great Christian debate over theodicy, that is, the justification of God with respect to the evil, the question of how God could permit evil to exist.22 They tried to displace such problems or at least separate them from questions of politics and war. The postmodern recours</w:t>
      </w:r>
      <w:r w:rsidRPr="00C17916">
        <w:rPr>
          <w:rFonts w:ascii="Lucida Grande" w:hAnsi="Lucida Grande" w:cs="Lucida Grande"/>
          <w:sz w:val="16"/>
        </w:rPr>
        <w:t>�</w:t>
      </w:r>
      <w:r w:rsidRPr="00C17916">
        <w:rPr>
          <w:sz w:val="16"/>
        </w:rPr>
        <w:t xml:space="preserve"> to notions of justice and evil in war may be simply irrational propaganda and moral­ religious mystification, little different than old-fashioned calls to destroy the infidels or burn the witches, but since such mystifications do have very real effects, they must be confronted seriously, as was done by modern philosophers such as Voltaire. Tolerance, a central value of modern thought, is being dramatically undermined. And, more importantly for our pur­ poses, these resurrected discourses of justice and evil are symptoms of the ways in which war has changed and lost the limitations that modernity had tried to impose on it. </w:t>
      </w:r>
      <w:r w:rsidRPr="00E64250">
        <w:rPr>
          <w:rStyle w:val="StyleUnderline"/>
        </w:rPr>
        <w:t>We should be clear that the concept of terrorism does not (any more than the concept of evil) provide a solid conceptual or political anchor for the contemporary global state of war. Early in the twentieth century the term terrorism referred primarily to anarchist bombings in Russia, France, and Spain-instances of so-called propaganda of the deed. The current meaning of the term is a recent invention. Terrorism has become a politi­ cal concept (a concept of war or, really, civil war) that refers to three dif­ ferent phenomena that are sometimes held separate and at others confused together: (1) the revolt or rebellion against a legitimate government; (2) the exercise of political violence by a government in violation of human rights (including, according to some, the rights of property); and (3) the practice of warfare in violation of the rules of engagement, including at­ tacks on civilians.</w:t>
      </w:r>
      <w:r w:rsidRPr="00C17916">
        <w:rPr>
          <w:sz w:val="16"/>
        </w:rPr>
        <w:t xml:space="preserve"> </w:t>
      </w:r>
      <w:r w:rsidRPr="00B974FD">
        <w:rPr>
          <w:rStyle w:val="StyleUnderline"/>
        </w:rPr>
        <w:t>The problem with all of these definitions is that they vary according to who defines their key elements: who determines, for ex­ ample, what is a legitimate government, what are human rights, and what are the rules of war. Depending on who defines these elements, of course, even the United States could be labeled a terrorist state.23 Because of the instability of its definition, the concept of terrorism does not provide a solid foundation to understand the current global state of war.</w:t>
      </w:r>
      <w:r w:rsidRPr="00C17916">
        <w:rPr>
          <w:sz w:val="16"/>
        </w:rPr>
        <w:t xml:space="preserve"> The domestic face of just-war doctrines and the war against terrorism is a regime aimed at near complete social control, which some authors de­ scribe as a passage from the welfare state to a warfare state and others char­ acterize as a so-called zero-tolerance society.24 </w:t>
      </w:r>
      <w:r w:rsidRPr="00E64250">
        <w:rPr>
          <w:rStyle w:val="StyleUnderline"/>
        </w:rPr>
        <w:t xml:space="preserve">This is a society whose diminishing civil liberties and increasing rates of incarceration are in cer­ tain respects a manifestation of a constant social war. We should note that this transformation of methods of control coincides with </w:t>
      </w:r>
      <w:r w:rsidRPr="00E64250">
        <w:rPr>
          <w:rStyle w:val="StyleUnderline"/>
        </w:rPr>
        <w:lastRenderedPageBreak/>
        <w:t>an extremely strong social transformation, which we will describe in the next chapter in terms of biopolitical forms of production. The new forms of power and control operate increasingly in contradiction with the new social composi­ tion of the population and serve merely to block its new forms of produc­ tivity and expression.</w:t>
      </w:r>
      <w:r w:rsidRPr="00C17916">
        <w:rPr>
          <w:sz w:val="16"/>
        </w:rPr>
        <w:t xml:space="preserve"> We claimed elsewhere that a similar obstruction of freedom and productive expression led to the implosion of the Soviet Union.25 This is, in any case, a highly contradictory situation in which the actions of the ruling powers to maintain control tend to undercut their own interests and authority. Finally, like justice, democracy does not belong to war. War always re­ quires strict hierarchy and obedience and thus the partial or total suspen­ sion of democratic participation and exchange. "In wartime," explains the legal theorist Hans Kelsen, "the democratic principle has to yield to a strictly autocratic one: everyone must pay unconditional obedience to the leader."26 In the modern period the wartime suspension of democratic pol­ itics was usually posed as temporary, since war was conceived as an excep­ tional condition.27 </w:t>
      </w:r>
      <w:r w:rsidRPr="00B974FD">
        <w:rPr>
          <w:rStyle w:val="StyleUnderline"/>
        </w:rPr>
        <w:t xml:space="preserve">If our hypothesis is correct and today the state of war has instead become our permanent global condition, then the suspension of democracy tends also to become the norm rather than the exception. Following John Dewey's statement that serves a s one o f the epigraphs to this chapter, we can see that the current global state of war forces all na­ tions, even the professedly most democratic, to become authoritarian and totalitarian. Some say that ours is a world in which real democracy has be­ come impossible, perhaps even unthinkable. </w:t>
      </w:r>
      <w:r w:rsidRPr="00C17916">
        <w:rPr>
          <w:sz w:val="16"/>
        </w:rPr>
        <w:t xml:space="preserve">BIOPOWER AND SECURITY At this point we need to go back once again and try to understand this regime of biopower from another, more philosophical, perspective. </w:t>
      </w:r>
      <w:r w:rsidRPr="00B974FD">
        <w:rPr>
          <w:rStyle w:val="StyleUnderline"/>
        </w:rPr>
        <w:t>Al­ though global war, as we said, has become increasingly indistinct from global police action, it also now tends toward the absolute. In modernity war never had an absolute, ontological character</w:t>
      </w:r>
      <w:r w:rsidRPr="00C17916">
        <w:rPr>
          <w:sz w:val="16"/>
        </w:rPr>
        <w:t xml:space="preserve">. It is true that the mod­ erns considered war a fundamental element of social life. When the great modern military theorists spoke of war, they considered it a destructive but inevitable element of human society. And we should not forget that war often appeared in modern philosophy and politics as a positive ele­ ment that involved both the search for glory (primarily in aristocratic con­ sciousness and literature) and the construction of social solidarity (often from the standpoint of the subaltern populations). None of this, however, made war absolute. War was an element of social life; it did not rule over life. Modern war was dialectical in that every negative moment of de­ struction necessarily implied a positive moment of the construction of social order. </w:t>
      </w:r>
      <w:r w:rsidRPr="00B974FD">
        <w:rPr>
          <w:rStyle w:val="StyleUnderline"/>
        </w:rPr>
        <w:t>War really became absolute only with the technological development of weapons that made possible for the first time mass and even global de­ struction. Weapons of global destruction break the modern dialectic of war. War has always involved the destruction of life, but in the twentieth century this destructive power reached the limits of the pure production of death, represented symbolically by Auschwitz and Hiroshima. The ca­ pacity of genocide and nuclear destruction touches directly on the very structure of life, corrupting</w:t>
      </w:r>
      <w:r w:rsidRPr="00C17916">
        <w:rPr>
          <w:sz w:val="16"/>
        </w:rPr>
        <w:t xml:space="preserve"> it, perverting it. The sovereign power that con­ trols such means of destruction is a form of biopower in this most negative and horrible sense of the term, a power that rules directly over death-the death not simply of an individual or group but of humanity itself and per­ haps indeed of all being. When genocide and atomic weapons put life it­ self on center stage, then war b</w:t>
      </w:r>
      <w:r w:rsidRPr="00C17916">
        <w:rPr>
          <w:rFonts w:ascii="Lucida Grande" w:hAnsi="Lucida Grande" w:cs="Lucida Grande"/>
          <w:sz w:val="16"/>
        </w:rPr>
        <w:t>�</w:t>
      </w:r>
      <w:r w:rsidRPr="00C17916">
        <w:rPr>
          <w:sz w:val="16"/>
        </w:rPr>
        <w:t xml:space="preserve">comesproperly ontological.28 </w:t>
      </w:r>
      <w:r w:rsidRPr="00C17916">
        <w:rPr>
          <w:rStyle w:val="StyleUnderline"/>
        </w:rPr>
        <w:t>War thus seems to be heading at once in two opposite directions: it is, on one hand, reduced to police action and, on the other, raised up to an absolute, ontological level by technologies of global destruction. These two movements, however, are not contradictory: the reduction ofwar topo­ Iic</w:t>
      </w:r>
      <w:r w:rsidRPr="00C17916">
        <w:rPr>
          <w:rStyle w:val="StyleUnderline"/>
          <w:rFonts w:ascii="Lucida Grande" w:hAnsi="Lucida Grande" w:cs="Lucida Grande"/>
        </w:rPr>
        <w:t>�</w:t>
      </w:r>
      <w:r w:rsidRPr="00C17916">
        <w:rPr>
          <w:rStyle w:val="StyleUnderline"/>
        </w:rPr>
        <w:t xml:space="preserve"> action does not take away but actuaUy conjirms its ontological dimension</w:t>
      </w:r>
      <w:r w:rsidRPr="00C17916">
        <w:rPr>
          <w:sz w:val="16"/>
        </w:rPr>
        <w:t xml:space="preserve">. The thinning of the war function and the thickening of the police func­ tion maintain the ontological stigmata of absolute annihilation: the war police maintain the threat of genocide and nuclear destruction as their ultimate foundation.29 Biopower wields not just the power of the mass destruction of life (such as that threatened by nuclear weapons) but also individualized vio­ lence. </w:t>
      </w:r>
      <w:r w:rsidRPr="00E64250">
        <w:rPr>
          <w:rStyle w:val="StyleUnderline"/>
        </w:rPr>
        <w:t xml:space="preserve">When individualized in its extreme form, biopower becomes tor­ ture. Such an individualized exercise of power is a central element in the society of control of George Orwell's 1984. " 'How does one man assert his power over another, Winston?' Winston thought. 'By making him suf­ fer,' he said. 'Exactly. By making him suffer. Obedience is not enough.' "30 Torture is today becoming an ever more generalized technique of control, and at the same time it is becoming increasingly banalized. Methods for obtaining confessions and information through physical and psychologi­ cal torments, techniques to disorient prisoners (such as sleep deprivation), and simple means of humiliation (such as strip searches) are all common </w:t>
      </w:r>
      <w:r w:rsidRPr="00E64250">
        <w:rPr>
          <w:rStyle w:val="StyleUnderline"/>
        </w:rPr>
        <w:lastRenderedPageBreak/>
        <w:t>weapons in the contemporary arsenal of torture.</w:t>
      </w:r>
      <w:r w:rsidRPr="00C17916">
        <w:rPr>
          <w:sz w:val="16"/>
        </w:rPr>
        <w:t xml:space="preserve"> </w:t>
      </w:r>
      <w:r w:rsidRPr="00C17916">
        <w:rPr>
          <w:rStyle w:val="StyleUnderline"/>
        </w:rPr>
        <w:t>Torture is one central point of contact between police action and war; the torture techniques used in the name of police prevention take on all the characteristics of military action. This is another face of the state of exception and the ten­ dency for political power to free itself from the rule of law</w:t>
      </w:r>
      <w:r w:rsidRPr="00C17916">
        <w:rPr>
          <w:sz w:val="16"/>
        </w:rPr>
        <w:t>. In fact, there are increasing numbers of cases in which the international conventions against tortUre and the domestic laws against cruel and unusual punish­ ment have little effect,3l Both dictatorships and liberal democracies use torture, the one by vocation and the other by so-called necessity. Accord­ ing to the logic of the state of exception, torture is an essential, unavoidable, and justifiable technique of power.</w:t>
      </w:r>
      <w:r>
        <w:rPr>
          <w:b/>
          <w:iCs/>
          <w:u w:val="single"/>
        </w:rPr>
        <w:t xml:space="preserve"> </w:t>
      </w:r>
      <w:r w:rsidRPr="00C17916">
        <w:rPr>
          <w:rStyle w:val="StyleUnderline"/>
        </w:rPr>
        <w:t>Sovereign political power can never really arrive at the pure production of death because it cannot afford to eliminate the life of its subjects</w:t>
      </w:r>
      <w:r w:rsidRPr="00C17916">
        <w:rPr>
          <w:sz w:val="16"/>
        </w:rPr>
        <w:t xml:space="preserve">. </w:t>
      </w:r>
      <w:r w:rsidRPr="00E64250">
        <w:rPr>
          <w:rStyle w:val="StyleUnderline"/>
        </w:rPr>
        <w:t xml:space="preserve">Weapons of mass destruction must remain a threat or be used in very lim­ ited cases, and torture cannot be taken to the point of death, at least not in a generalized way. Sovereign power lives only by preserving the life of its subjects, at the very least their capacities of production and consumption. If any sovereign power were to destroy that, it would necessarily destroy itself. </w:t>
      </w:r>
      <w:r w:rsidRPr="00C17916">
        <w:rPr>
          <w:rStyle w:val="StyleUnderline"/>
        </w:rPr>
        <w:t>More important than the negative technologies of annihilation and torture, then, is the constructive character of biopower. Global war must not only bring death but also produce and regulate life.</w:t>
      </w:r>
      <w:r>
        <w:rPr>
          <w:rStyle w:val="StyleUnderline"/>
        </w:rPr>
        <w:t xml:space="preserve"> </w:t>
      </w:r>
      <w:r w:rsidRPr="00C17916">
        <w:rPr>
          <w:sz w:val="16"/>
        </w:rPr>
        <w:t>One index of the new, active, constituent character of war is the policy shift from "defense" to "security," which the U.S. government has pro­ moted, particularly as an element of the war against terrorism since Sep­ tember 2001.</w:t>
      </w:r>
      <w:r w:rsidRPr="00B974FD">
        <w:rPr>
          <w:rStyle w:val="StyleUnderline"/>
        </w:rPr>
        <w:t>32 In the context of U.S. foreign policy, the shift from defense to security means the movement from a reactive and conservative attitude to an active and constructive one, both within and outside the na­ tional boundaries: from the preservation of the present domestic social and political order to its transformation, and similarly from a reactive war attitude, which responds to external attacks, to an active attitude that aims to preempt attack. We should keep in mind that modern democratic na­ tions uniformly outlawed all forms of military aggression, and their constitutions gave parliaments power only to declare defensive wars.</w:t>
      </w:r>
      <w:r w:rsidRPr="00C17916">
        <w:rPr>
          <w:sz w:val="16"/>
        </w:rPr>
        <w:t xml:space="preserve"> Likewise international law has always resolutely prohibited preventive or preemp­ tive attacks on the basis of the rights of national sovereignty. The contem­ porary justification of preemptive strikes and preventive wars in the name of security, however, explicitly undermines national sovereignty, making national boundaries increasingly irrelevant.33 Both within and outside the nation, then, the proponents of security require more than simply con­ serving the present order-if we wait to react to threats, they claim, it will be too late. </w:t>
      </w:r>
      <w:r w:rsidRPr="00B974FD">
        <w:rPr>
          <w:rStyle w:val="StyleUnderline"/>
        </w:rPr>
        <w:t xml:space="preserve">Security requires rather actively and constantly shaping the en­ vironment through military and/or police activity. Only an actively shaped world is a secure world. This notion of security is a form of biopower, then, in the sense that it is charged with the task of producing "and trans­ forming social life at its most general and global level. </w:t>
      </w:r>
      <w:r w:rsidRPr="00C17916">
        <w:rPr>
          <w:sz w:val="16"/>
        </w:rPr>
        <w:t>This active, constituent character of security is, in fact, already implicit in the other transformations of war we analyzed earlier</w:t>
      </w:r>
      <w:r w:rsidRPr="00E64250">
        <w:rPr>
          <w:rStyle w:val="StyleUnderline"/>
        </w:rPr>
        <w:t>. If war is no longer an exceptional condition but the normal state of afaf irs, if, that is, we have ROW entered a perpetual state of war, then it becomes necessary that war not be a threat to the existing structure of power, not a destabilizing force, but rather, on the contrary, an active mechanism that constantly creates and reinforces the present global order</w:t>
      </w:r>
      <w:r w:rsidRPr="00C17916">
        <w:rPr>
          <w:sz w:val="16"/>
        </w:rPr>
        <w:t xml:space="preserve">. Furthermore, the notion of secu­ rity signals a lack of distinction between inside and outside, between the military and the police. Whereas "defense" involves a protective barrier against external threats, "security" justifies a constant martial activity equally in the homeland and abroad. </w:t>
      </w:r>
      <w:r w:rsidRPr="00B974FD">
        <w:rPr>
          <w:rStyle w:val="StyleUnderline"/>
        </w:rPr>
        <w:t>The concept of security only gestures partially and obliquely to the ex­ tensive transformative power involved in this passage. At an abstract, schematic level we can see this shift as an inversion of the traditional arment of power. Think of the arrangement of the elements of mod­ em sovereign power like a Russian matrioshka doll, whose largest shell consists of disciplinary administrative power, which contains the power of political control, which in turn contains in the final instance the power to make war. The productive character of security, however, requires that the order and priority of these nested shells be reversed, such that war is now the outermost container in which is nestled the power of control and fi­ nalyl disciplinary power</w:t>
      </w:r>
      <w:r w:rsidRPr="00C17916">
        <w:rPr>
          <w:sz w:val="16"/>
        </w:rPr>
        <w:t xml:space="preserve">. What is specific to our era, as we claimed earlier, is that war has passed from the final element of the sequences of power­ lethal force as a last resort-to the first and </w:t>
      </w:r>
      <w:r w:rsidRPr="00C17916">
        <w:rPr>
          <w:sz w:val="16"/>
        </w:rPr>
        <w:lastRenderedPageBreak/>
        <w:t xml:space="preserve">primary element, the founda­ tion of politics itself. </w:t>
      </w:r>
      <w:r w:rsidRPr="00E64250">
        <w:rPr>
          <w:rStyle w:val="StyleUnderline"/>
        </w:rPr>
        <w:t>Imperial sovereignty creates order not by purring an end to "the war of each against all," as Hobbes would have it, but by pro­ posing a regime of disciplinary administration and political control di­ rectly based on continuous war action. The constant and coordinated application of violence, in other words, becomes the necessary condition for the functioning of discipline and control. In order for war to occupy this fundamental social and political role, war must be able to accomplish a constituent or regulative function: war must become both a procedural activity and an ordering, regulative activity that creates and maintains so­ cial hierarchies, a form of biopower aimed at the promotion and regulation of social life. To define war by biopower and security changes war's entire legal framework</w:t>
      </w:r>
      <w:r w:rsidRPr="00C17916">
        <w:rPr>
          <w:sz w:val="16"/>
        </w:rPr>
        <w:t xml:space="preserve">. In the modern world the old Clausewitz adage that war is a continuation of politics by other means represented a moment of enlight­ enment insofar as it conceived war as a form of political action and/or sanction and thus implied an international legal framework of modern warfare. It implied both ajus ad bellum (a right to conduct war) and ajus in bello (a legal framework to govern war conduct) . </w:t>
      </w:r>
      <w:r w:rsidRPr="00B974FD">
        <w:rPr>
          <w:rStyle w:val="StyleUnderline"/>
        </w:rPr>
        <w:t>In modernity, war was subordinated to international law and thus legalized or, rather, made a le­ gal instrument. When we reverse the terms, however, and war comes to be considered the basis of the internal politics of the global order, the politics of Empire, then the modern model of civilization that was the basis of le­ galized war collapses. The modern legal framework for declaring and con­ ducting war no longer holds.</w:t>
      </w:r>
      <w:r w:rsidRPr="00C17916">
        <w:rPr>
          <w:sz w:val="16"/>
        </w:rPr>
        <w:t xml:space="preserve"> We are still nonetheless not dealing with a pure and unregulated exercise of violence. War as the foundation of poli­ tics must itself contain legal forms, indeed must construct new procedural forms of law. As cruel and bizarre as these new legal forms may be, war must nonetheless be legally regulative and ordering. Whereas war previ­ ously was regulated through legal structures, war has become regulating by constructing and imposing its own legal framework.34 </w:t>
      </w:r>
      <w:r w:rsidRPr="00B974FD">
        <w:rPr>
          <w:rStyle w:val="StyleUnderline"/>
        </w:rPr>
        <w:t>We should note that to say imperial war is regulative and ordering, and thus contains within itself a constructive element, does not mean that it is a constituent or foundational power in the proper sense</w:t>
      </w:r>
      <w:r w:rsidRPr="00C17916">
        <w:rPr>
          <w:sz w:val="16"/>
        </w:rPr>
        <w:t xml:space="preserve">. The modern rev­ olutionary wars were indeed instances of constituent power; they were foundational insofar as they ovenhrew the old order and imposed from the outside new legal codes and new forms of life. The contemporary im­ perial regulative state of war, in contrast, reproduces and regulates the current order; it creates law and jurisdiction from the inside. Its legal codes are strictly functional to the constant reordering of imperial territories. It is constituent in the way, for example, that the implicit powers of the U.S. Constitution are or the activities of constitutional courts can be in closed juridical systems. These are functional systems that, above all in complex societies, serve as surrogates for democratic expression-and thus function against democracy. In any case, this reordering and regulating power has little to do with constituent power in the proper, foundational sense. It is rather a means to displace and suffocate it.35 The political program of "nation building" in countries like Afghan­ istan and Iraq is one central example of the productive project of biopower and war. Nothing could be more postmodernist and antiessentialist than this notion of nation building. It reveals, on the one hand, that the nation has become something purely contingent, fortuitous, or, as philosophers would say, accidental. That is why nations can be destroyed and fabricated or invented as part of a political program. On the other hand, nations are absolutely necessary as elements of global order and security. The interna­ tional divisions of labor and power, the hierarchies of the global system, and the forms of global apartheid we will discuss in the next chapter all depend on national authorities to be established and enforced. Nations must be made! Nation building thus pretends to be a constituent, even on­ tological, process, but it is really only a pale shadow of the revolutionary processes out of which modern nations were born. The modern revolu­ tions and national liberations that created nations were processes that arose from within the national societies, fruit of a long history of social development. </w:t>
      </w:r>
      <w:r w:rsidRPr="00B974FD">
        <w:rPr>
          <w:rStyle w:val="StyleUnderline"/>
        </w:rPr>
        <w:t xml:space="preserve">The contemporary projects of nation building are by con­ trast imposed by force from the outside through a process that now goes by the name "regime change." Such nation building resembles less the modern revolutionary birth of nations than it does the process of colonial powers dividing up the globe and drawing the maps of their subject terri­ tories. It resembles also, in a more benign register, the battles over redraw­ ing electoral or administrative distticts in order to gain control, cast now, of course, on a global scale. Nation building, in any case, illustrates the "productive" face of biopower and security. </w:t>
      </w:r>
      <w:r w:rsidRPr="00C17916">
        <w:rPr>
          <w:sz w:val="16"/>
        </w:rPr>
        <w:t xml:space="preserve">For another example of the productive nature and regulative legal ca­ pacity of biopower and global war, we can turn back to the renewed con­ ception of "just war." </w:t>
      </w:r>
      <w:r w:rsidRPr="00E64250">
        <w:rPr>
          <w:rStyle w:val="StyleUnderline"/>
        </w:rPr>
        <w:t xml:space="preserve">The current notion of just war should not be reduced to the right of the ruling power to unilateral decision-making and command that could correspond to old conceptions of raison d'etat, as it is used by some of the hawks who pursue today's imperial wars. Neither should just war be reduced to a moral principle, as various religious thinkers and utopian legal theorists seem to want (with the </w:t>
      </w:r>
      <w:r w:rsidRPr="00E64250">
        <w:rPr>
          <w:rStyle w:val="StyleUnderline"/>
        </w:rPr>
        <w:lastRenderedPageBreak/>
        <w:t>danger that just war is transformed into fanaticism and superstition). These are both, in fact, merely old, premodern conceptions that have recently been resur­ rected. It is more instructive to look at a much more recent genealogy of just war and its constituent capacity, specifically the notion of just war as­ sociated with the cold war that served as the basis for the theories of con­ tainment promoted by strategists from George Kennan to Henry Kissinger. The cold war, as we will argue later, was indeed a war, but a war that in­ troduced novel elements, often conducted through low-intensity conflicts simultaneously on various fronts throughout the world</w:t>
      </w:r>
      <w:r w:rsidRPr="00C17916">
        <w:rPr>
          <w:sz w:val="16"/>
        </w:rPr>
        <w:t xml:space="preserve">. What is relevant for our argument here is that these cold war theorists of containment rein­ terpreted the traditional morality of just war. The cold war was a just war in their view not because it could destroy the Communist and Soviet threats but because it could contain them. Just war in this case is no longer a moral justification for temporally limited acts of violence and destruc­ tion, as it was traditionally, but rather for maintaining a permanent stasis of global order. That cold war idea of justice and containment provides a key to both the indefinite duration and the regulative and ordering func­ tions that imperial war can have today. The cold war, however, never arrived at an ontological concept of war. Its notion of containment was static or perhaps dialectical. Only after the end of the cold war has war begun to become truly constructive. The Bush senior foreign policy doctrine, for example, was constitutive in the sense that the 1 99 1 Persian Gulf War, although its primary objective was to re­ store Kuwait's national sovereignty, was also part of a project to create a "new world order." The Clinton administration's policies of humanitarian wars, peacekeeping, and nation building had analogous aspects, aimed at constructing, for instance, a new political order in the Balkans. Both ad­ ministrations promoted, at least in part, the moral criterion of just war as a constitutive element of politics in order to redraw the geopolitical map. </w:t>
      </w:r>
      <w:r w:rsidRPr="00B974FD">
        <w:rPr>
          <w:rStyle w:val="StyleUnderline"/>
        </w:rPr>
        <w:t>Finally, the Bush junior administration, particularly after the attacks of September 1 1 and the policy shift from defense to security, has made ex­ plicit the global reach and the active, constituent function of war in global order, even though this remains an incomplete and uneven process that will advance and retreat for some time in various forms. Imperial war is charged with the task of shaping the global political environment and thus become a form of biopower in the positive, productive sense. It may ap­ pear that we have arrived at the point of a reactionary revolution, when imperial war founds a new global order, but really this is merely a regulat­ ing process that consolidates the existing order of Empire.36</w:t>
      </w:r>
    </w:p>
    <w:p xmlns:wp14="http://schemas.microsoft.com/office/word/2010/wordml" w:rsidRPr="007434D0" w:rsidR="00507555" w:rsidP="00507555" w:rsidRDefault="00507555" w14:paraId="6C57C439" wp14:textId="77777777"/>
    <w:p xmlns:wp14="http://schemas.microsoft.com/office/word/2010/wordml" w:rsidRPr="00FD6A0F" w:rsidR="00507555" w:rsidP="00507555" w:rsidRDefault="00507555" w14:paraId="0FC2A365" wp14:textId="77777777">
      <w:pPr>
        <w:keepNext/>
        <w:keepLines/>
        <w:spacing w:before="40" w:after="0"/>
        <w:outlineLvl w:val="3"/>
        <w:rPr>
          <w:rFonts w:eastAsiaTheme="majorEastAsia" w:cstheme="majorBidi"/>
          <w:b/>
          <w:bCs/>
          <w:iCs/>
          <w:sz w:val="26"/>
        </w:rPr>
      </w:pPr>
      <w:r w:rsidRPr="00FD6A0F">
        <w:rPr>
          <w:rFonts w:eastAsiaTheme="majorEastAsia" w:cstheme="majorBidi"/>
          <w:b/>
          <w:bCs/>
          <w:iCs/>
          <w:sz w:val="26"/>
        </w:rPr>
        <w:t>Their strategy of localist politics will fail – as Empire becomes increasingly globalized, our resistance must proliferate too. They forget that Empire thrives on the their very goal – the removal of barriers to capital flows via the abolition of borders. Instead of giving the Empire what it wants, we should prioritize the reterritorialization of borders and the deterritorialization of the imperial machine.</w:t>
      </w:r>
    </w:p>
    <w:p xmlns:wp14="http://schemas.microsoft.com/office/word/2010/wordml" w:rsidRPr="00491A51" w:rsidR="00507555" w:rsidP="00507555" w:rsidRDefault="00507555" w14:paraId="125A7E20" wp14:textId="77777777">
      <w:pPr>
        <w:rPr>
          <w:rStyle w:val="Style13ptBold"/>
          <w:b w:val="0"/>
        </w:rPr>
      </w:pPr>
      <w:r>
        <w:rPr>
          <w:rStyle w:val="Style13ptBold"/>
        </w:rPr>
        <w:t xml:space="preserve">Hardt and Negri </w:t>
      </w:r>
      <w:r w:rsidRPr="00491A51">
        <w:rPr>
          <w:rStyle w:val="Style13ptBold"/>
        </w:rPr>
        <w:t>00</w:t>
      </w:r>
      <w:r w:rsidRPr="007434D0">
        <w:rPr>
          <w:sz w:val="16"/>
        </w:rPr>
        <w:t xml:space="preserve"> (Michael, American literary theorist and political philosopher, best known for his book Empire, which was co-written with Antonio, Italian Marxist sociologist and political philosopher, best known for his co-authorship of Empire and secondarily for his work on Spinoza, Empire, 42-52, Harvard University Press, 2000) //jd&amp;KI</w:t>
      </w:r>
    </w:p>
    <w:p xmlns:wp14="http://schemas.microsoft.com/office/word/2010/wordml" w:rsidRPr="00D732DA" w:rsidR="00507555" w:rsidP="00507555" w:rsidRDefault="00507555" w14:paraId="5726E5A5" wp14:textId="77777777">
      <w:pPr>
        <w:rPr>
          <w:sz w:val="16"/>
        </w:rPr>
      </w:pPr>
      <w:r w:rsidRPr="00D732DA">
        <w:rPr>
          <w:sz w:val="16"/>
        </w:rPr>
        <w:t xml:space="preserve">Flirting with Hegel, one could say that the construction of Empire is good in itself but not for itself.1 One </w:t>
      </w:r>
      <w:r w:rsidRPr="00B974FD">
        <w:rPr>
          <w:rStyle w:val="StyleUnderline"/>
        </w:rPr>
        <w:t xml:space="preserve">of the most powerful operations of the modern imperialist power structures was to drive wedges among the masses of the globe, dividing them into opposing camps, or really a myriad of conflicting parties. Segments of the proletariat in the dominant countries were even led to believe that their interests were tied exclusively to their national identity and imperial destiny. The most significant instances of revolt and revolu- tion against these modern power structures therefore were those that posed the struggle against exploitation together with the struggle against nationalism, colonialism, and imperialism. In these events humanity appeared for a magical moment to be united by a common desire for </w:t>
      </w:r>
      <w:r w:rsidRPr="00B974FD">
        <w:rPr>
          <w:rStyle w:val="StyleUnderline"/>
        </w:rPr>
        <w:lastRenderedPageBreak/>
        <w:t>liberation, and we seemed to catch a glimpse of a future when the modern mechanisms of domination would once and for all be destroyed. The revolting masses, their desire for liberation, their experiments to construct alternatives, and their instances of constituent power have all at their best moments pointed toward the internationalization and globalization of relationships, beyond the divisions of national, colonial, and imperialist rule</w:t>
      </w:r>
      <w:r w:rsidRPr="00D732DA">
        <w:rPr>
          <w:sz w:val="16"/>
        </w:rPr>
        <w:t xml:space="preserve">. In our time thisdesirethatwassetinmotionbythemultitudehasbeenaddressed (in a strange and perverted but nonetheless real way) by the construc- tionofEmpire.OnemightevensaythattheconstructionofEmpire and its global networks is a response to the various struggles against the modern machines of power, and specifically to class struggle drivenbythemultitude’sdesireforliberation.Themultitudecalled Empire into being. </w:t>
      </w:r>
      <w:r w:rsidRPr="00E64250">
        <w:rPr>
          <w:rStyle w:val="StyleUnderline"/>
        </w:rPr>
        <w:t xml:space="preserve">Saying that Empire is good in itself, however, does not mean that it is good for itself. Although Empire may have played a role in putting an end to colonialism and imperialism, it nonetheless constructs its own relationships of power based on exploitation that are in many respects more brutal than those it destroyed. The end of the dialectic of modernity has not resulted in the end of the dialectic of exploitation. Today nearly all of humanity is to some degree absorbed within or subordinated to the networks of capitalist exploitation. We see now an ever more extreme separation of a small minority that controls enormous wealth from multitudes that live in poverty at the limit of powerlessness. The geographical and racial lines of oppression and exploitation that were established during the era of colonialism and imperialism have in many respects not declined but instead increased exponentially. </w:t>
      </w:r>
      <w:r w:rsidRPr="00D732DA">
        <w:rPr>
          <w:sz w:val="16"/>
        </w:rPr>
        <w:t xml:space="preserve">Despite recognizing all this, we insist on asserting that the constructionofEmpireisastepforwardinordertodoawaywith any nostalgia for the power structures that preceded it and refuse any political strategy that involves returning to that old arrangement, such as trying to resurrect the nation-state to protect against global capital.WeclaimthatEmpireisbetterinthesamewaythatMarx insists that capitalism is better than the forms of society and modes ofproductionthatcamebeforeit.Marx’sviewisgroundedona healthy and lucid disgust for the parochial and rigid hierarchies that precededcapitalistsocietyaswellasonarecognitionthatthe potential for liberation is increased in the new situation. In the samewaytodaywecanseethatEmpiredoesawaywiththecruel regimes of modern power and also increases the potential for liber- ation. We are well aware that in affirming this thesis we are swimming against the current of our friends and comrades on the Left. In the long decades of the current crisis of the communist, socialist, and liberalLeftthathasfollowedthe1960s,alargeportionofcritical thought, both in the dominant countries of capitalist development and in the subordinated ones, has sought to recompose sites of resistance that are founded on the identities of social subjects or national and regional groups, often grounding political analysis on the localization of struggles. </w:t>
      </w:r>
      <w:r w:rsidRPr="00B974FD">
        <w:rPr>
          <w:rStyle w:val="StyleUnderline"/>
        </w:rPr>
        <w:t xml:space="preserve">Such arguments are sometimes constructed intermsof‘‘place-based’’movementsorpolitics,inwhichthe boundaries of place (conceived either as identity or as territory) are posed against the undifferentiated and homogeneous space of global networks.2 At other times such political arguments draw on the long tradition of Leftist nationalism in which (in the best cases) the nation is conceived as the primary mechanism of defense against the domination of foreign and/or global capital.3 </w:t>
      </w:r>
      <w:r w:rsidRPr="00E64250">
        <w:rPr>
          <w:rStyle w:val="StyleUnderline"/>
        </w:rPr>
        <w:t xml:space="preserve">Today the operative syllogism at the heart of the various forms of ‘‘local’’ Leftist strategy seems to be entirely reactive: If capitalist domination is becoming ever more global, then our resistances to it must defend the local and construct barriers to capital’s accelerating flows. From this per- spective, the real globalization of capital and the constitution of Empire must be considered signs of dispossession and defeat. </w:t>
      </w:r>
      <w:r w:rsidRPr="00D732DA">
        <w:rPr>
          <w:sz w:val="16"/>
        </w:rPr>
        <w:t xml:space="preserve">We maintain, however, that today this localist position, al- though we admire and respect the spirit of some of its proponents, is both false and damaging. </w:t>
      </w:r>
      <w:r w:rsidRPr="00B974FD">
        <w:rPr>
          <w:rStyle w:val="StyleUnderline"/>
        </w:rPr>
        <w:t xml:space="preserve">It is false first of all because the problem is poorly posed. In many characterizations the problem rests on a false dichotomy between the global and the local, assuming that the global entails homogenization and undifferentiated identity whereas the local preserves heterogeneity and difference. Often implicit in such arguments is the assumption that the differences of the local are in some sense natural, or at least that their origin remains beyond question. Local differences preexist the present scene and must be defended or protected against the intrusion of globalization. It should come as no surprise, given such assumptions, that many defenses of the local adopt the terminology of traditional ecology or even identify this </w:t>
      </w:r>
      <w:r w:rsidRPr="00B974FD">
        <w:rPr>
          <w:rStyle w:val="StyleUnderline"/>
        </w:rPr>
        <w:lastRenderedPageBreak/>
        <w:t>‘‘local’’ political project with the defense of nature and biodiversity. This view can easily devolve into a kind of primordialism that fixes and romanticizes social relations and identities</w:t>
      </w:r>
      <w:r w:rsidRPr="00D732DA">
        <w:rPr>
          <w:sz w:val="16"/>
        </w:rPr>
        <w:t xml:space="preserve">. What needs to be addressed, instead, is precisely the production of locality, that is, the social machines that create and re- create the identities and differences that are understood as the local.4 The differences of locality are neither preexisting nor natural but rather effects of a regime of production. Globality similarly should not be understood in terms of cultural, political, or economic homog- enization. </w:t>
      </w:r>
      <w:r w:rsidRPr="00E64250">
        <w:rPr>
          <w:rStyle w:val="StyleUnderline"/>
        </w:rPr>
        <w:t xml:space="preserve">Globalization, like localization, should be understood in- stead as a regime of the production of identity and difference, or really of homogenization and heterogenization. The better frame- work, then, to designate the distinction between the global and the local might refer to different networks of flows and obstacles in which the local moment or perspective gives priority to the reterritorializing barriers or boundaries and the global moment privi- leges the mobility of deterritorializing flows. It is false, in any case, to claim that we can (re)establish local identities that are in some sense outside and protected against the global flows of capital and Empire. </w:t>
      </w:r>
      <w:r w:rsidRPr="00D732DA">
        <w:rPr>
          <w:sz w:val="16"/>
        </w:rPr>
        <w:t xml:space="preserve">This Leftist strategy of resistance to globalization and defense of locality is also damaging because in many cases what appear as local identities are not autonomous or self-determining but actually feed into and support the development of the capitalist imperial machine. </w:t>
      </w:r>
      <w:r w:rsidRPr="00B974FD">
        <w:rPr>
          <w:rStyle w:val="StyleUnderline"/>
        </w:rPr>
        <w:t>The globalization or deterritorialization operated by the imperial machine is not in fact opposed to localization or reterritori- alization, but rather sets in play mobile and modulating circuits of differentiation and identification. The strategy of local resistance misidentifies and thus masks the enemy. We are by no means opposed to the globalization of relationships as such—infact, as we said, the strongest forces of Leftist internationalism have effec- tively led this process. The enemy, rather, is a specific regime of global relations that we call Empire.</w:t>
      </w:r>
      <w:r w:rsidRPr="00D732DA">
        <w:rPr>
          <w:sz w:val="16"/>
        </w:rPr>
        <w:t xml:space="preserve"> More important, this strategy of defending the local is damaging because it obscures and even negates the real alternatives and the potentials for liberation that exist within Empire. We should be done once and for all with the search for an outside, a standpoint that imagines a purity for our politics. It is better both theoretically and practically to enter the terrain of Empire and confront its homogenizing and heterogenizing flows in all their complexity, grounding our analysis in the power of the global multitude. The Ontological Drama of the Res Gestae The legacy of modernity is a legacy of fratricidal wars, devastating ‘‘development,’’ cruel ‘‘civilization,’’ and previously unimagined vi- olence. Erich Auerbach once wrote that tragedy is the only genre thatcanproperlyclaimrealisminWesternliterature,andperhaps thisistruepreciselybecauseofthetragedyWesternmodernityhas imposedontheworld</w:t>
      </w:r>
      <w:r w:rsidRPr="00B974FD">
        <w:rPr>
          <w:rStyle w:val="StyleUnderline"/>
        </w:rPr>
        <w:t>. 5Concentrationcamps,nuclearweapons, genocidal wars, slavery, apartheid: it is not difficult to enumerate the various scenes of the tragedy. By insisting on the tragic character of modernity, however, we certainly do not mean to follow the ‘‘tragic’’ philosophers of Europe, from Schopenhauer to Heidegger, who turn these real destructions into metaphysical narratives about the negativity of being, as if these actual tragedies were merely an illusion, or rather as if they were our ultimate destiny! Modern negativity is located not in any transcendent realm but in the hard reality before us: the fields of patriotic battles in the First and Second World Wars, from the killing fields at Verdun to the Nazi furnaces and the swift annihilation of thousands in Hiroshima and Nagasaki, the carpet bombing of Vietnam and Cambodia, the massacres from Se ́tif and Soweto to Sabra and Shatila, and the list goes on and on</w:t>
      </w:r>
      <w:r w:rsidRPr="00D732DA">
        <w:rPr>
          <w:sz w:val="16"/>
        </w:rPr>
        <w:t xml:space="preserve">. There is no Job who can sustain such suffering! (And anyone who starts compiling such a list quickly realizes how inadequate it is to the quantity and quality of the tragedies.) Well, if that modernity has come to an end, and if the modern nation-state that served as the ineluctable condition for imperialist domination and innumera- ble wars is disappearing from the world scene, then good riddance! We must cleanse ourselves of any misplaced nostalgia for the belle e ́poque of that modernity. </w:t>
      </w:r>
      <w:r w:rsidRPr="00E64250">
        <w:rPr>
          <w:rStyle w:val="StyleUnderline"/>
        </w:rPr>
        <w:t xml:space="preserve">We cannot be satisfied, however, with that political condemnation of modern power that relies on the historiarerumgestarum, the objective history we have inherited. We need to consider also the power of the res gestae, the power of the multitude to make history that continues and is reconfigured today within Empire. It is a question of transforming a necessity imposed on the multitude—a necessity that was to a certain extent solicited by the multitude itself throughout modernity as a line of flight from localized misery and </w:t>
      </w:r>
      <w:r w:rsidRPr="00E64250">
        <w:rPr>
          <w:rStyle w:val="StyleUnderline"/>
        </w:rPr>
        <w:lastRenderedPageBreak/>
        <w:t xml:space="preserve">exploitation—into a condition of possibility of liberation, a new possibility on this new terrain of humanity. </w:t>
      </w:r>
      <w:r w:rsidRPr="00D732DA">
        <w:rPr>
          <w:sz w:val="16"/>
        </w:rPr>
        <w:t xml:space="preserve">This is when the ontological drama begins, when the curtain goesuponasceneinwhichthedevelopmentofEmpirebecomes its own critique and its process of construction becomes the process of its overturning. </w:t>
      </w:r>
      <w:r w:rsidRPr="00B974FD">
        <w:rPr>
          <w:rStyle w:val="StyleUnderline"/>
        </w:rPr>
        <w:t>This drama is ontological in the sense that here, in these processes, being is produced and reproduced. This drama will have to be clarified and articulated much further as our study proceeds, but we should insist right from the outset that this is not simply another variant of dialectical enlightenment. We are not proposing the umpteenth version of the inevitable passage through purgatory (here in the guise of the new imperial machine) in order to offer a glimmer of hope for radiant futures. We are not repeating the schema of an ideal teleology that justifies any passage in the name of a promised end</w:t>
      </w:r>
      <w:r w:rsidRPr="00D732DA">
        <w:rPr>
          <w:sz w:val="16"/>
        </w:rPr>
        <w:t xml:space="preserve">. On the contrary, our reasoning here is based on two methodological approaches that are intended to be nondialectical and absolutely immanent: the first is critical and decon- structive, aiming to subvert the hegemonic languages and social structures and thereby reveal an alternative ontological basis that residesinthecreativeandproductivepracticesofthemultitude; the second is constructive and ethico-political, seeking to lead the pro- cessesoftheproductionofsubjectivitytowardtheconstitutionof an effective social, political alternative, a new constituent power.6 </w:t>
      </w:r>
      <w:r w:rsidRPr="00E64250">
        <w:rPr>
          <w:rStyle w:val="StyleUnderline"/>
        </w:rPr>
        <w:t>Our critical approach addresses the need for a real ideological and material deconstruction of the imperial order. In the postmod- ern world, the ruling spectacle of Empire is constructed through a variety of self-legitimating discourses and structures.</w:t>
      </w:r>
      <w:r w:rsidRPr="00D732DA">
        <w:rPr>
          <w:sz w:val="16"/>
        </w:rPr>
        <w:t xml:space="preserve"> Long ago au- thors as diverse as Lenin, Horkheimer and Adorno, and Debord recognized this spectacle as the destiny of triumphant capitalism. Despite their important differences, such authors offer us real antici- pations of the path of capitalist development.7 </w:t>
      </w:r>
      <w:r w:rsidRPr="00E64250">
        <w:rPr>
          <w:rStyle w:val="StyleUnderline"/>
        </w:rPr>
        <w:t>Our deconstruction of this spectacle cannot be textual alone, but must seek continually to focus its powers on the nature of events and the real determina- tions of the imperial processes in motion today. The critical approach is thus intended to bring to light the contradictions, cycles, and crises of the process because in each of these moments the imagined necessity of the historical development can open toward alternative possibilities</w:t>
      </w:r>
      <w:r w:rsidRPr="00D732DA">
        <w:rPr>
          <w:sz w:val="16"/>
        </w:rPr>
        <w:t>. Inotherwords,thedeconstructionofthehistoriarerum gestarum,ofthespectralreignofglobalizedcapitalism,revealsthe possibility of alternative social organizations. This is perhaps as far aswecangowiththemethodologicalscaffoldingofacritical and materialist deconstructionism—but this is already an enormous contribution!8 This is where the first methodological approach has to pass the baton to the second, the constructive and ethico-political approach</w:t>
      </w:r>
      <w:r w:rsidRPr="00B974FD">
        <w:rPr>
          <w:rStyle w:val="StyleUnderline"/>
        </w:rPr>
        <w:t>. Here we must delve into the ontological substrate of the concrete alternatives continually pushed forward by the res gestae, the subjec- tive forces acting in the historical context. What appears here is not a new rationality but a new scenario of different rational acts—a horizon of activities, resistances, wills, and desires that refuse the hegemonic order, propose lines of flight, and forge alternative con- stitutive itinerarie</w:t>
      </w:r>
      <w:r w:rsidRPr="00D732DA">
        <w:rPr>
          <w:sz w:val="16"/>
        </w:rPr>
        <w:t xml:space="preserve">s. This real substrate, open to critique, revised by the ethico-political approach, represents the real ontological referent of philosophy, or really the field proper to a philosophy of liberation. This approach breaks methodologically with every philosophy of history insofar as it refuses any deterministic conception of historical development and any ‘‘rational’’ celebration of the result. It demon- strates, on the contrary, how the historical event resides in potential- ity. ‘‘It is not the two that recompose in one, but the one that opens into two,’’ according to the beautiful anti-Confucian (and anti-Platonic) formula of the Chinese revolutionaries.9 Philosophy is not the owl of Minerva that takes flight after history has been realized in order to celebrate its happy ending; rather, philosophy is subjective proposition, desire, and praxis that are applied to the event. Refrains of the ‘‘Internationale’’ </w:t>
      </w:r>
      <w:r w:rsidRPr="00E64250">
        <w:rPr>
          <w:rStyle w:val="StyleUnderline"/>
        </w:rPr>
        <w:t>There was a time, not so long ago, when internationalism was a key component of proletarian struggles and progressive politics in general. ‘‘The proletariat has no country,’’ or better, ‘‘the country of the proletariat is the entire world.’’ The ‘‘Internationale’’ was the hymn of revolutionaries, the song of utopian futures</w:t>
      </w:r>
      <w:r w:rsidRPr="00D732DA">
        <w:rPr>
          <w:sz w:val="16"/>
        </w:rPr>
        <w:t xml:space="preserve">. We should note that the utopia expressed in these slogans is in fact not really internationalist, if by internationalist we understand a kind of con- sensus among the various national identities that preserves their differences but negotiates some limited agreement. Rather, proletar- ian internationalism was antinationalist, and hence supranational and global. Workers of the world unite!—not on the basis of national identities but directly through common needs and desires, without regard to borders and boundaries. </w:t>
      </w:r>
      <w:r w:rsidRPr="00B974FD">
        <w:rPr>
          <w:rStyle w:val="StyleUnderline"/>
        </w:rPr>
        <w:t xml:space="preserve">Internationalism was the will of an active mass subject that recognized that the nation-states were key agents of capitalist exploi- tation and that the multitude was continually drafted to fight their senseless wars—in short, that the nation-state was a political form whose contradictions could not be subsumed </w:t>
      </w:r>
      <w:r w:rsidRPr="00B974FD">
        <w:rPr>
          <w:rStyle w:val="StyleUnderline"/>
        </w:rPr>
        <w:lastRenderedPageBreak/>
        <w:t>and sublimated but only destroyed</w:t>
      </w:r>
      <w:r w:rsidRPr="00D732DA">
        <w:rPr>
          <w:sz w:val="16"/>
        </w:rPr>
        <w:t xml:space="preserve">. International solidarity was really a project for the destruction of the nation-state and the construction of a new global community. This proletarian program stood behind the often am- biguous tactical definitions that socialist and communist parties pro- duced during the century of their hegemony over the proletariat.10 If the nation-state was a central link in the chain of domination and thus had to be destroyed, then the national proletariat had as a primary task destroying itself insofar as it was defined by the nation and thus bringing international solidarity out of the prison in which it had been trapped. International solidarity had to be recognized not as an act of charity or altruism for the good of others, a noble sacrifice for another national working class, but rather as proper to and inseparable from each national proletariat’s own desire and struggle for liberation. </w:t>
      </w:r>
      <w:r w:rsidRPr="00E64250">
        <w:rPr>
          <w:rStyle w:val="StyleUnderline"/>
        </w:rPr>
        <w:t xml:space="preserve">Proletarian internationalism constructed a paradoxical and powerful political machine that pushed continually beyond the boundaries and hierarchies of the nation-states and posed utopian futures only on the global terrain. </w:t>
      </w:r>
      <w:r w:rsidRPr="00D732DA">
        <w:rPr>
          <w:sz w:val="16"/>
        </w:rPr>
        <w:t xml:space="preserve">Today we should all clearly recognize that the time of such proletarian internationalism is over. </w:t>
      </w:r>
      <w:r w:rsidRPr="00B974FD">
        <w:rPr>
          <w:rStyle w:val="StyleUnderline"/>
        </w:rPr>
        <w:t xml:space="preserve">That does not negate the fact, however, that the concept of internationalism really lived among the masses and deposited a kind of geological stratum of suffering and desire, a memory of victories and defeats, a residue of ideological tensions and needs. Furthermore, the proletariat does in fact find itself today not just international but (at least tendentially) global. One might be tempted to say that proletarian internationalism actu- ally ‘‘won’’ in light of the fact that the powers of nation-states have declined in the recent passage toward globalization and Empire, but that would be a strange and ironic notion of </w:t>
      </w:r>
      <w:r w:rsidRPr="00D732DA">
        <w:rPr>
          <w:sz w:val="16"/>
        </w:rPr>
        <w:t xml:space="preserve">victory. It is more accurate to say, following the William Morris quotation that serves as one of the epigraphs for this book, that what they fought for came about despite their defeat. The practice of proletarian internationalism was expressed most clearly in the international cycles of struggles. In this framework the (national) general strike and insurrection against the (nation-) state were only really conceivable as elements of communication among struggles and processes of liberation on the internationalist terrain. From Berlin to Moscow, from Paris to New Delhi, from Algiers to Hanoi, from Shanghai to Jakarta, from Havana to New York, struggles resonated with one another throughout the nine- teenth and twentieth centuries. A cycle was constructed as news of a revolt was communicated and applied in each new context, just as in an earlier era merchant ships carried the news of slave revolt from island to island around the Caribbean, igniting a stubborn string of fires that could not be quenched. For a cycle to form, the recipients of the news must be able to ‘‘translate’’ the events into their own language, recognize the struggles as their own, and thus add a link to the chain. In some cases this ‘‘translation’’ is rather elaborate: how Chinese intellectuals at the turn of the twentieth century, for example, could hear of the anticolonial struggles in the Philippines and Cuba and translate them into the terms of their ownrevolutionaryprojects.Inothercasesitismuchmoredirect: how the factory council movement in Turin, Italy, was immediately inspired by the news of the Bolshevik victory in Russia. Rather than thinking of the struggles as relating to one another like links in a chain, it might be better to conceive of them as communicating like a virus that modulates its form to find in each context an adequate host. </w:t>
      </w:r>
      <w:r w:rsidRPr="00B974FD">
        <w:rPr>
          <w:rStyle w:val="StyleUnderline"/>
        </w:rPr>
        <w:t xml:space="preserve">It would not be hard to map the periods of extreme intensity of these cycles. A first wave might be seen as beginning after 1848 with the political agitation of the First International, continuing in the 1880s and 1890s with the formation of socialist political and trade union organizations, and then rising to a peak after the Russian revolution of 1905 and the first international cycle of anti-imperialist struggles.11 A second wave arose after the Soviet revolution of 1917, which was followed by an international progression of struggles that could only be contained by fascisms on one side and reabsorbed by the New Deal and antifascist fronts on the other. And finally there was the wave of struggles that began with the Chinese revolution and proceeded through the African and Latin American liberation struggles to the explosions of the 1960s throughout the world. </w:t>
      </w:r>
      <w:r w:rsidRPr="00D732DA">
        <w:rPr>
          <w:sz w:val="16"/>
        </w:rPr>
        <w:t xml:space="preserve">These international cycles of struggles were the real motor that drove the development of the institutions of capital and that drove it in a process of reform and restructuring.12 Proletarian, anticolonial, and anti-imperialist internationalism, the struggle for communism, which lived in all the most powerful insurrectional events of the nineteenth and twentieth centuries, anticipated and prefiguredtheprocessesoftheglobalizationofcapitalandthe formationofEmpire.InthiswaytheformationofEmpireisa response to proletarian internationalism. There is nothing dialectical or teleological about this anticipation and prefiguration of capitalist development by the mass struggles. On the contrary, the struggles themselves are demonstrations of the creativity of desire, utopias of lived experience, the workings of historicity as potentiality—in short, the struggles are the naked reality of the res gestae. A teleology of sorts is constructed only after the fact, post festum. </w:t>
      </w:r>
      <w:r w:rsidRPr="00E64250">
        <w:rPr>
          <w:rStyle w:val="StyleUnderline"/>
        </w:rPr>
        <w:t xml:space="preserve">The struggles that preceded and prefigured globalization were expressions of the force of living labor, which sought to liberate itself from the rigid territorializing regimes imposed on it. As it contests the dead labor accumulated against it, living labor always seeks to break the fixed territorializing structures, the national orga- nizations, and the political figures that keep it prisoner. With the force of living labor, its restless activity, and its </w:t>
      </w:r>
      <w:r w:rsidRPr="00E64250">
        <w:rPr>
          <w:rStyle w:val="StyleUnderline"/>
        </w:rPr>
        <w:lastRenderedPageBreak/>
        <w:t>deterritorializing desire, this process of rupture throws open all the windows of history. When one adopts the perspective of the activity of the multitude, its production of subjectivity and desire, one can recog- nize how globalization, insofar as it operates a real deterritorialization of the previous structures of exploitation and control, is really a condition of the liberation of the multitude. But how can this potential for liberation be realized today?</w:t>
      </w:r>
      <w:r w:rsidRPr="00D732DA">
        <w:rPr>
          <w:sz w:val="16"/>
        </w:rPr>
        <w:t xml:space="preserve"> Does that same uncontain- able desire for freedom that broke and buried the nation-state and that determined the transition toward Empire still live beneath the ashes of the present, the ashes of the fire that consumed the internationalist proletarian subject that was centered on the industrial working class? What has come to stand in the place of that subject? In what sense can we say that the ontological rooting of a new multitude has come to be a positive or alternative actor in the articulationofglobalization?</w:t>
      </w:r>
      <w:r w:rsidRPr="00D732DA">
        <w:rPr>
          <w:rStyle w:val="Style13ptBold"/>
          <w:sz w:val="16"/>
        </w:rPr>
        <w:t xml:space="preserve"> </w:t>
      </w:r>
    </w:p>
    <w:p xmlns:wp14="http://schemas.microsoft.com/office/word/2010/wordml" w:rsidR="00507555" w:rsidP="00507555" w:rsidRDefault="00507555" w14:paraId="3D404BC9" wp14:textId="77777777"/>
    <w:p xmlns:wp14="http://schemas.microsoft.com/office/word/2010/wordml" w:rsidRPr="00454764" w:rsidR="00507555" w:rsidP="00507555" w:rsidRDefault="00507555" w14:paraId="461E6914" wp14:textId="77777777">
      <w:pPr>
        <w:keepNext/>
        <w:keepLines/>
        <w:spacing w:before="40" w:after="0"/>
        <w:outlineLvl w:val="3"/>
        <w:rPr>
          <w:rFonts w:eastAsiaTheme="majorEastAsia" w:cstheme="majorBidi"/>
          <w:b/>
          <w:bCs/>
          <w:iCs/>
          <w:sz w:val="26"/>
        </w:rPr>
      </w:pPr>
      <w:r w:rsidRPr="00454764">
        <w:rPr>
          <w:rFonts w:eastAsiaTheme="majorEastAsia" w:cstheme="majorBidi"/>
          <w:b/>
          <w:bCs/>
          <w:iCs/>
          <w:sz w:val="26"/>
        </w:rPr>
        <w:t xml:space="preserve">The alternative </w:t>
      </w:r>
      <w:r>
        <w:rPr>
          <w:rFonts w:eastAsiaTheme="majorEastAsia" w:cstheme="majorBidi"/>
          <w:b/>
          <w:bCs/>
          <w:iCs/>
          <w:sz w:val="26"/>
        </w:rPr>
        <w:t xml:space="preserve">is </w:t>
      </w:r>
      <w:r w:rsidRPr="00454764">
        <w:rPr>
          <w:rFonts w:eastAsiaTheme="majorEastAsia" w:cstheme="majorBidi"/>
          <w:b/>
          <w:bCs/>
          <w:iCs/>
          <w:sz w:val="26"/>
        </w:rPr>
        <w:t>the multitude, a mode of proliferated tactics that disrupts notions of sovereignty. This is a method of resistance that neither devolves into biocapitalist unity or anarchist fragmentary but rather exists as a living flesh that rules itself. Only by acknowledging Empire’s new expanses can we find new solidarities</w:t>
      </w:r>
    </w:p>
    <w:p xmlns:wp14="http://schemas.microsoft.com/office/word/2010/wordml" w:rsidR="00507555" w:rsidP="00507555" w:rsidRDefault="00507555" w14:paraId="2F683DE9" wp14:textId="77777777">
      <w:pPr>
        <w:tabs>
          <w:tab w:val="left" w:pos="8958"/>
        </w:tabs>
        <w:spacing w:after="0" w:line="240" w:lineRule="auto"/>
        <w:rPr>
          <w:rFonts w:eastAsiaTheme="minorEastAsia"/>
          <w:sz w:val="16"/>
        </w:rPr>
      </w:pPr>
      <w:r w:rsidRPr="007434D0">
        <w:rPr>
          <w:rStyle w:val="Style13ptBold"/>
        </w:rPr>
        <w:t>Hardt and Negri ’04</w:t>
      </w:r>
      <w:r w:rsidRPr="007434D0">
        <w:rPr>
          <w:sz w:val="16"/>
        </w:rPr>
        <w:t xml:space="preserve"> [Michael, American literary theorist and political philosopher, best known for his book Empire, which was co-written with Antonio, Italian Marxist sociologist and political philosopher, best known for his co-authorship of Empire</w:t>
      </w:r>
      <w:r w:rsidRPr="007434D0">
        <w:rPr>
          <w:rFonts w:eastAsiaTheme="minorEastAsia"/>
          <w:bCs/>
          <w:sz w:val="16"/>
        </w:rPr>
        <w:t xml:space="preserve"> and secondarily for his work on Spinoza, </w:t>
      </w:r>
      <w:r w:rsidRPr="007434D0">
        <w:rPr>
          <w:rFonts w:eastAsiaTheme="minorEastAsia"/>
          <w:bCs/>
          <w:i/>
          <w:sz w:val="16"/>
        </w:rPr>
        <w:t>Multitude: War and Democracy in the Age of Empire,</w:t>
      </w:r>
      <w:r w:rsidRPr="007434D0">
        <w:rPr>
          <w:rFonts w:eastAsiaTheme="minorEastAsia"/>
          <w:bCs/>
          <w:sz w:val="16"/>
        </w:rPr>
        <w:t xml:space="preserve"> 99-102, The Penguin Press, 2004</w:t>
      </w:r>
      <w:r w:rsidRPr="007434D0">
        <w:rPr>
          <w:rFonts w:eastAsiaTheme="minorEastAsia"/>
          <w:sz w:val="16"/>
        </w:rPr>
        <w:t>]//KI</w:t>
      </w:r>
    </w:p>
    <w:p xmlns:wp14="http://schemas.microsoft.com/office/word/2010/wordml" w:rsidRPr="007434D0" w:rsidR="00507555" w:rsidP="00507555" w:rsidRDefault="00507555" w14:paraId="61319B8A" wp14:textId="77777777">
      <w:pPr>
        <w:tabs>
          <w:tab w:val="left" w:pos="8958"/>
        </w:tabs>
        <w:spacing w:after="0" w:line="240" w:lineRule="auto"/>
        <w:rPr>
          <w:rFonts w:eastAsiaTheme="minorEastAsia"/>
          <w:sz w:val="16"/>
        </w:rPr>
      </w:pPr>
    </w:p>
    <w:p xmlns:wp14="http://schemas.microsoft.com/office/word/2010/wordml" w:rsidRPr="00454764" w:rsidR="00507555" w:rsidP="00507555" w:rsidRDefault="00507555" w14:paraId="44992450" wp14:textId="77777777">
      <w:pPr>
        <w:spacing w:after="0" w:line="240" w:lineRule="auto"/>
        <w:rPr>
          <w:rFonts w:ascii="Times" w:hAnsi="Times" w:cs="Times New Roman" w:eastAsiaTheme="minorEastAsia"/>
          <w:sz w:val="20"/>
          <w:szCs w:val="20"/>
          <w:lang w:eastAsia="ja-JP"/>
        </w:rPr>
      </w:pPr>
      <w:r w:rsidRPr="00454764">
        <w:rPr>
          <w:rFonts w:cs="Times New Roman" w:eastAsiaTheme="minorEastAsia"/>
          <w:b/>
          <w:bCs/>
          <w:color w:val="000000"/>
          <w:u w:val="single"/>
          <w:lang w:eastAsia="ja-JP"/>
        </w:rPr>
        <w:t>Political action aimed at transformation and liberation today can only be conducted on the basis of the multitude.</w:t>
      </w:r>
      <w:r w:rsidRPr="00454764">
        <w:rPr>
          <w:rFonts w:cs="Times New Roman" w:eastAsiaTheme="minorEastAsia"/>
          <w:color w:val="000000"/>
          <w:sz w:val="16"/>
          <w:szCs w:val="16"/>
          <w:lang w:eastAsia="ja-JP"/>
        </w:rPr>
        <w:t xml:space="preserve"> To understand the concept of the multitude in its most general and abstract form, let us contrast it first with that of the people. 1 </w:t>
      </w:r>
      <w:r w:rsidRPr="00B974FD">
        <w:rPr>
          <w:rStyle w:val="StyleUnderline"/>
        </w:rPr>
        <w:t>The people is one. The population</w:t>
      </w:r>
      <w:r w:rsidRPr="00454764">
        <w:rPr>
          <w:rFonts w:cs="Times New Roman" w:eastAsiaTheme="minorEastAsia"/>
          <w:color w:val="000000"/>
          <w:sz w:val="16"/>
          <w:szCs w:val="16"/>
          <w:lang w:eastAsia="ja-JP"/>
        </w:rPr>
        <w:t xml:space="preserve">, of course, </w:t>
      </w:r>
      <w:r w:rsidRPr="00B974FD">
        <w:rPr>
          <w:rStyle w:val="StyleUnderline"/>
        </w:rPr>
        <w:t>is composed of numerous different individuals and classes, but the people synthesizes or reduces these social differences into one identity. The mul</w:t>
      </w:r>
      <w:r w:rsidRPr="00B974FD">
        <w:rPr>
          <w:rStyle w:val="StyleUnderline"/>
        </w:rPr>
        <w:softHyphen/>
        <w:t xml:space="preserve"> titude, by contrast, is not unified but remains plural and multiple. This is why, according to the dominant tradition of political philosophy, </w:t>
      </w:r>
      <w:r w:rsidRPr="00454764">
        <w:rPr>
          <w:rFonts w:cs="Times New Roman" w:eastAsiaTheme="minorEastAsia"/>
          <w:b/>
          <w:bCs/>
          <w:color w:val="000000"/>
          <w:u w:val="single"/>
          <w:lang w:eastAsia="ja-JP"/>
        </w:rPr>
        <w:t>the peo</w:t>
      </w:r>
      <w:r w:rsidRPr="00454764">
        <w:rPr>
          <w:rFonts w:cs="Times New Roman" w:eastAsiaTheme="minorEastAsia"/>
          <w:b/>
          <w:bCs/>
          <w:color w:val="000000"/>
          <w:u w:val="single"/>
          <w:lang w:eastAsia="ja-JP"/>
        </w:rPr>
        <w:softHyphen/>
        <w:t>ple can rule as a sovereign power and the multitude cannot</w:t>
      </w:r>
      <w:r w:rsidRPr="00B974FD">
        <w:rPr>
          <w:rStyle w:val="StyleUnderline"/>
        </w:rPr>
        <w:t xml:space="preserve">. The multitude is composed of a set of </w:t>
      </w:r>
      <w:r w:rsidRPr="00454764">
        <w:rPr>
          <w:rFonts w:cs="Times New Roman" w:eastAsiaTheme="minorEastAsia"/>
          <w:i/>
          <w:iCs/>
          <w:color w:val="000000"/>
          <w:u w:val="single"/>
          <w:lang w:eastAsia="ja-JP"/>
        </w:rPr>
        <w:t>singularities</w:t>
      </w:r>
      <w:r w:rsidRPr="00B974FD">
        <w:rPr>
          <w:rStyle w:val="StyleUnderline"/>
        </w:rPr>
        <w:t>- and by singularity here we mean a social subject whose difference cannot be reduced to sameness, a differ</w:t>
      </w:r>
      <w:r w:rsidRPr="00B974FD">
        <w:rPr>
          <w:rStyle w:val="StyleUnderline"/>
        </w:rPr>
        <w:softHyphen/>
        <w:t xml:space="preserve"> ence that remains different. The component parts of the people are indif</w:t>
      </w:r>
      <w:r w:rsidRPr="00B974FD">
        <w:rPr>
          <w:rStyle w:val="StyleUnderline"/>
        </w:rPr>
        <w:softHyphen/>
        <w:t xml:space="preserve"> ferent in their unity; they become an identity by negating or setting aside their differences. The plural singularities of the multitude thus stand in contrast to the undifferentiated unity of the people</w:t>
      </w:r>
      <w:r w:rsidRPr="00454764">
        <w:rPr>
          <w:rFonts w:cs="Times New Roman" w:eastAsiaTheme="minorEastAsia"/>
          <w:color w:val="000000"/>
          <w:sz w:val="16"/>
          <w:szCs w:val="16"/>
          <w:lang w:eastAsia="ja-JP"/>
        </w:rPr>
        <w:t xml:space="preserve">. </w:t>
      </w:r>
      <w:r w:rsidRPr="00B974FD">
        <w:rPr>
          <w:rStyle w:val="StyleUnderline"/>
        </w:rPr>
        <w:t xml:space="preserve">The multitude, however, although it remains multiple, is </w:t>
      </w:r>
      <w:r w:rsidRPr="00454764">
        <w:rPr>
          <w:rFonts w:cs="Times New Roman" w:eastAsiaTheme="minorEastAsia"/>
          <w:b/>
          <w:bCs/>
          <w:color w:val="000000"/>
          <w:u w:val="single"/>
          <w:lang w:eastAsia="ja-JP"/>
        </w:rPr>
        <w:t>not fragmented, anarchical, or incoherent</w:t>
      </w:r>
      <w:r w:rsidRPr="00B974FD">
        <w:rPr>
          <w:rStyle w:val="StyleUnderline"/>
        </w:rPr>
        <w:t>. The concept of the multitude should thus also be contrasted to a series of other concepts that designate plural collectives, such as the crowd, the masses, and the mob</w:t>
      </w:r>
      <w:r w:rsidRPr="00454764">
        <w:rPr>
          <w:rFonts w:cs="Times New Roman" w:eastAsiaTheme="minorEastAsia"/>
          <w:color w:val="000000"/>
          <w:sz w:val="16"/>
          <w:szCs w:val="16"/>
          <w:lang w:eastAsia="ja-JP"/>
        </w:rPr>
        <w:t>. Since the different individuals or groups that make up the crowd are incoherent and recog</w:t>
      </w:r>
      <w:r w:rsidRPr="00454764">
        <w:rPr>
          <w:rFonts w:cs="Times New Roman" w:eastAsiaTheme="minorEastAsia"/>
          <w:color w:val="000000"/>
          <w:sz w:val="16"/>
          <w:szCs w:val="16"/>
          <w:lang w:eastAsia="ja-JP"/>
        </w:rPr>
        <w:softHyphen/>
        <w:t xml:space="preserve"> nize no common shared elements, their collection of differences remains inert and can easily appear as one indifferent aggregate. The components of the masses, the mob, and the crowd are not singularities-and this is obvious from the fact that their differences so easily collapse into the in</w:t>
      </w:r>
      <w:r w:rsidRPr="00454764">
        <w:rPr>
          <w:rFonts w:cs="Times New Roman" w:eastAsiaTheme="minorEastAsia"/>
          <w:color w:val="000000"/>
          <w:sz w:val="16"/>
          <w:szCs w:val="16"/>
          <w:lang w:eastAsia="ja-JP"/>
        </w:rPr>
        <w:softHyphen/>
        <w:t xml:space="preserve"> difference of the whole. Moreover, </w:t>
      </w:r>
      <w:r w:rsidRPr="00B974FD">
        <w:rPr>
          <w:rStyle w:val="StyleUnderline"/>
        </w:rPr>
        <w:t>these social subjects are fundamentally passive in the sense that they cannot act by themselves but rather must be led. The crowd or the mob or the rabble can have social effects-often horribly destructive effects-but cannot act of their own accord.</w:t>
      </w:r>
      <w:r w:rsidRPr="00454764">
        <w:rPr>
          <w:rFonts w:cs="Times New Roman" w:eastAsiaTheme="minorEastAsia"/>
          <w:color w:val="000000"/>
          <w:sz w:val="16"/>
          <w:szCs w:val="16"/>
          <w:lang w:eastAsia="ja-JP"/>
        </w:rPr>
        <w:t xml:space="preserve"> That is why they are so susceptible to external manipulation. The multitude, des</w:t>
      </w:r>
      <w:r w:rsidRPr="00454764">
        <w:rPr>
          <w:rFonts w:cs="Times New Roman" w:eastAsiaTheme="minorEastAsia"/>
          <w:color w:val="000000"/>
          <w:sz w:val="16"/>
          <w:szCs w:val="16"/>
          <w:lang w:eastAsia="ja-JP"/>
        </w:rPr>
        <w:softHyphen/>
        <w:t xml:space="preserve"> ignates an active social subject, which acts on the basis of what the singu</w:t>
      </w:r>
      <w:r w:rsidRPr="00454764">
        <w:rPr>
          <w:rFonts w:cs="Times New Roman" w:eastAsiaTheme="minorEastAsia"/>
          <w:color w:val="000000"/>
          <w:sz w:val="16"/>
          <w:szCs w:val="16"/>
          <w:lang w:eastAsia="ja-JP"/>
        </w:rPr>
        <w:softHyphen/>
        <w:t xml:space="preserve"> larities share in common. </w:t>
      </w:r>
      <w:r w:rsidRPr="00B974FD">
        <w:rPr>
          <w:rStyle w:val="StyleUnderline"/>
        </w:rPr>
        <w:t>The multitude is an internally different, multiple social subject whose constitution and action is based not on identity or unity (or, much less, indifference) but on what it has in common.</w:t>
      </w:r>
      <w:r w:rsidRPr="00454764">
        <w:rPr>
          <w:rFonts w:cs="Times New Roman" w:eastAsiaTheme="minorEastAsia"/>
          <w:color w:val="000000"/>
          <w:sz w:val="16"/>
          <w:szCs w:val="16"/>
          <w:lang w:eastAsia="ja-JP"/>
        </w:rPr>
        <w:t xml:space="preserve"> </w:t>
      </w:r>
      <w:r w:rsidRPr="00454764">
        <w:rPr>
          <w:rFonts w:cs="Times New Roman" w:eastAsiaTheme="minorEastAsia"/>
          <w:b/>
          <w:bCs/>
          <w:color w:val="000000"/>
          <w:u w:val="single"/>
          <w:lang w:eastAsia="ja-JP"/>
        </w:rPr>
        <w:t>This initial conceptual definition of the multitude poses a clear challenge to the entire tradition of sovereignty</w:t>
      </w:r>
      <w:r w:rsidRPr="00454764">
        <w:rPr>
          <w:rFonts w:cs="Times New Roman" w:eastAsiaTheme="minorEastAsia"/>
          <w:color w:val="000000"/>
          <w:sz w:val="16"/>
          <w:szCs w:val="16"/>
          <w:lang w:eastAsia="ja-JP"/>
        </w:rPr>
        <w:t xml:space="preserve">. As we will explain in part 3, one of the recurring truths of political philosophy is that </w:t>
      </w:r>
      <w:r w:rsidRPr="00454764">
        <w:rPr>
          <w:rFonts w:cs="Times New Roman" w:eastAsiaTheme="minorEastAsia"/>
          <w:b/>
          <w:bCs/>
          <w:color w:val="000000"/>
          <w:u w:val="single"/>
          <w:lang w:eastAsia="ja-JP"/>
        </w:rPr>
        <w:t>only the one can rule</w:t>
      </w:r>
      <w:r w:rsidRPr="00B974FD">
        <w:rPr>
          <w:rStyle w:val="StyleUnderline"/>
        </w:rPr>
        <w:t>, be it the monarch, the party, the people, or the individual; social sub</w:t>
      </w:r>
      <w:r w:rsidRPr="00B974FD">
        <w:rPr>
          <w:rStyle w:val="StyleUnderline"/>
        </w:rPr>
        <w:softHyphen/>
        <w:t xml:space="preserve"> jects that are not unified and remain multiple cannot rule and instead must be ruled. Every sovereign power, in other words, </w:t>
      </w:r>
      <w:r w:rsidRPr="00B974FD">
        <w:rPr>
          <w:rStyle w:val="StyleUnderline"/>
        </w:rPr>
        <w:lastRenderedPageBreak/>
        <w:t xml:space="preserve">necessarily forms a </w:t>
      </w:r>
      <w:r w:rsidRPr="00454764">
        <w:rPr>
          <w:rFonts w:cs="Times New Roman" w:eastAsiaTheme="minorEastAsia"/>
          <w:i/>
          <w:iCs/>
          <w:color w:val="000000"/>
          <w:u w:val="single"/>
          <w:lang w:eastAsia="ja-JP"/>
        </w:rPr>
        <w:t>political body</w:t>
      </w:r>
      <w:r w:rsidRPr="00B974FD">
        <w:rPr>
          <w:rStyle w:val="StyleUnderline"/>
        </w:rPr>
        <w:t xml:space="preserve"> of which there is a head that commands, limbs that obey, and organs that function together to support the ruler</w:t>
      </w:r>
      <w:r w:rsidRPr="00454764">
        <w:rPr>
          <w:rFonts w:cs="Times New Roman" w:eastAsiaTheme="minorEastAsia"/>
          <w:b/>
          <w:bCs/>
          <w:color w:val="000000"/>
          <w:u w:val="single"/>
          <w:lang w:eastAsia="ja-JP"/>
        </w:rPr>
        <w:t>. The concept of the multitude challenges this accepted truth of sovereignty</w:t>
      </w:r>
      <w:r w:rsidRPr="00B974FD">
        <w:rPr>
          <w:rStyle w:val="StyleUnderline"/>
        </w:rPr>
        <w:t>. The multitude, although it remains multiple and internally different, is able to act in com</w:t>
      </w:r>
      <w:r w:rsidRPr="00B974FD">
        <w:rPr>
          <w:rStyle w:val="StyleUnderline"/>
        </w:rPr>
        <w:softHyphen/>
        <w:t xml:space="preserve"> mon and thus rule itself. Rather than a political body with one that com</w:t>
      </w:r>
      <w:r w:rsidRPr="00B974FD">
        <w:rPr>
          <w:rStyle w:val="StyleUnderline"/>
        </w:rPr>
        <w:softHyphen/>
        <w:t xml:space="preserve"> mands and others that obey, </w:t>
      </w:r>
      <w:r w:rsidRPr="00454764">
        <w:rPr>
          <w:rFonts w:cs="Times New Roman" w:eastAsiaTheme="minorEastAsia"/>
          <w:b/>
          <w:bCs/>
          <w:color w:val="000000"/>
          <w:u w:val="single"/>
          <w:lang w:eastAsia="ja-JP"/>
        </w:rPr>
        <w:t xml:space="preserve">the multitude is </w:t>
      </w:r>
      <w:r w:rsidRPr="00454764">
        <w:rPr>
          <w:rFonts w:cs="Times New Roman" w:eastAsiaTheme="minorEastAsia"/>
          <w:b/>
          <w:bCs/>
          <w:i/>
          <w:iCs/>
          <w:color w:val="000000"/>
          <w:u w:val="single"/>
          <w:lang w:eastAsia="ja-JP"/>
        </w:rPr>
        <w:t>living flesh</w:t>
      </w:r>
      <w:r w:rsidRPr="00454764">
        <w:rPr>
          <w:rFonts w:cs="Times New Roman" w:eastAsiaTheme="minorEastAsia"/>
          <w:b/>
          <w:bCs/>
          <w:color w:val="000000"/>
          <w:u w:val="single"/>
          <w:lang w:eastAsia="ja-JP"/>
        </w:rPr>
        <w:t xml:space="preserve"> that rules itself</w:t>
      </w:r>
      <w:r w:rsidRPr="00454764">
        <w:rPr>
          <w:rFonts w:cs="Times New Roman" w:eastAsiaTheme="minorEastAsia"/>
          <w:color w:val="000000"/>
          <w:sz w:val="16"/>
          <w:szCs w:val="16"/>
          <w:lang w:eastAsia="ja-JP"/>
        </w:rPr>
        <w:t xml:space="preserve">. This definition of the multitude, of coutse, raises numerous conceptual and practical problems, which we will discuss at length in this and the next chapter, but </w:t>
      </w:r>
      <w:r w:rsidRPr="00B974FD">
        <w:rPr>
          <w:rStyle w:val="StyleUnderline"/>
        </w:rPr>
        <w:t>it should be clear from the outset that the challenge of the multitude is the challenge of democracy. The multitude is the only so</w:t>
      </w:r>
      <w:r w:rsidRPr="00B974FD">
        <w:rPr>
          <w:rStyle w:val="StyleUnderline"/>
        </w:rPr>
        <w:softHyphen/>
        <w:t xml:space="preserve"> cial subject capable of realizing democracy, that is, the rule of everyone by everyone. The stakes, in other words, are extremely high.</w:t>
      </w:r>
      <w:r w:rsidRPr="00454764">
        <w:rPr>
          <w:rFonts w:cs="Times New Roman" w:eastAsiaTheme="minorEastAsia"/>
          <w:color w:val="000000"/>
          <w:sz w:val="16"/>
          <w:szCs w:val="16"/>
          <w:lang w:eastAsia="ja-JP"/>
        </w:rPr>
        <w:t xml:space="preserve"> In this chapter we will articulate the concept of the multitude prima</w:t>
      </w:r>
      <w:r w:rsidRPr="00454764">
        <w:rPr>
          <w:rFonts w:cs="Times New Roman" w:eastAsiaTheme="minorEastAsia"/>
          <w:color w:val="000000"/>
          <w:sz w:val="16"/>
          <w:szCs w:val="16"/>
          <w:lang w:eastAsia="ja-JP"/>
        </w:rPr>
        <w:softHyphen/>
        <w:t xml:space="preserve"> rily from a socioeconomic perspective. </w:t>
      </w:r>
      <w:r w:rsidRPr="00B974FD">
        <w:rPr>
          <w:rStyle w:val="StyleUnderline"/>
        </w:rPr>
        <w:t>Multitude is also a concept of race, gender, and sexuality differences</w:t>
      </w:r>
      <w:r w:rsidRPr="00454764">
        <w:rPr>
          <w:rFonts w:cs="Times New Roman" w:eastAsiaTheme="minorEastAsia"/>
          <w:color w:val="000000"/>
          <w:sz w:val="16"/>
          <w:szCs w:val="16"/>
          <w:lang w:eastAsia="ja-JP"/>
        </w:rPr>
        <w:t xml:space="preserve">. Our focus on economic class here should considered in part as compensation for the relative lack of attention to class in recent years with respect to these other lines of social difference and hierarchy. As we will see </w:t>
      </w:r>
      <w:r w:rsidRPr="00B974FD">
        <w:rPr>
          <w:rStyle w:val="StyleUnderline"/>
        </w:rPr>
        <w:t>the contemporary forms of production, which we will call biopolitical production, are not limited economic phenomena but rather tend to involve all aspects of social life, including communication, knowledge, and affects. It is also useful to recognize from the beginning that something like a concept of the multitude has long en part of powerful streams of feminist and antiracist politics. When we say that we do not want a world without racial or gender difference but in</w:t>
      </w:r>
      <w:r w:rsidRPr="00B974FD">
        <w:rPr>
          <w:rStyle w:val="StyleUnderline"/>
        </w:rPr>
        <w:softHyphen/>
        <w:t xml:space="preserve"> stead a world in which race and gender do not matter, that is, a world in which they do not determine hierarchies of power, a world in which dif</w:t>
      </w:r>
      <w:r w:rsidRPr="00B974FD">
        <w:rPr>
          <w:rStyle w:val="StyleUnderline"/>
        </w:rPr>
        <w:softHyphen/>
        <w:t xml:space="preserve"> ferences express themselves freely, this is a desire for the multitude</w:t>
      </w:r>
      <w:r w:rsidRPr="00454764">
        <w:rPr>
          <w:rFonts w:cs="Times New Roman" w:eastAsiaTheme="minorEastAsia"/>
          <w:color w:val="000000"/>
          <w:sz w:val="16"/>
          <w:szCs w:val="16"/>
          <w:lang w:eastAsia="ja-JP"/>
        </w:rPr>
        <w:t xml:space="preserve">. And, of course, </w:t>
      </w:r>
      <w:r w:rsidRPr="00B974FD">
        <w:rPr>
          <w:rStyle w:val="StyleUnderline"/>
        </w:rPr>
        <w:t>for the singularities that compose the multitude, in order to take away the limiting, negative, destructive character of differences and make differences our strength</w:t>
      </w:r>
      <w:r w:rsidRPr="00454764">
        <w:rPr>
          <w:rFonts w:cs="Times New Roman" w:eastAsiaTheme="minorEastAsia"/>
          <w:color w:val="000000"/>
          <w:sz w:val="16"/>
          <w:szCs w:val="16"/>
          <w:lang w:eastAsia="ja-JP"/>
        </w:rPr>
        <w:t xml:space="preserve"> (gender differences, racial differences, dif</w:t>
      </w:r>
      <w:r w:rsidRPr="00454764">
        <w:rPr>
          <w:rFonts w:cs="Times New Roman" w:eastAsiaTheme="minorEastAsia"/>
          <w:color w:val="000000"/>
          <w:sz w:val="16"/>
          <w:szCs w:val="16"/>
          <w:lang w:eastAsia="ja-JP"/>
        </w:rPr>
        <w:softHyphen/>
        <w:t xml:space="preserve"> ferences of sexuality, and so forth) </w:t>
      </w:r>
      <w:r w:rsidRPr="00454764">
        <w:rPr>
          <w:rFonts w:cs="Times New Roman" w:eastAsiaTheme="minorEastAsia"/>
          <w:b/>
          <w:bCs/>
          <w:color w:val="000000"/>
          <w:u w:val="single"/>
          <w:lang w:eastAsia="ja-JP"/>
        </w:rPr>
        <w:t>we must radically transform the world</w:t>
      </w:r>
      <w:r w:rsidRPr="00454764">
        <w:rPr>
          <w:rFonts w:cs="Times New Roman" w:eastAsiaTheme="minorEastAsia"/>
          <w:color w:val="000000"/>
          <w:sz w:val="16"/>
          <w:szCs w:val="16"/>
          <w:lang w:eastAsia="ja-JP"/>
        </w:rPr>
        <w:t xml:space="preserve">.2 </w:t>
      </w:r>
      <w:r w:rsidRPr="00B974FD">
        <w:rPr>
          <w:rStyle w:val="StyleUnderline"/>
        </w:rPr>
        <w:t>From the socioeconomic perspective, the multitude is the common subject of labor, that is, the real flesh of postmodern production, and at the same time the object from which collective capital tries to make the body of its global development</w:t>
      </w:r>
      <w:r w:rsidRPr="00454764">
        <w:rPr>
          <w:rFonts w:cs="Times New Roman" w:eastAsiaTheme="minorEastAsia"/>
          <w:b/>
          <w:bCs/>
          <w:color w:val="000000"/>
          <w:u w:val="single"/>
          <w:lang w:eastAsia="ja-JP"/>
        </w:rPr>
        <w:t>. Capital wants to make the multitude into an organic unity, just like the state wants to make it into a people</w:t>
      </w:r>
      <w:r w:rsidRPr="00B974FD">
        <w:rPr>
          <w:rStyle w:val="StyleUnderline"/>
        </w:rPr>
        <w:t xml:space="preserve">. This is where, through the struggles of labor, the real productive biopolitical figure of the multitude begins to emerge. When the flesh of the multitude is imprisoned and transformed into the body of global capital, it finds itself both within and against the processes of capitalist globalization. The biopolitical production of the multitude, however, tends to mobilize what it shares in common and what it produces in common </w:t>
      </w:r>
      <w:r w:rsidRPr="00454764">
        <w:rPr>
          <w:rFonts w:cs="Times New Roman" w:eastAsiaTheme="minorEastAsia"/>
          <w:b/>
          <w:bCs/>
          <w:color w:val="000000"/>
          <w:u w:val="single"/>
          <w:lang w:eastAsia="ja-JP"/>
        </w:rPr>
        <w:t>against the imperial power of global capital</w:t>
      </w:r>
      <w:r w:rsidRPr="00454764">
        <w:rPr>
          <w:rFonts w:cs="Times New Roman" w:eastAsiaTheme="minorEastAsia"/>
          <w:color w:val="000000"/>
          <w:sz w:val="16"/>
          <w:szCs w:val="16"/>
          <w:lang w:eastAsia="ja-JP"/>
        </w:rPr>
        <w:t xml:space="preserve">. In time, </w:t>
      </w:r>
      <w:r w:rsidRPr="00B974FD">
        <w:rPr>
          <w:rStyle w:val="StyleUnderline"/>
        </w:rPr>
        <w:t xml:space="preserve">developing its productive figure based on the common, </w:t>
      </w:r>
      <w:r w:rsidRPr="00454764">
        <w:rPr>
          <w:rFonts w:cs="Times New Roman" w:eastAsiaTheme="minorEastAsia"/>
          <w:b/>
          <w:bCs/>
          <w:color w:val="000000"/>
          <w:u w:val="single"/>
          <w:lang w:eastAsia="ja-JP"/>
        </w:rPr>
        <w:t>the multitude can move through Empire and come out the other side, to express itself autonomously and rule itself.</w:t>
      </w:r>
      <w:r w:rsidRPr="00B974FD">
        <w:rPr>
          <w:rStyle w:val="StyleUnderline"/>
        </w:rPr>
        <w:t xml:space="preserve"> </w:t>
      </w:r>
      <w:r w:rsidRPr="00454764">
        <w:rPr>
          <w:rFonts w:cs="Times New Roman" w:eastAsiaTheme="minorEastAsia"/>
          <w:b/>
          <w:bCs/>
          <w:color w:val="000000"/>
          <w:u w:val="single"/>
          <w:lang w:eastAsia="ja-JP"/>
        </w:rPr>
        <w:t>We should recognize from the outset the extent of capital's domain</w:t>
      </w:r>
      <w:r w:rsidRPr="00B974FD">
        <w:rPr>
          <w:rStyle w:val="StyleUnderline"/>
        </w:rPr>
        <w:t>. Capital no longer rules merely over limited sites in society. As the imper</w:t>
      </w:r>
      <w:r w:rsidRPr="00B974FD">
        <w:rPr>
          <w:rStyle w:val="StyleUnderline"/>
        </w:rPr>
        <w:softHyphen/>
        <w:t xml:space="preserve"> sonal rule of capital extends throughout society well beyond the factory walls and geographically throughout the globe, capitalist command tends to become a "non-place" or, really, an every place</w:t>
      </w:r>
      <w:r w:rsidRPr="00454764">
        <w:rPr>
          <w:rFonts w:cs="Times New Roman" w:eastAsiaTheme="minorEastAsia"/>
          <w:b/>
          <w:bCs/>
          <w:color w:val="000000"/>
          <w:u w:val="single"/>
          <w:lang w:eastAsia="ja-JP"/>
        </w:rPr>
        <w:t>. There is no longer an outside to capital, nor is there an outside to the logics of biopower</w:t>
      </w:r>
      <w:r w:rsidRPr="00454764">
        <w:rPr>
          <w:rFonts w:cs="Times New Roman" w:eastAsiaTheme="minorEastAsia"/>
          <w:color w:val="000000"/>
          <w:sz w:val="16"/>
          <w:szCs w:val="16"/>
          <w:lang w:eastAsia="ja-JP"/>
        </w:rPr>
        <w:t xml:space="preserve"> we de</w:t>
      </w:r>
      <w:r w:rsidRPr="00454764">
        <w:rPr>
          <w:rFonts w:cs="Times New Roman" w:eastAsiaTheme="minorEastAsia"/>
          <w:color w:val="000000"/>
          <w:sz w:val="16"/>
          <w:szCs w:val="16"/>
          <w:lang w:eastAsia="ja-JP"/>
        </w:rPr>
        <w:softHyphen/>
        <w:t xml:space="preserve"> scribed in part 1 , </w:t>
      </w:r>
      <w:r w:rsidRPr="00B974FD">
        <w:rPr>
          <w:rStyle w:val="StyleUnderline"/>
        </w:rPr>
        <w:t xml:space="preserve">and that correspondence is no coincidence, since </w:t>
      </w:r>
      <w:r w:rsidRPr="00454764">
        <w:rPr>
          <w:rFonts w:cs="Times New Roman" w:eastAsiaTheme="minorEastAsia"/>
          <w:b/>
          <w:bCs/>
          <w:color w:val="000000"/>
          <w:u w:val="single"/>
          <w:lang w:eastAsia="ja-JP"/>
        </w:rPr>
        <w:t>capital and biopower function intimately together</w:t>
      </w:r>
      <w:r w:rsidRPr="00B974FD">
        <w:rPr>
          <w:rStyle w:val="StyleUnderline"/>
        </w:rPr>
        <w:t xml:space="preserve">. The places of exploitation, by contrast, are always determinate and concrete, and therefore </w:t>
      </w:r>
      <w:r w:rsidRPr="00454764">
        <w:rPr>
          <w:rFonts w:cs="Times New Roman" w:eastAsiaTheme="minorEastAsia"/>
          <w:b/>
          <w:bCs/>
          <w:color w:val="000000"/>
          <w:u w:val="single"/>
          <w:lang w:eastAsia="ja-JP"/>
        </w:rPr>
        <w:t>we need to understand exploitation on the basis of the specific sites where it is located and specific forms in which it is organized</w:t>
      </w:r>
      <w:r w:rsidRPr="00B974FD">
        <w:rPr>
          <w:rStyle w:val="StyleUnderline"/>
        </w:rPr>
        <w:t>. This will allow us to articulate both a topology of the different figures of exploited labor and a topography of their spatial distribution across the globe. Such an analysis is useful be</w:t>
      </w:r>
      <w:r w:rsidRPr="00B974FD">
        <w:rPr>
          <w:rStyle w:val="StyleUnderline"/>
        </w:rPr>
        <w:softHyphen/>
        <w:t xml:space="preserve"> cause the place of exploitation is one important site where acts of refusal and exodus, resistance and struggle arise. This analysis will thus lead to the critique of the political economy of globalization based on the resistances to the formation of the body of global capital and the liberatory potentials of the common powers shared by global laboring multitude.</w:t>
      </w:r>
    </w:p>
    <w:p xmlns:wp14="http://schemas.microsoft.com/office/word/2010/wordml" w:rsidRPr="00CD1B04" w:rsidR="00507555" w:rsidP="00507555" w:rsidRDefault="00507555" w14:paraId="31A560F4" wp14:textId="77777777"/>
    <w:p xmlns:wp14="http://schemas.microsoft.com/office/word/2010/wordml" w:rsidRPr="0041283A" w:rsidR="00507555" w:rsidP="00507555" w:rsidRDefault="00507555" w14:paraId="0C133824" wp14:textId="77777777">
      <w:pPr>
        <w:keepNext/>
        <w:keepLines/>
        <w:spacing w:before="40" w:after="0"/>
        <w:outlineLvl w:val="3"/>
        <w:rPr>
          <w:rFonts w:eastAsiaTheme="majorEastAsia" w:cstheme="majorBidi"/>
          <w:b/>
          <w:bCs/>
          <w:iCs/>
          <w:sz w:val="26"/>
        </w:rPr>
      </w:pPr>
      <w:r w:rsidRPr="0041283A">
        <w:rPr>
          <w:rFonts w:eastAsiaTheme="majorEastAsia" w:cstheme="majorBidi"/>
          <w:b/>
          <w:bCs/>
          <w:iCs/>
          <w:sz w:val="26"/>
        </w:rPr>
        <w:t xml:space="preserve">While the </w:t>
      </w:r>
      <w:r>
        <w:rPr>
          <w:rFonts w:eastAsiaTheme="majorEastAsia" w:cstheme="majorBidi"/>
          <w:b/>
          <w:bCs/>
          <w:iCs/>
          <w:sz w:val="26"/>
        </w:rPr>
        <w:t>AFFs</w:t>
      </w:r>
      <w:r w:rsidRPr="0041283A">
        <w:rPr>
          <w:rFonts w:eastAsiaTheme="majorEastAsia" w:cstheme="majorBidi"/>
          <w:b/>
          <w:bCs/>
          <w:iCs/>
          <w:sz w:val="26"/>
        </w:rPr>
        <w:t xml:space="preserve"> strategy may seem to be radical, their attempts to abolish borders are only relative positive and absolute negative deterritorializations – either a moment of revolution that quickly gets recaptured, preventing a real shift or a fragmented deterritorializing with no stasis, reinforcing current systems and destroying the movement. Instead we need moments of absolute positive deterritorializations where we can engage in acts of sustained rebellion and revolution.</w:t>
      </w:r>
    </w:p>
    <w:p xmlns:wp14="http://schemas.microsoft.com/office/word/2010/wordml" w:rsidRPr="00E84C4B" w:rsidR="00507555" w:rsidP="00507555" w:rsidRDefault="00507555" w14:paraId="3756651A" wp14:textId="77777777">
      <w:pPr>
        <w:rPr>
          <w:sz w:val="16"/>
        </w:rPr>
      </w:pPr>
      <w:r w:rsidRPr="00E32BF0">
        <w:rPr>
          <w:rStyle w:val="Style13ptBold"/>
        </w:rPr>
        <w:t>Nail 13</w:t>
      </w:r>
      <w:r w:rsidRPr="00E84C4B">
        <w:rPr>
          <w:sz w:val="16"/>
        </w:rPr>
        <w:t xml:space="preserve"> (Thomas, post-doctoral Lecturer in European Philosophy at the University of Denver, the author of Returning to Revolution: Deleuze, Guattari and Zapatismo, is currently preparing a monograph on the political philosophy of migration entitled, The Figure of the Migrant; his work has appeared in Philosophy Today, Parrhesia, Deleuze Studies, Foucault Studies, and elsewhere, Deleuze, Occupy, and the Actuality of Revolution, 5-9, Theory and Event, Volume 16, Issue I, 2013) //jd&amp;KI</w:t>
      </w:r>
    </w:p>
    <w:p xmlns:wp14="http://schemas.microsoft.com/office/word/2010/wordml" w:rsidRPr="00121440" w:rsidR="00507555" w:rsidP="0673B170" w:rsidRDefault="00507555" w14:paraId="60770545" wp14:textId="77777777" wp14:noSpellErr="1">
      <w:pPr>
        <w:rPr>
          <w:b w:val="1"/>
          <w:bCs w:val="1"/>
          <w:u w:val="single"/>
        </w:rPr>
      </w:pPr>
      <w:r w:rsidRPr="0673B170" w:rsidR="0673B170">
        <w:rPr>
          <w:sz w:val="16"/>
          <w:szCs w:val="16"/>
        </w:rPr>
        <w:t xml:space="preserve">Revolutionary Deterritorialization </w:t>
      </w:r>
      <w:r w:rsidRPr="0673B170" w:rsidR="0673B170">
        <w:rPr>
          <w:rStyle w:val="StyleUnderline"/>
        </w:rPr>
        <w:t>The first, and perhaps the most contested, concept in Deleuze and Guattari’s work that proves useful for understanding the actuality of revolution is the concept of “deterritorialization.” This concept has been so muddled by interpretation that a litany of its abuse is too long to list here</w:t>
      </w:r>
      <w:r w:rsidRPr="0673B170" w:rsidR="0673B170">
        <w:rPr>
          <w:sz w:val="16"/>
          <w:szCs w:val="16"/>
        </w:rPr>
        <w:t xml:space="preserve">.9 Instead, let me offer a very brief definition of it before I say why this concept is important for understanding the actuality of revolution. Simply put, deterritorialization is Deleuze and Guattari’s concept of change. </w:t>
      </w:r>
      <w:r w:rsidRPr="0673B170" w:rsidR="0673B170">
        <w:rPr>
          <w:rStyle w:val="StyleUnderline"/>
        </w:rPr>
        <w:t xml:space="preserve">In A Thousand Plateaus it is their answer to the question, ‘how is it possible for a revolution to transform the present’? In order to clarify the concept of revolution, Deleuze and Guattari distinguish between four very different types of deterritorialization: (1) “relative negative deterritorializations” that change the dominant political power only in order for the dominant political power to better adapt and reproduce itself; (2) “relative positive deterritorializations” that do not reproduce the dominant political power, but do not yet support a revolutionary event; (3) “absolute negative deterritorializations” that do not support any political situation, but undermine them all; and (4) “absolute positive deterritorializations” that do not reproduce a dominant political situation, but instead create a revolutionary event. Without distinguishing between these four types of political change one risks confusing or conflating types of political change. Each of these types of political change are present to some degree in a concrete revolutionary struggle. Importantly, absolute positive deterritorialization is the dominant type of change in revolutionary events. If we want to understand the strengths and dangers of actual revolutionary situations we have to analyze and clarify all four types of change that compose them. </w:t>
      </w:r>
      <w:r w:rsidRPr="0673B170" w:rsidR="0673B170">
        <w:rPr>
          <w:rStyle w:val="StyleUnderline"/>
        </w:rPr>
        <w:t>(1) Relative negative deterritorialization is a change that is able to break free from the processes of dominant political power (party, state, capital, etc.) but only momentarily and in such a way that the change simply allows dominant political powers to adapt and expand</w:t>
      </w:r>
      <w:r w:rsidRPr="0673B170" w:rsidR="0673B170">
        <w:rPr>
          <w:sz w:val="16"/>
          <w:szCs w:val="16"/>
        </w:rPr>
        <w:t xml:space="preserve">. “D[eterritorialization],” Deleuze and Guattari say, “may be overlaid by a compensatory reterritorialization obstructing the line of flight: D[eterritorialization] is then said to be negative”(Deleuze and Guattari 1987, 634/508). </w:t>
      </w:r>
      <w:r w:rsidRPr="0673B170" w:rsidR="0673B170">
        <w:rPr>
          <w:rStyle w:val="StyleUnderline"/>
        </w:rPr>
        <w:t>A relative negative deterritorialization is thus a normalizing transformation internal to the functioning of the dominant modes of power. Deleuze and Guattari define three types of such relative negative changes in A Thousand Plateaus: (1) territorial changes that do not try to totalize or destroy novel political changes, but adapt by creating an alliance with them and treating them like another territory (Deleuze and Guattari 1987, 549/440).10 (2</w:t>
      </w:r>
      <w:r w:rsidRPr="0673B170" w:rsidR="0673B170">
        <w:rPr>
          <w:rStyle w:val="StyleUnderline"/>
        </w:rPr>
        <w:t xml:space="preserve">) Statist changes, on the other hand, are political changes that either totalize other changes by incorporating them or by simply destroying them. The state does not create territorial autonomy to the emergence of new forces but instead becomes a centralized point of accumulation for all territories. This point of accumulation, in turn, captures all </w:t>
      </w:r>
      <w:r w:rsidRPr="0673B170" w:rsidR="0673B170">
        <w:rPr>
          <w:rStyle w:val="StyleUnderline"/>
        </w:rPr>
        <w:t>of the qualitatively different territories by removing their heterogeneous qualities and stratifying them into a single hierarchical stock under a central apparatus (Deleuze and Guattari 1987, 533/427–28). (3</w:t>
      </w:r>
      <w:r w:rsidRPr="0673B170" w:rsidR="0673B170">
        <w:rPr>
          <w:rStyle w:val="StyleUnderline"/>
        </w:rPr>
        <w:t xml:space="preserve">) capitalist changes are the most adaptable to constant change. They deploy an aggressive transformation of qualitative relationships: through the privatization of social life, free trade, advertising, the mobilization of labor and capital, and through imperialism. </w:t>
      </w:r>
      <w:r w:rsidRPr="0673B170" w:rsidR="0673B170">
        <w:rPr>
          <w:sz w:val="16"/>
          <w:szCs w:val="16"/>
        </w:rPr>
        <w:t xml:space="preserve">However, they also re-capture these changes as abstract quantities (commodities) for exchange on the world market (1983, 294/247).11 Power, for Deleuze and Guattari, is thus never total or homogenous—it always functions through internal adaptations that expand and reproduce it: through relative negative deterritorializations. The Occupy movement expresses, or risks expressing, all four kinds of political transformation to at least some degree. Ultimately, I argue that what makes it revolutionary is that it most strongly expresses the revolutionary transformations Deleuze and Guattari characterized as “absolute positive deterritorializations.” </w:t>
      </w:r>
      <w:r w:rsidRPr="0673B170" w:rsidR="0673B170">
        <w:rPr>
          <w:rStyle w:val="StyleUnderline"/>
        </w:rPr>
        <w:t>By critiquing and exceeding the limits of elected representatives, the Occupy movement first of all risks creating a new political transformation that is captured by new party leaders: either by creating a vanguard that speaks for the movement or by subordinating its aims to an electoral candidate. Further, the Occupy movement risks creating relative negative deterritorializations insofar as it rallies a popular critique of economic inequality and political misrepresentation that could be advantageous to electoral politics. Some Democrats have already taken advantage of this popular sentiment and boasted their comprehension and even responsiveness to the concerns of “the 99%” (Huffington Post 2011). As elected representatives, they promise to represent the interests of the 99%. Republicans also stand to gain from the 99%, but in an entirely different fashion: by taking advantage of anti-Obama sentiment shared by many Occupiers. Capitalist reterritorializations include the possibility of corporate financing of the movement that might rob it of its autonomy.</w:t>
      </w:r>
      <w:r w:rsidRPr="0673B170" w:rsidR="0673B170">
        <w:rPr>
          <w:sz w:val="16"/>
          <w:szCs w:val="16"/>
        </w:rPr>
        <w:t xml:space="preserve"> Further, the private profits derived from protest paraphernalia such as the Guy Fawkes masks worn by Occupiers around the world are ways for capitalists to directly profit from anti-capitalist sentiment. These three aspects of the Occupy movement are able to take a novel political change and turn it to the benefit of the already dominant forms of power: the co-optation of a vanguard, the submission to electoral politics, or financing/being financed by capitalists. </w:t>
      </w:r>
      <w:r w:rsidRPr="0673B170" w:rsidR="0673B170">
        <w:rPr>
          <w:rStyle w:val="StyleUnderline"/>
        </w:rPr>
        <w:t>(2) Relative positive deterritorialization, according to Deleuze and Guattari, is a political transformation of the dominant mode of power that escapes adaptation and incorporation but fails to sustain a revolutionary event (Deleuze and Guattari 1987, 634/508). Relative positive deterritorialization on its own is thus only the mere affirmation that something has escaped the dominant regimes of political power at the borderlines. This kind of change is ultimately insufficient to sustain a revolutionary struggle insofar as it fails to create a new political world. It is thus a mistake to think that just because something has escaped political representation that it is inherently revolutionary. This type of political change, for Deleuze and Guattari, is so “extremely ambiguous,” that its borderline is split in two: on one side it exists as an “anomalous [anomal]” element unaccounted for within the state of affairs but still recognizable as an exception, and on the other side it exists as an “exceptional individual” that holds together the increasing connections of a new world in formation (Deleuze and Guattari 1987, 302/247).</w:t>
      </w:r>
      <w:r w:rsidRPr="0673B170" w:rsidR="0673B170">
        <w:rPr>
          <w:sz w:val="16"/>
          <w:szCs w:val="16"/>
        </w:rPr>
        <w:t xml:space="preserve"> Insofar as it ceases to be a definable aggregate in relation to the majority, it both reveals the possibility of further connection as well as the possibility of co-optation (Deleuze and Guattari 1987, 356–357/291). We can see this type of transformation in the Occupy movement. While the majority of Americans (54%) support the Occupy movement, they are divided regarding its methods (Time Magazine 2011). </w:t>
      </w:r>
      <w:r w:rsidRPr="0673B170" w:rsidR="0673B170">
        <w:rPr>
          <w:rStyle w:val="StyleUnderline"/>
        </w:rPr>
        <w:t xml:space="preserve">The Occupy movement thus expresses, to some degree, an ambivalent change that is split in two. On the one side, it expresses a critique of economic disparity and political representation: grievances that are not being properly responded to in the dominant political situation. There is a popular voice and struggle not immediately representable within the current state of affairs. On the other side, however, the Occupy movement expresses an alternative, irreducible to capitalism and the state: a new form of organization based on direct </w:t>
      </w:r>
      <w:r w:rsidRPr="0673B170" w:rsidR="0673B170">
        <w:rPr>
          <w:rStyle w:val="StyleUnderline"/>
        </w:rPr>
        <w:t>democracy, consensus, mutual aid, and equality</w:t>
      </w:r>
      <w:r w:rsidRPr="0673B170" w:rsidR="0673B170">
        <w:rPr>
          <w:sz w:val="16"/>
          <w:szCs w:val="16"/>
        </w:rPr>
        <w:t xml:space="preserve">. But there is also a division internal to the Occupy event itself: between those who believe that the problem is one of corruption and resolvable through reform, regulation, and electoral politics and those who believe that Occupy signals a revolutionary call for a new type of political organization altogether. Insofar as the Occupy movement does not overcome this split, the mere possibility that it might become revolutionary is not sufficient to constitute it as a revolutionary movement. </w:t>
      </w:r>
      <w:r w:rsidRPr="0673B170" w:rsidR="0673B170">
        <w:rPr>
          <w:rStyle w:val="StyleUnderline"/>
        </w:rPr>
        <w:t xml:space="preserve">(3) Absolute negative deterritorialization is a political transformation that escapes all the borderlines of territorial, state, and capitalist power and representation.12 But in doing so, it not only fails to sustain a revolutionary event, it also deterritorializes too fast, too much, and becomes self-destructive. By failing to create an alternative to the dominant political order it ends up ultimately strengthening that order. It becomes too fragmented and thus an easy target for relative negative political changes. “Staying stratified—organized, signified, subjected—is not the worst that can happen,” Deleuze and Guattari say, “the worst that can happen is if you throw the strata into demented or suicidal collapse, which brings them back down on us heavier than ever” (Deleuze and Guattari 1987, 199/161). </w:t>
      </w:r>
      <w:r w:rsidRPr="0673B170" w:rsidR="0673B170">
        <w:rPr>
          <w:sz w:val="16"/>
          <w:szCs w:val="16"/>
        </w:rPr>
        <w:t xml:space="preserve">Insofar as the Occupy movement refuses in principle to ally itself with other movements and persons (community groups, reformists, unions, or even electoral politics), it risks deterritorializing too far, too quickly, and becoming self- destructive. A strategic refusal to offer a unified set of demands may be useful in some cases and not in others. But when the refusal to give demands or work with others who do not share all of one’s own commitments becomes an absolute principle, we can see a radical self-marginalization and possible eventual self-destruction of the movement. Offering demands or working with unions who endorse Obama is not the worst thing that can happen—the worst thing would be that the movement becomes so “radical” that it is unable to sustain popular support and solidarity, and it dies at its own hands. The movement can become so “pure” that when the cops come, no one is left to help defend the camp. Further, if the Occupy movement decided that building alternative institutions (kitchens, libraries, clinics, media centers, etc.) compromised the radical spontaneity of the movement, the movement may also not be able to sustain itself. </w:t>
      </w:r>
      <w:r w:rsidRPr="0673B170" w:rsidR="0673B170">
        <w:rPr>
          <w:rStyle w:val="StyleUnderline"/>
        </w:rPr>
        <w:t xml:space="preserve">(4) Absolute positive deterritorialization is a kind of transformation that not only escapes the dominant political order, but also connects up to an increasing number of other escaped or freed elements whose ultimate collective aim is the transformation of the dominant political order (territorial, state, and capital). It accomplishes this through the prefigurative construction of a new world (Deleuze and Guattari 1987, 177/142). </w:t>
      </w:r>
      <w:r w:rsidRPr="0673B170" w:rsidR="0673B170">
        <w:rPr>
          <w:sz w:val="16"/>
          <w:szCs w:val="16"/>
        </w:rPr>
        <w:t xml:space="preserve">But it would be a mistake to think that this radical transformation is a kind of ex nihilo miracle or absolute Other/Outside of political representation. For Deleuze and Guattari absolute deterritorialization is already presupposed as part of all other forms of social organization (1983, 208/176). Revolutions simply harness and recompose the changes that are already happening in society. Absolute positive deterritorialization is thus in no way transcendent, oppositional, or merely potential, but rather a kind of immanent and creative process from within the situation that harnesses all of its inevitable breakdowns and exclusions. It does so not in order to develop a new form of political representation, or to stabilize the old ones, but to create a new political body. </w:t>
      </w:r>
      <w:r w:rsidRPr="0673B170" w:rsidR="0673B170">
        <w:rPr>
          <w:rStyle w:val="StyleUnderline"/>
        </w:rPr>
        <w:t>In the case of the Occupy movement this type of political transformation is by far the most dominant, relative to the other three types of political transformation. To a strong degree the Occupy movement has been able to connect itself up to a global group of allies across the political spectrum against political and economic inequality. It is by far the largest occupation movement in history. One of the reasons for this is that it has not turned away groups with differing political aims.13 Further, not everyone who participated in the Occupy movement refused to make demands. In fact, we might more accurately characterize the movement as having a surplus of demands. While still split to some degree between revolutionary and reformist tendencies, the Occupy movement has managed to move beyond isolated one- day protests and to sustain a large occupation movement. The occupation has thus been able to make a strong case not just for its distance or difference from state capitalism, but for the existence and actuality of an alternative to it.</w:t>
      </w:r>
      <w:r w:rsidRPr="0673B170" w:rsidR="0673B170">
        <w:rPr>
          <w:sz w:val="16"/>
          <w:szCs w:val="16"/>
        </w:rPr>
        <w:t xml:space="preserve"> Politicians and corporations have failed to serve the people and so the people have tried to prove that they can do it better themselves without the mediation of politicians and capitalists. By occupying public spaces and organizing the world they want to see (based on direct democracy, consensus decision-making, equality, trust, and mutual aid), the Occupy movement prefigures a new politics. The Occupy movement actualizes the revolution in the future anterior: as that which will have been the beginning of a new form of political organization. Instead of merely demanding the things it wants (in protest), it has decided to make them within and alongside the current world. Occupy has taken up a large group of deterritorialized people, places, and things that are marginalized or excluded from the dominant powers of politics and economics and recomposed them into alternative structures under popular control. Some of these structures include the General Assembly, consensus decision-making, free kitchens, clinics, libraries, and media centers, </w:t>
      </w:r>
      <w:r w:rsidRPr="0673B170" w:rsidR="0673B170">
        <w:rPr>
          <w:sz w:val="16"/>
          <w:szCs w:val="16"/>
        </w:rPr>
        <w:t xml:space="preserve">open to all who are hungry, sick, thoughtful, or want to publish media of their own. To a strong degree it has not merely reproduced the dominant forms of political representation or created new ones; instead, it has created a non-representational form of direct political participation. This will be developed further in the next section. </w:t>
      </w:r>
      <w:r w:rsidRPr="0673B170" w:rsidR="0673B170">
        <w:rPr>
          <w:rStyle w:val="StyleUnderline"/>
        </w:rPr>
        <w:t xml:space="preserve">Actual revolutionary deterritorialization is thus the process by which concrete political agents and objects break free from existing modes of political representation by creating a prefigurative alternative composition within and alongside older ones. This is quite different than speculative leftism because it does not merely break free and affirm a general possibility of further change—it creates an actual and concrete alternative. In fact, the creation of an alternative is what makes this fourth type of transformation specifically revolutionary (and not just political in general). Thus, through these illustrations we can see that to politically and philosophically valorize “deterritorialization” in general is a completely ambivalent and unhelpful gesture. </w:t>
      </w:r>
      <w:r w:rsidRPr="0673B170" w:rsidR="0673B170">
        <w:rPr>
          <w:sz w:val="16"/>
          <w:szCs w:val="16"/>
        </w:rPr>
        <w:t xml:space="preserve">Without further clarification of what types of deterritorialization are operating in a specific situation and to what degree, and without an emphasis on how these deterritorializations are positively assembled, the concept of deterritorialization falls prey to the three criticisms made of Deleuze and Guattari in part I. Revolutionary Consistency The second and most important concept in Deleuze and Guattari’s work for understanding the actuality of revolution is the concept of “consistency.” </w:t>
      </w:r>
      <w:r w:rsidRPr="0673B170" w:rsidR="0673B170">
        <w:rPr>
          <w:rStyle w:val="StyleUnderline"/>
        </w:rPr>
        <w:t xml:space="preserve">This concept is invented in A Thousand Plateaus to resolve precisely the problem debated above: how to create a political composition or collective that is neither representational nor merely potential or negatively deterritorialized. Revolutionary consistency, for Deleuze and Guattari, describes a type of political composition that offers new conditions for political life (not just a transformation of the already present conditions). These new conditions are not based on a “more just” condition of political action whose foundational principles are still mediated through representatives (the vanguard, politicians, or capitalists). </w:t>
      </w:r>
      <w:r w:rsidRPr="0673B170" w:rsidR="0673B170">
        <w:rPr>
          <w:rStyle w:val="StyleUnderline"/>
        </w:rPr>
        <w:t>The goal of revolutionary consistency is not simply to establish anti-, or counter-compositions, whose sole purpose is to undermine all forms of political representation and await the possibility that something new, and hopefully better, may emerge. Rather, consistent revolutionary compositions are built and sustained through a process whose founding conditions are constantly undergoing a high degree of direct and immanent transformation by the specific concrete practices and people who are effected, to varying degrees, by its deployment</w:t>
      </w:r>
      <w:r w:rsidRPr="0673B170" w:rsidR="0673B170">
        <w:rPr>
          <w:sz w:val="16"/>
          <w:szCs w:val="16"/>
        </w:rPr>
        <w:t xml:space="preserve">. A consistent political composition is thus not an ontological thesis regarding a “completely open and provisional” political principle of change. Rather, it is a regional or local composition that is open to further changes as they are added, one at a time, around a common cause. Revolutionary consistency, in short, is a political “feedback loop” between the abstract event of a revolution and the concrete persons and things that both actualize and transform it. A revolution, in other words, has no representatives to interpret the will of the people; it is self-organized by the people themselves. Deleuze and Guattari offer us three concepts that express the structure of this relationship: what they call the “abstract machine,” the “concrete assemblage,” and the “persona.”14 </w:t>
      </w:r>
      <w:r w:rsidRPr="0673B170" w:rsidR="0673B170">
        <w:rPr>
          <w:rStyle w:val="StyleUnderline"/>
        </w:rPr>
        <w:t xml:space="preserve">(1) The Abstract Machine: Revolutionary events are abstract in the sense that they are not things among other things—rather, they give a proper name to the existence of another world. This is a world that exists here and now, but whose “essence” is nowhere except in the concrete consequences of the event. Occupy, as a revolutionary movement, gives a proper name to the possibility and actuality of the people to organize themselves in relationships of political and economic equality—something that previously seemed impossible. But the proper name, “the 99%” is also real-abstract (vrai-abstrait) insofar as it indicates a specific but highly flexible condition that allows for the real appearance of “new space-times” and new subjectivities to be organized around its proper name (Deleuze 1995, 239/176). Occupy is thus an abstract machine in the sense that it is marked by a singular and asignifying proper name like the names of military operations or the names of hurricanes, as Deleuze and Guattari say (1987, 40/28, 322– 323/264). This name is “asignifying” in the sense that it does not represent or symbolize any essential meaning that inheres in the event. Rather, the proper name of “the 99%” is spoken through as a flexible or mutable condition that changes each time there is a new deployment of its </w:t>
      </w:r>
      <w:r w:rsidRPr="0673B170" w:rsidR="0673B170">
        <w:rPr>
          <w:rStyle w:val="StyleUnderline"/>
        </w:rPr>
        <w:t>consequences (Deleuze &amp; Guattari 1987, 179/142). There is no program or absolute set of rules to “be part of the 99%” given in advance. What makes someone part of the 99% is not a demographic statistic or income level, but rather their commitment to the consequences that they (and others) see following from the event.</w:t>
      </w:r>
      <w:r w:rsidRPr="0673B170" w:rsidR="0673B170">
        <w:rPr>
          <w:sz w:val="16"/>
          <w:szCs w:val="16"/>
        </w:rPr>
        <w:t xml:space="preserve"> In fact, even the 1% can be part of the 99% (see the website, “We are the 1 percent: We stand with the 99 percent.tumblr.com”). This is also the sense in which Deleuze and Guattari say the event is both singular and universal (Deleuze and Guattari 1987, 474/382). It is singular in the sense that it has a unique name that distinguishes it from the regimes of political representation, but it is universal in the sense in which it is open to the participation of anyone, anywhere. This does not mean that everyone is necessarily part of the 99%, but that there are no essential barriers to participation like there are with statism (not everyone can be a citizen) or capitalism (not everyone can be a capitalist). If anyone from the 1% wants to camp in a public park and advocate for economic equality, they are invited. Occupiers in New York have even chanted to the police “you are the 99%”. </w:t>
      </w:r>
      <w:r w:rsidRPr="0673B170" w:rsidR="0673B170">
        <w:rPr>
          <w:rStyle w:val="StyleUnderline"/>
        </w:rPr>
        <w:t>(2) The Concrete Assemblage: Accordingly, the concrete elements of the assemblage that articulate the consequences of the abstract event cannot be considered as “normative” or “goal-driven” actions, since they are continually transforming the conditions or goals that are supposed to normalize and direct their actions. These mutual transformations, however, should not be mistaken for a kind of pragmatic “revisionism” where a hypothesis is “tested,” found to work or not work, and then rationally (or otherwise) revised accordingly in order to ground a narrative of political “progress.” Rather, abstract events transform and are transformed reciprocally by those who effectuate them and who are effected by them (without knowing their ends in advance)</w:t>
      </w:r>
      <w:r w:rsidRPr="0673B170" w:rsidR="0673B170">
        <w:rPr>
          <w:sz w:val="16"/>
          <w:szCs w:val="16"/>
        </w:rPr>
        <w:t>. “When people demand to formulate their problems themselves,” as Deleuze and Guattari say, “and to determine at least the particular conditions under which they can receive a more general solution,” there is a specifically non-representational form of self-management and democratic participation (Deleuze &amp; Guattari 1987, 588/471; Deleuze 1994, 206/158). Each concrete machine may certainly have different capacities to be affected, but there is no single element that is independent from or in charge of representing the others. Rather, in each case, one must “count its affects,” [on cherche á faire le compte de ses affects] (Deleuze &amp; Guattari 1987, 314/257). T</w:t>
      </w:r>
      <w:r w:rsidRPr="0673B170" w:rsidR="0673B170">
        <w:rPr>
          <w:rStyle w:val="StyleUnderline"/>
        </w:rPr>
        <w:t>he procedure of counting the affects of a revolutionary event is thus the process of building a concrete body/composition for this event: what actions does the event call us to take? Who are our allies and enemies in this struggle?</w:t>
      </w:r>
      <w:r w:rsidRPr="0673B170" w:rsidR="0673B170">
        <w:rPr>
          <w:sz w:val="16"/>
          <w:szCs w:val="16"/>
        </w:rPr>
        <w:t xml:space="preserve"> What does the event mean, here, and in this case? However, since there are no static normative ends that inhere in the revolutionary event itself (we do not know in advance what the revolution will mean),15 the revolution must be built piece by piece and experimented with in actual struggles. The Occupy movement has a concrete assemblage that articulates the concrete practices and actions of the event. T</w:t>
      </w:r>
      <w:r w:rsidRPr="0673B170" w:rsidR="0673B170">
        <w:rPr>
          <w:rStyle w:val="StyleUnderline"/>
        </w:rPr>
        <w:t xml:space="preserve">hese consequences are not given in advance by a program but rather continue to modify what the event means each time they effect a new deployment (since the event has no essential meaning). The kitchens, libraries, tents, slogans, signs, assemblies, marches, blogs, twitter feeds, art, and songs are all part of the concrete elements that give an actual body to the more abstract proper name of the event. When one group of students in New York decide to occupy their school in protest of increased tuition and student debt and claim this as a consequence of being the 99% and another group in California decide to do the same without a program or representative, etc., there is a creation of consistency or resonance of evental concretization (not vanguard leadership). How does the demand to abolish student loan debt become part of the meaning of the 99%? By more and more people concretely taking such actions, and others supporting them in solidarity. </w:t>
      </w:r>
      <w:r w:rsidRPr="0673B170" w:rsidR="0673B170">
        <w:rPr>
          <w:sz w:val="16"/>
          <w:szCs w:val="16"/>
        </w:rPr>
        <w:t>Each time a new concrete consequence is drawn (a labor strike, a port shutdown, a movement of personal bank accounts to credit unions, etc.), the Occupy movement takes on a larger and more robust consistency and meaning. Even the formal structure of the Occupy encampments follows this “feedback loop” structure. General assemblies are open to everyone and decisions are made through consensus (everyone comes to agreement, not just the majority). The rules or decisions of the collective are always up for revision and transformation without the use of representatives who mediate the direct will of the participants. There is no essential “party-line” or fixed set of commitments one must have, although actions that would exclude or reduce collective participation—like racism, sexism, homophobia, etc.—are not allowed. Spokes-councils or smaller groups break off and work on specific projects and then return to the General Assemblies for a final consensus-decision in an unmediated feedback loop of democracy very different than representative democracy or vague affirmations of potential change. (</w:t>
      </w:r>
      <w:r w:rsidRPr="0673B170" w:rsidR="0673B170">
        <w:rPr>
          <w:rStyle w:val="StyleUnderline"/>
        </w:rPr>
        <w:t>3) The Persona: A revolutionary body politic is a continually transformed condition and set of concrete consequences, but it is the revolutionary subject that connects the two t</w:t>
      </w:r>
      <w:r w:rsidRPr="0673B170" w:rsidR="0673B170">
        <w:rPr>
          <w:rStyle w:val="StyleUnderline"/>
        </w:rPr>
        <w:t>ogether (Deleuze and Guattari 1994, 73/75). Rather than representing or speaking about a political event, the political persona, for Deleuze and Guattari, is the immanent agent of an operation that connects the abstract event to the concrete consequences (cf. 1983, 22–23/16). For Deleuze and Guattari, the revolutionary political ‘subject’ is not simply ‘de-centered;’ it is a co-adaptive component of a particular collective enunciation or political consistency in the third person (He, She, They) and the indefinite (One, Everyone, Anyone). ‘I won’t say I anymore,’ Deleuze and Guattari say in Anti-Oedipus, ‘I’ll never utter the word again; it’s just too damn stupid. Every time I hear it, I’ll use the third person instead [je ne dirai plus moi, je ne le dirai plus jamais, c’est trop bêt. je mettrai à la place, chaque fois que je l’entendrai, la troisième personne, si j’y pense]’ (1983, 30/23). The</w:t>
      </w:r>
      <w:r w:rsidRPr="0673B170" w:rsidR="0673B170">
        <w:rPr>
          <w:sz w:val="16"/>
          <w:szCs w:val="16"/>
        </w:rPr>
        <w:t xml:space="preserve"> important and ironic point is that it is not a matter of never using the first person pronoun again, but that the speech acts of personae always be considered as most primarily ‘speech act[s] in the third person where it is always the conceptual persona who says, “I” [je]’ (Deleuze and Guattari 1994, 63/64). It is not the case that the first and second person pronouns, ‘I’ or ‘You,’ have no meaning; rather, the point is that they are derived or conditioned on a more primary third person of the event. ‘I’ and ‘You’ function as different features of political events that engage in negotiation and conflict, immanent to the collective assemblage at hand, not as features of an independent consciousness, ego, radical alterity, or transcendence outside the assemblage. While the first person generally indicates a self-conscious subject of enunciation who makes decisions on a political arrangement independent from it, and the second person designates the projection of the first, the third person persona indicates an indefinite group- subject always in co-adaptation with the body politic. The </w:t>
      </w:r>
      <w:r w:rsidRPr="0673B170" w:rsidR="0673B170">
        <w:rPr>
          <w:rStyle w:val="StyleUnderline"/>
        </w:rPr>
        <w:t xml:space="preserve">Occupy movement has produced a very specific type of collective subjectivity exactly along these lines: “the occupier.” Piece by piece the occupiers show the concrete consequences of the Occupy movement by effectuating some actions, some slogans, some demonstrations, and not others. But these elements, as results of direct democracy and consensus, in turn transform the Occupy movement itself. Occupy has no existence outside of its effectuations by occupiers. The transformation of the evental condition “Occupy” then transforms the occupiers who must in turn redeploy new concrete effectuations based on this change. Occupy thus leads itself by obeying itself in a kind of feedback loop with no program or vanguard at the helm. It is in this sense a process of participation where event, consequence, and subject all enter a mutual transformation. The </w:t>
      </w:r>
      <w:r w:rsidRPr="0673B170" w:rsidR="0673B170">
        <w:rPr>
          <w:rStyle w:val="StyleUnderline"/>
        </w:rPr>
        <w:t>occupier also breaks with a tradition of revolutionary subjectivity based on individualism and military styled self- discipline. Instead, the occupier acts in the third person and creates a new kind of discipline: the collective discipline of the event. This does not mean of course that occupiers never say ‘I,’ or ‘You;’ it simply means that these features are derivative or secondary to the more primary third person that acts as the agent of a connection between an event and its consequences. Conflicts and agreements still take place between specific ‘I’s’ and ‘You’s’ but only as conflicts and agreements of the event they participate in: not outside it, or upon it, but within and through it. Ju</w:t>
      </w:r>
      <w:r w:rsidRPr="0673B170" w:rsidR="0673B170">
        <w:rPr>
          <w:sz w:val="16"/>
          <w:szCs w:val="16"/>
        </w:rPr>
        <w:t>st as Occupy uses the participatory General Assembly to replace normal conditions of representation and exclusion (present in statism and capitalism) or when they use of the mutual aid in the commons (clinics, kitchens, libraries, free schools, etc.) to replace the concrete practices of private and public property, so Occupy creates occupiers to replace the representational subject of liberal and capitalist individualism. This process of revolutionary subjectivation is accomplished concretely through the practical use of the People’s Mic and through the use of masks. The People’s Mic began in Zuccotti Park in New York City where the use of megaphones was prohibited. The speaker’s voice was then amplified by the entire crowd who would repeat each word, one sentence at a time, after the speaker so everyone could hear/speak. The collective repetition not only of the speaker’s words but of the words of hundreds (sometimes thousands) of other people has the effect of resonating and literally internalizing the voice of the collective “we.” The act of collective speaking is part of the actual production of a third person subjectivity which is neither I nor you, but we, without exclusion. Here the subject is not merely “decentered,” but is brought into consistency with the event, its consequences, and the other occupiers. When a thousand people say “I” together, this “I” is a multiple “I” composing a collective “we”: the People’s Mic. Anot</w:t>
      </w:r>
      <w:r w:rsidRPr="0673B170" w:rsidR="0673B170">
        <w:rPr>
          <w:rStyle w:val="StyleUnderline"/>
        </w:rPr>
        <w:t>her actualization of the third person subjectivity of the occupiers is the use of masks (Guy Fawkes masks as well as ski masks and bandanas) to make themselves anonymous. This is not the kind of popular strategy one finds in the previous revolutionary sequences of the French revolution (liberalism), Leninism, or Maoism (communism). The face of the individual was part of thei</w:t>
      </w:r>
      <w:r w:rsidRPr="0673B170" w:rsidR="0673B170">
        <w:rPr>
          <w:rStyle w:val="StyleUnderline"/>
        </w:rPr>
        <w:t>r accurate representation by the state or the vanguard. The practice of collective masking in the Occupy movement is hostile to vanguardism and representation insofar as it creates a visual equality between subjects without leaders. It de-individualizes first person subjects in favor of third person collective subjects of the event. We</w:t>
      </w:r>
      <w:r w:rsidRPr="0673B170" w:rsidR="0673B170">
        <w:rPr>
          <w:sz w:val="16"/>
          <w:szCs w:val="16"/>
        </w:rPr>
        <w:t xml:space="preserve"> might imagine how confusing it would be to try and follow a single person when everyone was wearing the same black ski mask or Guy Fawkes mask. “Are you the one leading us? No, I thought you were leading us?” The point is to create a locally generic subjectivity of Occupation and express it collectively,;that is, to lead, but to lead by obeying those you are leading, as the Zapatistas (who also use the strategy of masking), might say: “mandar obedeciendo” (Comandante Tacho 2007). By covering their faces as a political action the Occupiers are able to create a unique political anonymity (open to anyone, and yet unambiguously for Occupation!) that rejects both liberal and “merely decentered” models of subjectivity, in favor of a subject of the event itself. Revolutionary consistency can thus be defined as the feedback loop between the abstract possibility of a new world and the concrete subjects and consequences of this world. To affirm the mere philosophical and completely open/formal/generic potentiality of revolution without a study of the concrete actuality of its consequences and to what degree these consequences transform and shape its future potential is to fall prey to the three dangers previously leveled against Deleuze and Guattari by their critics. Conclusion In D</w:t>
      </w:r>
      <w:r w:rsidRPr="0673B170" w:rsidR="0673B170">
        <w:rPr>
          <w:rStyle w:val="StyleUnderline"/>
        </w:rPr>
        <w:t>eleuze and Guattari’s political philosophy we can see both a tendency toward the pure affirmation of difference or “speculative leftism” as well as a tendency toward a constructivist analysis of the actuality of revolution. Given the dangers of the former, I believe it is now time to take up and emphasize the project of the later. The question of revolution today is no longer, “how is the revolution possible?” but rather “what are the actual dimensions of the revolution already underway?” This</w:t>
      </w:r>
      <w:r w:rsidRPr="0673B170" w:rsidR="0673B170">
        <w:rPr>
          <w:sz w:val="16"/>
          <w:szCs w:val="16"/>
        </w:rPr>
        <w:t xml:space="preserve"> is much closer to what Badiou, Hallward, Toscano, and Bosteels claim to be looking for in their own political concepts of “consistency,” “commitment,” and “solidarity,” than the pure becoming often associated with Deleuze and Guattari. The current revolutionary sequence that began in 1994 with the Zapatistas has, according to Alberto Toscano, “sketched out new regimes of organization, new forms of subjectivity ... at a distance from the accepted forms of mediated representation ... [such that] that we might begin to think beyond the intra-State logic of representation” (2004, 224). The </w:t>
      </w:r>
      <w:r w:rsidRPr="0673B170" w:rsidR="0673B170">
        <w:rPr>
          <w:rStyle w:val="StyleUnderline"/>
        </w:rPr>
        <w:t>task of a revolutionary political philosophy today must thus begin with an analysis of these new organizations and subjectivities. As the heir to Zapatismo and the Alter-globalization movement, the Occupy movement is our event and cannot be fully understood without an analysis of its actuality. Drawing on Deleuze and Guattari’s political constructivism, I believe we can provide such an analysis. The valorization of “lines of flight,” “rupture,” and “heterogeneity” as they break free from or within power, without a positive account of how such lines compose a new consistency of their own, are—and here I am in agreement with Badiou and others—“the concrete definition of revolutionary failure,” (Badiou 2004, 80). Revolutionary struggles must be sustained beyond the scope of isolated outbursts against or within power. Without a cohesive theory of how to diagnose, transform, and create these new political bodies connected through mutual global solidarity, we cannot hope to understand the actuality of the present revolutionary sequence.</w:t>
      </w:r>
    </w:p>
    <w:p xmlns:wp14="http://schemas.microsoft.com/office/word/2010/wordml" w:rsidRPr="00610AEF" w:rsidR="00507555" w:rsidP="00507555" w:rsidRDefault="00507555" w14:paraId="3CEE4988" wp14:textId="77777777">
      <w:pPr>
        <w:pStyle w:val="Heading2"/>
      </w:pPr>
      <w:r>
        <w:lastRenderedPageBreak/>
        <w:t>A2: Perm</w:t>
      </w:r>
    </w:p>
    <w:p xmlns:wp14="http://schemas.microsoft.com/office/word/2010/wordml" w:rsidRPr="0041283A" w:rsidR="00507555" w:rsidP="00507555" w:rsidRDefault="00507555" w14:paraId="12766569" wp14:textId="77777777">
      <w:pPr>
        <w:keepNext/>
        <w:keepLines/>
        <w:spacing w:before="40" w:after="0"/>
        <w:outlineLvl w:val="3"/>
        <w:rPr>
          <w:rFonts w:eastAsiaTheme="majorEastAsia" w:cstheme="majorBidi"/>
          <w:b/>
          <w:bCs/>
          <w:iCs/>
          <w:sz w:val="26"/>
        </w:rPr>
      </w:pPr>
      <w:r w:rsidRPr="0041283A">
        <w:rPr>
          <w:rFonts w:eastAsiaTheme="majorEastAsia" w:cstheme="majorBidi"/>
          <w:b/>
          <w:bCs/>
          <w:iCs/>
          <w:sz w:val="26"/>
        </w:rPr>
        <w:t xml:space="preserve">While the </w:t>
      </w:r>
      <w:r>
        <w:rPr>
          <w:rFonts w:eastAsiaTheme="majorEastAsia" w:cstheme="majorBidi"/>
          <w:b/>
          <w:bCs/>
          <w:iCs/>
          <w:sz w:val="26"/>
        </w:rPr>
        <w:t>AFFs</w:t>
      </w:r>
      <w:r w:rsidRPr="0041283A">
        <w:rPr>
          <w:rFonts w:eastAsiaTheme="majorEastAsia" w:cstheme="majorBidi"/>
          <w:b/>
          <w:bCs/>
          <w:iCs/>
          <w:sz w:val="26"/>
        </w:rPr>
        <w:t xml:space="preserve"> plan might seem to be a reduction of restrictions, it only encompasses relative negative deterritorializations, actions that in no way disrupt the overarching political structures. Instead what we need are moments of absolute positive deterritiorializations where we can engage in acts of open rebellion and revolution.</w:t>
      </w:r>
    </w:p>
    <w:p xmlns:wp14="http://schemas.microsoft.com/office/word/2010/wordml" w:rsidRPr="00610AEF" w:rsidR="00507555" w:rsidP="00507555" w:rsidRDefault="00507555" w14:paraId="737CB049" wp14:textId="77777777">
      <w:pPr>
        <w:pStyle w:val="ListParagraph"/>
        <w:numPr>
          <w:ilvl w:val="0"/>
          <w:numId w:val="21"/>
        </w:numPr>
      </w:pPr>
      <w:r w:rsidRPr="00610AEF">
        <w:t>state is always a container (answer to the perm); it also says some other good stuff toward the bottom but u can tag it</w:t>
      </w:r>
    </w:p>
    <w:p xmlns:wp14="http://schemas.microsoft.com/office/word/2010/wordml" w:rsidRPr="00610AEF" w:rsidR="00507555" w:rsidP="00507555" w:rsidRDefault="00507555" w14:paraId="0E785D17" wp14:textId="77777777">
      <w:r w:rsidRPr="00610AEF">
        <w:rPr>
          <w:rStyle w:val="Style13ptBold"/>
        </w:rPr>
        <w:t>Elden 04</w:t>
      </w:r>
      <w:r w:rsidRPr="00610AEF">
        <w:t xml:space="preserve"> (Stuart, professor of political theory and geography at the University of Warwick, is the author of several books, including The Birth of Territory, published by the University of Chicago Press, Missing the point: globalization, deterritorialization and the space of the world, Department of Geography, University of Durham, 16 February 2004, </w:t>
      </w:r>
      <w:hyperlink w:history="1" r:id="rId153">
        <w:r w:rsidRPr="00610AEF">
          <w:rPr>
            <w:rStyle w:val="Hyperlink"/>
          </w:rPr>
          <w:t>https://pdfs.semanticscholar.org/653c/017886f8a431341ba2650087ceac7a9508a7.pdf</w:t>
        </w:r>
      </w:hyperlink>
      <w:r w:rsidRPr="00610AEF">
        <w:t>) //jd</w:t>
      </w:r>
    </w:p>
    <w:p xmlns:wp14="http://schemas.microsoft.com/office/word/2010/wordml" w:rsidRPr="00B974FD" w:rsidR="00507555" w:rsidP="0673B170" w:rsidRDefault="00507555" w14:paraId="38E5E7B6" wp14:textId="77777777" wp14:noSpellErr="1">
      <w:pPr>
        <w:rPr>
          <w:rStyle w:val="StyleUnderline"/>
        </w:rPr>
      </w:pPr>
      <w:r w:rsidRPr="0673B170" w:rsidR="0673B170">
        <w:rPr>
          <w:sz w:val="16"/>
          <w:szCs w:val="16"/>
        </w:rPr>
        <w:t xml:space="preserve">Deterritorialization, territory and the absence of theory </w:t>
      </w:r>
      <w:r w:rsidRPr="0673B170" w:rsidR="0673B170">
        <w:rPr>
          <w:rStyle w:val="StyleUnderline"/>
        </w:rPr>
        <w:t xml:space="preserve">As Papastergiadis shows (2000, 116–7), the notion of deterritorialization has a complicated intellectual heritage, something which is not always appreciated. As he notes, the cultural dynamic of deterritorialization has decoupled previous links between space, stability and reproduction; it has situated the notion of community in multiple locations; it has split loyalties and fractured the practices that secure understanding and knowledge within the family and social unit. (Papastergiadis 2000, 117) </w:t>
      </w:r>
      <w:r w:rsidRPr="0673B170" w:rsidR="0673B170">
        <w:rPr>
          <w:sz w:val="16"/>
          <w:szCs w:val="16"/>
        </w:rPr>
        <w:t xml:space="preserve">Drawing upon Deleuze and Guattari’s (1986) use of the term in their assessment of Kafka, he notes how there it was used to show how Kafka’s writings in German were disruptive because of his position outside of Germany itself. </w:t>
      </w:r>
      <w:r w:rsidRPr="0673B170" w:rsidR="0673B170">
        <w:rPr>
          <w:rStyle w:val="StyleUnderline"/>
        </w:rPr>
        <w:t>This use of deterritorialization is rather different from its deployment in much of the literature. For Deleuze and Guattari (see also 1988 1994), the term is one of the relation between thought and territorial placing, between internal and external exile, and bears relation to notions of nomad thought, hybri- dity and diaspora. It has important resonances to territory taken more generally, but even in the more sophisticated readings of this problematic following them (for example, Albert 1999) it is difficult to see quite how.</w:t>
      </w:r>
      <w:r w:rsidRPr="0673B170" w:rsidR="0673B170">
        <w:rPr>
          <w:sz w:val="16"/>
          <w:szCs w:val="16"/>
        </w:rPr>
        <w:t xml:space="preserve"> The exception is Hardt and Negri’s Empire (2000), which I have discussed, along with this intellectual heritage, in detail elsewhere (Elden 2004b). For Papastergiadis ‘the concept of deterritorialization has been a useful mode of understanding the fissures within language and cultural identity’ (2000, 118). A similar use of Deleuze and Guattari is made by Appadurai (1996). Extreme caution should be shown in appropriating this as a model for globalization taken as whole. And yet this caution is signally lacking. We therefore find deterritorialization utilized to describe a cultural process, where the break between the social and the geographical heralds a new age of unplaced human interaction (Lull 1995; Appadurai 1996; Papastergiadis 2000); as related to regional and nationalist identities (Williams 2003); and environmental issues (Kuehls 1996; Castree 2003). Castree here importantly cautions against seeing this solely as deterritorialization, and dis- cusses the ‘dialectic of territorialization/deterrito- rialization, a mixture of spatial fixity and unfixity’ (2003, 427). Following a similar logic, people like Anderson have talked of a ‘new medievalism’, where boundaries are overrun and sovereignty plural and overlapping (1996). </w:t>
      </w:r>
      <w:r w:rsidRPr="0673B170" w:rsidR="0673B170">
        <w:rPr>
          <w:rStyle w:val="StyleUnderline"/>
        </w:rPr>
        <w:t>We should be grate- ful the hyperbolic claims that we have entered a borderless world, with the end of the nation-state and of geography (Ohmae 1990 1995; O’Brien 1992) have been widely critiqued (see Amin and Thrift 1997; Yeung 1998; Kelly 1999; Ó Tuathail 2000; MacLeod 2001). We should be similarly grateful that for many this notion of deterritorialization requires us to recognize that geography remains of paramount importance, even if it needs to be understood in new, and more complicated ways. As Amin puts it Thus I have distanced myself from the territorial idea of sequestered spatial logics – local, national, continental and global – pitted against each other. Instead, I have chosen to interpret globalisation in relational terms as the interdependence and intermingling of global, distant and local l</w:t>
      </w:r>
      <w:r w:rsidRPr="0673B170" w:rsidR="0673B170">
        <w:rPr>
          <w:rStyle w:val="StyleUnderline"/>
        </w:rPr>
        <w:t>ayers, resulting in the greater hybridisation and perforation of social, economic and political life. (1997, 133) D</w:t>
      </w:r>
      <w:r w:rsidRPr="0673B170" w:rsidR="0673B170">
        <w:rPr>
          <w:sz w:val="16"/>
          <w:szCs w:val="16"/>
        </w:rPr>
        <w:t>eterritorialization in its most useful sense therefore forces us to think anew on the notion of territory, and to recognize how its logic is both played out and challenged in a period of globalization (see Ó Tuathail 1998, 82; Cox 1997; Brenner 1999a 1999b). This goes beyond merely assuming territory as a given and examining to what extent things remain in place. Rather its position and status is itself in question (Ó Tuathail 2000, 139–40). Globalization has been explicitly seen as deterri- torialization by Scholte (2000a, 46), but despite the importance of this definition the term plays a rela- tively minor role in the book as a whole, and disap- pears from the forthcoming second edition entirely. Rather Scholte proposes a view of supraterritori- alization, which ‘entails a reconfiguration of geog- raphy, so that social space is no longer wholly mapped in terms of territorial places, territorial distances and territorial borders’ (2000a, 96; see 2000b, 179). Important though this reconfiguration of geography undoubtedly is, I am reluctant to accept his straightforward understanding of terri- tory, and would push the point further: work pro- posing an idea of deterritorialization requires an explicit theorization of what territory is, in order that we are not blinded to the parallels between then and now in the changing nature of spatial relations. In other words, what is it we have sup- posedly gone beyond or seen revised in significant ways? For such a crucial issue, territory is under- theorized to a remarkable degree. The</w:t>
      </w:r>
      <w:r w:rsidRPr="0673B170" w:rsidR="0673B170">
        <w:rPr>
          <w:rStyle w:val="StyleUnderline"/>
        </w:rPr>
        <w:t xml:space="preserve"> standard approach, in political science as much as geography and international relations, is to take it for an unproblematic given, which is then fought over, redistributed and redrawn, without any conceptual problematization. In other words, there are disputes over territory, but none over ‘territory’. This is despite the stress on its impor- tance in Max Weber’s famous definition of the state: The state is that human community, which within a certain area or territory [Gebietes] – this ‘area’ belongs to the feature – has a (successful) monopoly of legitimate physical violence. (1971, 510–11; 1994, 311, translation modified) As </w:t>
      </w:r>
      <w:r w:rsidRPr="0673B170" w:rsidR="0673B170">
        <w:rPr>
          <w:rStyle w:val="StyleUnderline"/>
        </w:rPr>
        <w:t xml:space="preserve">is beginning to be realized (Brenner et al. 2002, 2), the territorial part of this – in distinction to community, legitimacy and violence – has been largely neglected, both by Weber himself and social science in general. But as Michael Mann recognizes, the territorial aspect is not minor, but crucial: ‘the state is, indeed a place – both a central place and a unified territorial reach’ (1985, 198). For Mann this puts it in distinction to churches and companies. Jean Gottman, who has written some of the most productive works on this subject, proclaims that ‘amazingly little has been published about the concept of territory, although much speech, ink, and blood have been spilled over territorial disputes’ (1973, ix). </w:t>
      </w:r>
      <w:r w:rsidRPr="0673B170" w:rsidR="0673B170">
        <w:rPr>
          <w:sz w:val="16"/>
          <w:szCs w:val="16"/>
        </w:rPr>
        <w:t>How much has this changed in the last thirty years? For Gottman, it is all too easy to assume the modern, or legal sense of territory as a ‘portion of geographical space under the jurisdiction of certain people’ (1973, 5). Similarly Friedrich Kratochwil suggests that ‘territoriality, like property, is not a simple concept, but comprises a variety of social arrangements that have to be examined in greater detail’ (1986, 27–8). However central the notion of territory is to definitions of the state, it generally tends to be assumed as unproblematic. The</w:t>
      </w:r>
      <w:r w:rsidRPr="0673B170" w:rsidR="0673B170">
        <w:rPr>
          <w:rStyle w:val="StyleUnderline"/>
        </w:rPr>
        <w:t xml:space="preserve">orists have largely neglected to define the term, taking it as obvious and not worthy of further investigation. One searches political dictionaries or introductory text- books in vain for a conception of this notion: rather it is unhistorically accepted, conceptually assumed and philosophically unexamined. Its meaning is taken to be obvious and self-evident and can therefore be assumed in political analysis. Political science that does discuss this notion tends to concentrate on legal issues of secession or border disputes, or problems of refugees, nationalism and core–periphery relations rather than come to terms with the notion itself (for example, Bulpitt 1983; see on this point, Badie 2000). </w:t>
      </w:r>
      <w:r w:rsidRPr="0673B170" w:rsidR="0673B170">
        <w:rPr>
          <w:sz w:val="16"/>
          <w:szCs w:val="16"/>
        </w:rPr>
        <w:t>International relations as a discipline recognizes the importance of territory to its fundamental concerns but neglects to go beyond a general statement on the term. Part of the problem behind this is that realism took the state as the unit of examination, but as a black box and examined its relations with other states on that basis, whilst more recent and innovative approaches have disputed the emphasis on the state and moved their focus elsewhere. While there are exceptions (Walker 1993; Shapiro 1997, for example), Ruggie’s lament that ‘it is truly astonishing that the concept of territoriality has been so little studied by students of international politics’ (1993, 174) remains true. Where there is an attempt to police this particular concept, the stress is on the notion of boundedness. Missing the point The</w:t>
      </w:r>
      <w:r w:rsidRPr="0673B170" w:rsidR="0673B170">
        <w:rPr>
          <w:rStyle w:val="StyleUnderline"/>
        </w:rPr>
        <w:t xml:space="preserve"> boundaries of territorial states are what gives them their internally turned focus: they have a strictly demarcated boundary – the lines drawn on maps – within which they have sovereignty – sym- bolized by the blobs of bright, contrasting colour that fill the void between these lines (see Akerman 1995, 152). As Paasi puts it, ‘boundaries, along with their communication, comprise the basic element in the construction of territories and the pra</w:t>
      </w:r>
      <w:r w:rsidRPr="0673B170" w:rsidR="0673B170">
        <w:rPr>
          <w:rStyle w:val="StyleUnderline"/>
        </w:rPr>
        <w:t>ctice of territoriality’ (2003, 112). For Jönssen et al. ‘a terri- tory is defined as a cohesive section of the earth’s surface that is distinguished from its surroundings by a boundary’ (2000, 3). The boundaries are set by geographical or political circumstance, which becomes the object of enquiry. As Harvey notes, ‘much of the philosophy of geography . . . stems from a “container” view of space which is particu- larly associated with concepts of Newton and Kant’ (Harvey 1969, 208). Thi</w:t>
      </w:r>
      <w:r w:rsidRPr="0673B170" w:rsidR="0673B170">
        <w:rPr>
          <w:sz w:val="16"/>
          <w:szCs w:val="16"/>
        </w:rPr>
        <w:t>s has led to Giddens’ (1985) famous definition of the state as a bordered power container. There are a large range of studies within political geography that could be said to fall into this category (see, for example, Prescott 1968; Johnston 1982; Newman and Paasi 1998). Even Pete</w:t>
      </w:r>
      <w:r w:rsidRPr="0673B170" w:rsidR="0673B170">
        <w:rPr>
          <w:rStyle w:val="StyleUnderline"/>
        </w:rPr>
        <w:t xml:space="preserve">r Taylor’s important work looks at the ‘state as con- tainer’ (1994) and the possibility of going ‘beyond containers’ (1995), essentially assuming the basis of the very issue in question. Agnew has discussed this in terms of the ‘territorial trap’, based on the threefold assumption that modern state sover- eignty requires clearly bounded territories; the opposition between foreign and domestic affairs; and that the territorial state is the geographical ‘container’ of modern society (1995 1999). Although Cox has noted that ‘in order to talk of territory one must talk of territoriality and vice versa’, suggest- ing that ‘territoriality refers to actions designed to exercise control over some area: the territory’ (2002, 29), little sustained enquiry has followed this line (though see Sack 1983 1986; Malmberg 1980; Hall 1969). And </w:t>
      </w:r>
      <w:r w:rsidRPr="0673B170" w:rsidR="0673B170">
        <w:rPr>
          <w:rStyle w:val="StyleUnderline"/>
        </w:rPr>
        <w:t>yet, what makes the demarcation of such boundaries possible? What if it were that condition of possibility which is the central aspect of the modern notion of territory? The argument here is that it is the understanding of political space that is fundamental, and the idea of boundaries a second- ary aspect, dependent on the first. How might that affect our understanding of the period we are sup- posedly exiting, and the period we are moving toward? What is it that allows sovereign power to spread to and through every pore of the state’s being? Whilst I would not wish to claim that the state is the most important object of analysis, this does strike me as a regrettable situation. Well- worn phrases about the Westphalian state-system assume a chronological birth and suggest contem- porary overcoming, without a theoretical under- standing of what precisely is in question (Linklater 1998; Scholte forthcoming). Indeed, the principal dispute within a large subsection of the literature seems to be whether this dating is correct, or whether earlier evidence can be found, for example in the French invasion of Italy in 1494. But what was at stake here? Regardless of its chronological birth, its conceptual birth is crucially important. What</w:t>
      </w:r>
      <w:r w:rsidRPr="0673B170" w:rsidR="0673B170">
        <w:rPr>
          <w:sz w:val="16"/>
          <w:szCs w:val="16"/>
        </w:rPr>
        <w:t xml:space="preserve"> we have on the one hand therefore is polit- ical science or theory with some kind of under- standing of the state, but without a comprehension of its rootedness, its situation, its territory; on the other, political geography which purports to understand space and territory, but has an unde- veloped sense of the explicitly political and histori- cal aspects they might have. Both</w:t>
      </w:r>
      <w:r w:rsidRPr="0673B170" w:rsidR="0673B170">
        <w:rPr>
          <w:rStyle w:val="StyleUnderline"/>
        </w:rPr>
        <w:t xml:space="preserve"> perspectives lack a sound knowledge of philosophical and mathematical developments in the conception of space (the two are not mutually exclusive, nor are they entirely congruent). Indeed, despite the much vaunted quantitative ‘turn’ in geography of the 1950s and 1960s, Prescott suggests that most issues around boundaries, frontiers and territory are unsuitable for a mathematical analysis (1972, 44). While his intention is quite clear, this neglects the important links between mathematics and the political in the constituting of those boundaries. Conceptions of geometry and conceptions of terri- tory bear close examination and relation. What then do these geographies of globalization – and more broadly understandings of territory – have in common? They neglect the importance of calcula- tion, they miss the point.</w:t>
      </w:r>
    </w:p>
    <w:p xmlns:wp14="http://schemas.microsoft.com/office/word/2010/wordml" w:rsidR="00507555" w:rsidP="00507555" w:rsidRDefault="00507555" w14:paraId="6A8AD34F" wp14:textId="77777777">
      <w:pPr>
        <w:pStyle w:val="Heading2"/>
      </w:pPr>
      <w:r>
        <w:lastRenderedPageBreak/>
        <w:t>AFF Answers</w:t>
      </w:r>
      <w:r w:rsidR="00CD4376">
        <w:t>--</w:t>
      </w:r>
      <w:r>
        <w:t>ALT Fails</w:t>
      </w:r>
    </w:p>
    <w:p xmlns:wp14="http://schemas.microsoft.com/office/word/2010/wordml" w:rsidR="00507555" w:rsidP="00507555" w:rsidRDefault="00507555" w14:paraId="426F06EF" wp14:textId="77777777">
      <w:pPr>
        <w:pStyle w:val="Heading4"/>
      </w:pPr>
      <w:r>
        <w:t>The Multitude as the locus of revolutionary politics presupposes the existence of rebellious global subjectivity decontextualized from embedded social existence – the alternative’s universalism flattens difference and undermines solidarity necessary for resistance</w:t>
      </w:r>
    </w:p>
    <w:p xmlns:wp14="http://schemas.microsoft.com/office/word/2010/wordml" w:rsidRPr="004F7098" w:rsidR="00507555" w:rsidP="00507555" w:rsidRDefault="00507555" w14:paraId="6099FDE0" wp14:textId="77777777">
      <w:pPr>
        <w:rPr>
          <w:sz w:val="16"/>
        </w:rPr>
      </w:pPr>
      <w:r w:rsidRPr="00EE2305">
        <w:rPr>
          <w:rStyle w:val="Style13ptBold"/>
        </w:rPr>
        <w:t>Rupert 05</w:t>
      </w:r>
      <w:r w:rsidRPr="004F7098">
        <w:rPr>
          <w:sz w:val="16"/>
        </w:rPr>
        <w:t xml:space="preserve"> (Mark, Chapple Family Professor of Citizenship and Democracy, Ph.D., Claremont Graduate School, 1987, specializes in international relations, political economy, politics of globalization, right-wing populism politics of globalization, Reflections on some lessons learned from a decade of globalisation studies, 469-472, New Political Economy, 10:4, Routledge, 2005) //jd</w:t>
      </w:r>
    </w:p>
    <w:p xmlns:wp14="http://schemas.microsoft.com/office/word/2010/wordml" w:rsidRPr="00AC7015" w:rsidR="00507555" w:rsidP="00507555" w:rsidRDefault="00507555" w14:paraId="433A062C" wp14:textId="77777777">
      <w:pPr>
        <w:rPr>
          <w:rStyle w:val="StyleUnderline"/>
        </w:rPr>
      </w:pPr>
      <w:r w:rsidRPr="00883BD3">
        <w:rPr>
          <w:sz w:val="16"/>
        </w:rPr>
        <w:t xml:space="preserve">Empire and the effacement of politics But how to understand globalising capitalism and its politics? </w:t>
      </w:r>
      <w:r w:rsidRPr="00AC7015">
        <w:rPr>
          <w:rStyle w:val="StyleUnderline"/>
        </w:rPr>
        <w:t>Hardt and Negri’s Empire has been celebrated as a brave theorisation of new social horizons, a visionary statement of the revolutionary politics of a postmodern global era.41 An international literary sensation, Empire is undeniably a monumental work, an awesome and almost unapproachable edifice of erudition; but, despite its philosophical density, it suffers from a profound political hollowness. A critical analysis of Empire suggests that historical materialisms have much to learn from feminist and postcolonial understandings of politics as a (self-)transformative process. To suggest how the substance of such politics is evacuated from the world of Empire, I need first to sketch out the overall logic of the argument as I understand it. Hardt and Negri contend that social life is undergoing a passage of world- historical significance: the transition from territorial systems of rule characteristic of modernity and imperialism to the qualitatively distinct postmodern form of Empire, entailing the decentring and deterritorialisation of rule via the all- encompassing globalisation of capitalism and the emergence of pervasive, infor- mation-saturated networks of social production, governance and control. But, by virtue of their commitment to what I will call anarchist-autonomist presupposi- tions (on which more below), Hardt and Negri infer from the alleged presence of a new global Empire the necessary pre-existence of a globally productive and rebellious form of human subjectivity – the multitude. And, if Empire necessarily presupposes the multitude – imbued not only with socially productive powers but also with a primordial will to resist the containment of those powers – can revolu- tionary global emancipation be far off?</w:t>
      </w:r>
      <w:r w:rsidRPr="00883BD3">
        <w:rPr>
          <w:sz w:val="16"/>
        </w:rPr>
        <w:t xml:space="preserve"> This is at one level a badly needed message of encouragement and hope for globally transformative politics, but the very vehicle of that message – the articulation of anarchist and autonomist premises – carries a disabling effacement, in effect, a de-theorisation of global politics. Empire is animated by the activist commitments characteristic of the auto- nomist strain of Marxian thinking, insisting that, after all and before anything else, our world, social life itself, is a product of human social subjectivity, of associated human producers ‘autonomous from the dictates of both the labour movement and capital’.42 In Simon Tormey’s admirably clear summary, autono- mism emphasizes the ‘open’ nature of historical process and thus the importance of political struggle over economic forces. ... The significance of such a move theoretically is that it leads to an ‘open’ account of how resistance to capitalism arises, and thus to a less doctrinaire account of who as well as what can be considered ‘pro- gressive’ from the point of view of developing anti-capitalist resistance ... . Autonomists argue that it is the concentration of political and economic power that has to be combated, whether this power be in the hands of the capitalist class or ‘representatives’ of the working class itself such as trade union leaderships or communist party bosses.43 </w:t>
      </w:r>
      <w:r w:rsidRPr="00AC7015">
        <w:rPr>
          <w:rStyle w:val="StyleUnderline"/>
        </w:rPr>
        <w:t xml:space="preserve">Thus they celebrate the capacity of ordinary people for self-organisation and anti-capitalist struggle in a variety of contexts and note the historical significance of such resistances in driving the development of social institutions. For Hardt and Negri this historical subjectivity takes the form of a pluralised, postmodern, globalised proletariat – the multitude: ‘the subjectivity of class struggle’, they assert, ‘transforms imperialism into Empire’. They also state: </w:t>
      </w:r>
      <w:r w:rsidRPr="00883BD3">
        <w:rPr>
          <w:sz w:val="16"/>
        </w:rPr>
        <w:t xml:space="preserve">One might say that the construction of Empire and its global net- works is a response to the various struggles against the modern machines of power, and specifically to class struggle driven by the multitude’s desire for liberation. The multitude called Empire into being.44 Emphasising the historical priority of the multitude’s socially productive powers, and hence its transformative potential, Hardt and Negri affirm: ‘the multitude is the real </w:t>
      </w:r>
      <w:r w:rsidRPr="00883BD3">
        <w:rPr>
          <w:sz w:val="16"/>
        </w:rPr>
        <w:lastRenderedPageBreak/>
        <w:t xml:space="preserve">productive force of our social world, whereas Empire is a mere apparatus of capture that lives only off the vitality of the multitude’.45 This implies that the multitude, as producers of the postmodern world of Empire, is capable of trans- forming global Empire into global liberation. </w:t>
      </w:r>
      <w:r w:rsidRPr="00AC7015">
        <w:rPr>
          <w:rStyle w:val="StyleUnderline"/>
        </w:rPr>
        <w:t>The struggles that preceded and prefigured globalisation were expressions of the force of living labour, which sought to liberate itself from the rigid territorializing regimes imposed on it. As it contests the dead labour accumulated against it, living labour always seeks to break the fixed territorializing structures, the national organizations, and the political figures which keep it pris- oner. With the force of living labour, its restless activity, and its deterritorializing desire, this process of rupture throws open all the windows of history.</w:t>
      </w:r>
      <w:r w:rsidRPr="00883BD3">
        <w:rPr>
          <w:sz w:val="16"/>
        </w:rPr>
        <w:t xml:space="preserve"> When one adopts the perspective of the activity of the multitude, its production of subjectivity and desire, one can recognize how globalisation, insofar as it operates a real deterritorialization of the previous structures of exploitation and control, is really a condition of the liberation of the multitude.46 This argument leaves me deeply ambivalent. </w:t>
      </w:r>
      <w:r w:rsidRPr="00AC7015">
        <w:rPr>
          <w:rStyle w:val="StyleUnderline"/>
        </w:rPr>
        <w:t>On the one hand, Hardt and Negri aspire to de-reify the social world in order to enable an ontological politics of social self-determination practised by ordinary people in their communities and their daily lives, and this I find not just laudable but exciting. Yet, on the other hand, in their extrapolation of a deterritorialised global politics they appear, paradoxically, to abstract and to re-reify the agent of that politics and thus to efface the real political processes through which any such agency would need to be constructed. Despite Empire’s apparent commitment to an insurgent global politics, the presumed globality of the multitude – the producers and grave- diggers of Empire – has the effect of flattening politics to correspond with Hardt and Negri’s flattened and smoothed imagination of Empire. In so far as it rep- resents ‘a superficial world’ of diffuse and omnipresent power, they suggest, ‘the construction of Empire, and the globalisation of economic and cultural relationships, means that the virtual center of Empire can be attacked from any point’.47 In the postmodern world of Empire, politics is always already global</w:t>
      </w:r>
      <w:r w:rsidRPr="00883BD3">
        <w:rPr>
          <w:sz w:val="16"/>
        </w:rPr>
        <w:t xml:space="preserve">. In effect, then, the politics of concretely situated social agents becomes redundant in so far as it is subsumed within the multitude’s already global struggle against an already constituted global enemy. Imperial power can no longer resolve the conflict of social forces through mediatory schemata [such as territorial states] that displace the terms of conflict. The social conflicts that constitute the politi- cal confront one another directly, without mediations of any sort. This is the essential novelty of the imperial situation. Empire creates a greater potential for revolution than did the modern regimes of power because it presents us, alongside the machine of command, with an alternative: the set of all the exploited and the subjugated, a multitude that is directly opposed to empire, with no mediation between them.48 </w:t>
      </w:r>
      <w:r w:rsidRPr="00AC7015">
        <w:rPr>
          <w:rStyle w:val="StyleUnderline"/>
        </w:rPr>
        <w:t xml:space="preserve">For Hardt and Negri, the omnipresence of power and resistance implies the possi- bility of globally transformative politics. But it seems to me that this formulation presumes what must be explained: it supposes the pre-existence of a rebellious global subjectivity on the cusp of self-emancipation, and in so doing it begs the question of politics. </w:t>
      </w:r>
      <w:r w:rsidRPr="00883BD3">
        <w:rPr>
          <w:sz w:val="16"/>
        </w:rPr>
        <w:t xml:space="preserve">In this regard, Hardt and Negri’s autonomist perspective has a deep affinity with anarchism and, perhaps ironically, this is a key source of the political hollowness of their text.49 Having imagined globalisation as seamless and omnipresent Empire, they look for sources of political hope and claim to find it in a curiously transhistorical and effectively asocial abstraction – one beloved of anarchists – the impulse to resist. One element we can put our finger on at the most basic and elemen- tal level is the will to be against. In general, the will to be against does not seem to require much explanation. Disobedience to authority is one of the most natural and healthy acts. To us it seems completely obvious that those who are exploited will resist and – given the necessary conditions – rebel.50 But can resistance and rebellion be abstracted in this way from historical ground- ing in the complexity of concrete social relations, specific articulations of econ- omic and political, public and private, global and local, coloniser and colonised? </w:t>
      </w:r>
      <w:r w:rsidRPr="00AC7015">
        <w:rPr>
          <w:rStyle w:val="StyleUnderline"/>
        </w:rPr>
        <w:t xml:space="preserve">For (self-)transformative politics is not just a function of resisting oppression as such, but of concrete processes of building solidarities on the basis of overlapping (if not congruent) oppressions, and the construction of these solidarities requires the negotiation of difference and in particular the ways in which people are differentially situated on multiple axes of social power and privilege. From the perspective of a potentially (self-)transformative politics, it matters a very great deal how these potentially rebellious communities are socially situated within particular contexts, how they understand themselves, their oppressions and their resistances, how they negotiate with others in order to begin to envision and move </w:t>
      </w:r>
      <w:r w:rsidRPr="00AC7015">
        <w:rPr>
          <w:rStyle w:val="StyleUnderline"/>
        </w:rPr>
        <w:lastRenderedPageBreak/>
        <w:t>toward common horizons of action, creating what Gramsci referred to as an historical bloc, a collective agency capable of enacting a transformative political project.51 In other words, if politics is a process of collective self-production by concretely situated social agents, then their presumed will to resist or rebel cannot substitute for the complexities of politics concretely enacted and understood</w:t>
      </w:r>
      <w:r w:rsidRPr="00883BD3">
        <w:rPr>
          <w:sz w:val="16"/>
        </w:rPr>
        <w:t xml:space="preserve">. If progressive forces are unable creatively to confront the political problems of transnational solidarity, the abstract possi- bility of global transformative politics will be moot. For the purposes of such an emancipatory political project – entailing the problematic self-construction of a global social subject (potentially unified but hardly uniform) – I find a neoGramscian approach, incorporating some of the political questions of feminist and postcolonial scholarship, much more challenging and much more promising than the postmodern global nostrums of Hardt and Negri. </w:t>
      </w:r>
      <w:r w:rsidRPr="00AC7015">
        <w:rPr>
          <w:rStyle w:val="StyleUnderline"/>
        </w:rPr>
        <w:t>Further, such a neoGramscian understanding of politics helps to illuminate the multiple and contradictory political possibilities resident within popular common sense in various concrete contexts, and to point up the dangerous forces which can and do insinuate themselves into broad-based resistances to globalisation: should progressives fail in their project of transnational solidarity building, the degeneration or corruption of global Empire which Hardt and Negri foresee could as easily lead to victories by reactionary forces representing themselves in the guise of anti- globalisation.52 Neither in theory nor in politics can progressives afford to bypass the problem of building social solidarity and collective agency across manifold contexts and multiple scales, as Hardt and Negri do.</w:t>
      </w:r>
    </w:p>
    <w:p xmlns:wp14="http://schemas.microsoft.com/office/word/2010/wordml" w:rsidRPr="00EE2305" w:rsidR="00507555" w:rsidP="00507555" w:rsidRDefault="00507555" w14:paraId="70DF735C" wp14:textId="77777777"/>
    <w:p xmlns:wp14="http://schemas.microsoft.com/office/word/2010/wordml" w:rsidR="00507555" w:rsidP="00507555" w:rsidRDefault="00507555" w14:paraId="34ED5B77" wp14:textId="77777777">
      <w:pPr>
        <w:pStyle w:val="Heading1"/>
      </w:pPr>
      <w:r>
        <w:lastRenderedPageBreak/>
        <w:t>Human Rights Bad</w:t>
      </w:r>
    </w:p>
    <w:p xmlns:wp14="http://schemas.microsoft.com/office/word/2010/wordml" w:rsidR="00507555" w:rsidP="00507555" w:rsidRDefault="00507555" w14:paraId="3A413BF6" wp14:textId="77777777">
      <w:pPr>
        <w:jc w:val="center"/>
      </w:pPr>
    </w:p>
    <w:p xmlns:wp14="http://schemas.microsoft.com/office/word/2010/wordml" w:rsidR="00507555" w:rsidP="00507555" w:rsidRDefault="00507555" w14:paraId="54A088CA" wp14:textId="77777777">
      <w:pPr>
        <w:pStyle w:val="Heading3"/>
      </w:pPr>
      <w:r>
        <w:lastRenderedPageBreak/>
        <w:t>I: White Man’s Burden</w:t>
      </w:r>
    </w:p>
    <w:p xmlns:wp14="http://schemas.microsoft.com/office/word/2010/wordml" w:rsidRPr="006364AA" w:rsidR="00507555" w:rsidP="00507555" w:rsidRDefault="00507555" w14:paraId="7BD29445" wp14:textId="77777777">
      <w:pPr>
        <w:pStyle w:val="Heading4"/>
      </w:pPr>
      <w:r w:rsidRPr="006364AA">
        <w:t xml:space="preserve">Human rights locate the Global North as dispenser of rights, replicating the white man’s burden through a global matrix of colonialist violence. </w:t>
      </w:r>
    </w:p>
    <w:p xmlns:wp14="http://schemas.microsoft.com/office/word/2010/wordml" w:rsidRPr="006364AA" w:rsidR="00507555" w:rsidP="00507555" w:rsidRDefault="00507555" w14:paraId="17A79CB1" wp14:textId="77777777">
      <w:pPr>
        <w:rPr>
          <w:sz w:val="16"/>
        </w:rPr>
      </w:pPr>
      <w:r w:rsidRPr="006364AA">
        <w:rPr>
          <w:rStyle w:val="Style13ptBold"/>
        </w:rPr>
        <w:t>Spivak 04</w:t>
      </w:r>
      <w:r w:rsidRPr="006364AA">
        <w:rPr>
          <w:color w:val="333333"/>
          <w:sz w:val="16"/>
          <w:szCs w:val="20"/>
          <w:highlight w:val="white"/>
        </w:rPr>
        <w:t xml:space="preserve"> (</w:t>
      </w:r>
      <w:r w:rsidRPr="006364AA">
        <w:rPr>
          <w:sz w:val="16"/>
        </w:rPr>
        <w:t xml:space="preserve">Gayatri Chakravorty Spivak (born 24 February 1942) is an Indian scholar, literary theorist, and feminist critic. She is University Professor at Columbia University, where she is a founding member of the Institute for Comparative Literature and Society. “Righting Wrongs: Über Die Zuteilung Von Menschenrechten.” Righting Wrongs: Über Die Zuteilung Von Menschenrechten, by Gayatri Ch. Spivak, 2/3 ed., vol. 103, Diaphanes Verlag, 2008, pp. 524–526. Spring/Summer 2004. // #CS) </w:t>
      </w:r>
    </w:p>
    <w:p xmlns:wp14="http://schemas.microsoft.com/office/word/2010/wordml" w:rsidRPr="006364AA" w:rsidR="00507555" w:rsidP="00507555" w:rsidRDefault="00507555" w14:paraId="4B808428" wp14:textId="77777777">
      <w:pPr>
        <w:rPr>
          <w:rFonts w:ascii="Calibri" w:hAnsi="Calibri" w:eastAsia="Calibri" w:cs="Calibri"/>
          <w:sz w:val="14"/>
        </w:rPr>
      </w:pPr>
      <w:r w:rsidRPr="006364AA">
        <w:rPr>
          <w:rFonts w:ascii="Calibri" w:hAnsi="Calibri" w:eastAsia="Calibri" w:cs="Calibri"/>
          <w:sz w:val="14"/>
        </w:rPr>
        <w:t xml:space="preserve">The word rights in ‘‘Human Rights, Human Wrongs,’’ the title of the 2001 Oxford Amnesty Lectures series in which this essay was ﬁrst presented, acquires verbal meaning by its contiguity with the word wrongs.1 The verb to right cannot be used intransitively on this level of abstraction. It can only be used with the unusual noun wrong: ‘‘to right a wrong,’’ or ‘‘to right wrongs.’’ Thus </w:t>
      </w:r>
      <w:r>
        <w:rPr>
          <w:rFonts w:ascii="Calibri" w:hAnsi="Calibri" w:eastAsia="Calibri" w:cs="Calibri"/>
          <w:b/>
          <w:u w:val="single"/>
        </w:rPr>
        <w:t>‘‘Human Rights’’ is not only about having or claiming a right or a set of rights; it is also about righting wrongs, about being the dispenser of these rights</w:t>
      </w:r>
      <w:r>
        <w:rPr>
          <w:rFonts w:ascii="Calibri" w:hAnsi="Calibri" w:eastAsia="Calibri" w:cs="Calibri"/>
          <w:u w:val="single"/>
        </w:rPr>
        <w:t>. The idea of human rights, in other words, may carry within itself the agenda of a kind of social Darwinism—</w:t>
      </w:r>
      <w:r>
        <w:rPr>
          <w:rFonts w:ascii="Calibri" w:hAnsi="Calibri" w:eastAsia="Calibri" w:cs="Calibri"/>
          <w:b/>
          <w:u w:val="single"/>
        </w:rPr>
        <w:t>the ﬁttest must shoulder the burden of righting the wrongs of the unﬁt—and the possibility of an alibi.2 Only a ‘‘kind of’’ Social Darwinism, of course. Just as ‘‘the white man’s burden,’’ undertaking to civilize and develop, was only ‘‘a kind of’’ oppression</w:t>
      </w:r>
      <w:r>
        <w:rPr>
          <w:rFonts w:ascii="Calibri" w:hAnsi="Calibri" w:eastAsia="Calibri" w:cs="Calibri"/>
          <w:u w:val="single"/>
        </w:rPr>
        <w:t>.</w:t>
      </w:r>
      <w:r w:rsidRPr="006364AA">
        <w:rPr>
          <w:rFonts w:ascii="Calibri" w:hAnsi="Calibri" w:eastAsia="Calibri" w:cs="Calibri"/>
          <w:sz w:val="14"/>
        </w:rPr>
        <w:t xml:space="preserve"> It would be silly to footnote the scholarship that has been written to show that </w:t>
      </w:r>
      <w:r>
        <w:rPr>
          <w:rFonts w:ascii="Calibri" w:hAnsi="Calibri" w:eastAsia="Calibri" w:cs="Calibri"/>
          <w:u w:val="single"/>
        </w:rPr>
        <w:t>the latter may have been an alibi for economic, military, and political intervention. It is on that model that I am using the concept-metaphor of the alibi in these introductory paragraphs. Having arrived here, the usual thing is to complain about the Eurocentrism of human rights. I have no such intention.</w:t>
      </w:r>
      <w:r>
        <w:rPr>
          <w:rFonts w:ascii="Calibri" w:hAnsi="Calibri" w:eastAsia="Calibri" w:cs="Calibri"/>
          <w:b/>
          <w:u w:val="single"/>
        </w:rPr>
        <w:t xml:space="preserve"> I am of course troubled by the use of human rights as an alibi for interventions of various sorts. But its so-called European provenance is for me in the same category as the ‘‘enabling violation’’ of the production of the colonial subject.</w:t>
      </w:r>
      <w:r w:rsidRPr="006364AA">
        <w:rPr>
          <w:rFonts w:ascii="Calibri" w:hAnsi="Calibri" w:eastAsia="Calibri" w:cs="Calibri"/>
          <w:sz w:val="14"/>
        </w:rPr>
        <w:t xml:space="preserve">3 </w:t>
      </w:r>
      <w:r>
        <w:rPr>
          <w:rFonts w:ascii="Calibri" w:hAnsi="Calibri" w:eastAsia="Calibri" w:cs="Calibri"/>
          <w:u w:val="single"/>
        </w:rPr>
        <w:t>One cannot write oﬀ the righting of wrongs. The enablement must be used even as the violation is renegotiated. Colonialism was committed to the education of a certain class.</w:t>
      </w:r>
      <w:r w:rsidRPr="006364AA">
        <w:rPr>
          <w:rFonts w:ascii="Calibri" w:hAnsi="Calibri" w:eastAsia="Calibri" w:cs="Calibri"/>
          <w:sz w:val="14"/>
        </w:rPr>
        <w:t xml:space="preserve"> It was interested in the seemingly permanent operation of an altered normality. Paradoxically</w:t>
      </w:r>
      <w:r>
        <w:rPr>
          <w:rFonts w:ascii="Calibri" w:hAnsi="Calibri" w:eastAsia="Calibri" w:cs="Calibri"/>
          <w:b/>
          <w:u w:val="single"/>
        </w:rPr>
        <w:t>, human rights and ‘‘development’’ work today cannot claim this self-empowerment that high colonialism could</w:t>
      </w:r>
      <w:r>
        <w:rPr>
          <w:rFonts w:ascii="Calibri" w:hAnsi="Calibri" w:eastAsia="Calibri" w:cs="Calibri"/>
          <w:u w:val="single"/>
        </w:rPr>
        <w:t>. Yet, some of the best products of high colonialism, descendants of the colonial middle class, become human rights advocates in the countries of the South.</w:t>
      </w:r>
      <w:r w:rsidRPr="006364AA">
        <w:rPr>
          <w:rFonts w:ascii="Calibri" w:hAnsi="Calibri" w:eastAsia="Calibri" w:cs="Calibri"/>
          <w:sz w:val="14"/>
        </w:rPr>
        <w:t xml:space="preserve"> I will explain through an analogy. Doctors without Frontiers—I ﬁnd this translation more accurate than the received Doctors without Borders—dispense healing all over the world, traveling to solve health problems as they arise. T</w:t>
      </w:r>
      <w:r>
        <w:rPr>
          <w:rFonts w:ascii="Calibri" w:hAnsi="Calibri" w:eastAsia="Calibri" w:cs="Calibri"/>
          <w:u w:val="single"/>
        </w:rPr>
        <w:t>hey cannot be involved in the repetitive work of primary health care, which requires changes in the habit of what seems normal living: permanent operation of an altered normality</w:t>
      </w:r>
      <w:r w:rsidRPr="006364AA">
        <w:rPr>
          <w:rFonts w:ascii="Calibri" w:hAnsi="Calibri" w:eastAsia="Calibri" w:cs="Calibri"/>
          <w:sz w:val="14"/>
        </w:rPr>
        <w:t xml:space="preserve">. This group cannot learn all the local languages, dialects, and idioms of the places where they provide help. They use local interpreters. </w:t>
      </w:r>
      <w:r>
        <w:rPr>
          <w:rFonts w:ascii="Calibri" w:hAnsi="Calibri" w:eastAsia="Calibri" w:cs="Calibri"/>
          <w:u w:val="single"/>
        </w:rPr>
        <w:t>It is as if, in the ﬁeld of class formation through education, colonialism, and the attendant territorial imperialism had combined these two imperatives—clinic and primary health care—by training the interpreters themselves into imperfect yet creative imitations of the doctors</w:t>
      </w:r>
      <w:r w:rsidRPr="006364AA">
        <w:rPr>
          <w:rFonts w:ascii="Calibri" w:hAnsi="Calibri" w:eastAsia="Calibri" w:cs="Calibri"/>
          <w:sz w:val="14"/>
        </w:rPr>
        <w:t xml:space="preserve">. The class thus formed—both (pseudo)doctor and interpreter, as it were—was the colonial subject. The end of the Second World War inaugurated the postcolonial dispensation. </w:t>
      </w:r>
      <w:r>
        <w:rPr>
          <w:rFonts w:ascii="Calibri" w:hAnsi="Calibri" w:eastAsia="Calibri" w:cs="Calibri"/>
          <w:u w:val="single"/>
        </w:rPr>
        <w:t>It was the U.N. Special Committee on Decolonization...that in 1965 asked the Commission [on Human Rights, created in 1946] to process the petitions that the Committee was receiving about human rights violations in southern Africa</w:t>
      </w:r>
      <w:r w:rsidRPr="006364AA">
        <w:rPr>
          <w:rFonts w:ascii="Calibri" w:hAnsi="Calibri" w:eastAsia="Calibri" w:cs="Calibri"/>
          <w:sz w:val="14"/>
        </w:rPr>
        <w:t xml:space="preserve">.... [Until the mid-1960s,] particularly for the new African and Asian members, </w:t>
      </w:r>
      <w:r>
        <w:rPr>
          <w:rFonts w:ascii="Calibri" w:hAnsi="Calibri" w:eastAsia="Calibri" w:cs="Calibri"/>
          <w:b/>
          <w:u w:val="single"/>
        </w:rPr>
        <w:t>the priority was [white] racism and[,against it] self-determination from colonial rule [,in other words, decolonization</w:t>
      </w:r>
      <w:r>
        <w:rPr>
          <w:rFonts w:ascii="Calibri" w:hAnsi="Calibri" w:eastAsia="Calibri" w:cs="Calibri"/>
          <w:u w:val="single"/>
        </w:rPr>
        <w:t>]</w:t>
      </w:r>
      <w:r w:rsidRPr="006364AA">
        <w:rPr>
          <w:rFonts w:ascii="Calibri" w:hAnsi="Calibri" w:eastAsia="Calibri" w:cs="Calibri"/>
          <w:sz w:val="14"/>
        </w:rPr>
        <w:t xml:space="preserve">. Later, their enthusiasm for the new procedures waned as the protection of civil and political [human] rights [in the new nation] emerged as the priority consideration and many of them became the targets [since they, as the new masters, were the guilty party] for the Commission’s new mandate.4 For the eighteenth-century Declaration of the Rights of Man and of the Citizen by the National Assembly of </w:t>
      </w:r>
      <w:r>
        <w:rPr>
          <w:rFonts w:ascii="Calibri" w:hAnsi="Calibri" w:eastAsia="Calibri" w:cs="Calibri"/>
          <w:b/>
          <w:u w:val="single"/>
        </w:rPr>
        <w:t>France the ‘‘nation is essentially the source of sovereignty; nor can any individual, or any body of men, be entitled to any authority which is not expressly derived from it</w:t>
      </w:r>
      <w:r>
        <w:rPr>
          <w:rFonts w:ascii="Calibri" w:hAnsi="Calibri" w:eastAsia="Calibri" w:cs="Calibri"/>
          <w:u w:val="single"/>
        </w:rPr>
        <w:t>.</w:t>
      </w:r>
      <w:r w:rsidRPr="006364AA">
        <w:rPr>
          <w:rFonts w:ascii="Calibri" w:hAnsi="Calibri" w:eastAsia="Calibri" w:cs="Calibri"/>
          <w:sz w:val="14"/>
        </w:rPr>
        <w:t xml:space="preserve">’’5 A hundred and ﬁfty years later, for better or for worse, </w:t>
      </w:r>
      <w:r>
        <w:rPr>
          <w:rFonts w:ascii="Calibri" w:hAnsi="Calibri" w:eastAsia="Calibri" w:cs="Calibri"/>
          <w:u w:val="single"/>
        </w:rPr>
        <w:t>the human rights aspect of post coloniality has turned out to be the breaking of the new nations, in the name of their breaking-in into the international community of nations.6 This is the narrative of international maneuvering</w:t>
      </w:r>
      <w:r w:rsidRPr="006364AA">
        <w:rPr>
          <w:rFonts w:ascii="Calibri" w:hAnsi="Calibri" w:eastAsia="Calibri" w:cs="Calibri"/>
          <w:sz w:val="14"/>
        </w:rPr>
        <w:t xml:space="preserve">. Thomas Risse, Stephen Ropp, and Kathryn Sikkink’s recent book, The Power of Human Rights, takes the narrative further. In addition to the dominant states, they argue, since 1993 it is the transnational agencies, plus nongovernmental organizations (NGOs), that subdue the state.7 Nevertheless, </w:t>
      </w:r>
      <w:r>
        <w:rPr>
          <w:rFonts w:ascii="Calibri" w:hAnsi="Calibri" w:eastAsia="Calibri" w:cs="Calibri"/>
          <w:b/>
          <w:u w:val="single"/>
        </w:rPr>
        <w:t xml:space="preserve">it is still disingenuous to </w:t>
      </w:r>
      <w:r>
        <w:rPr>
          <w:rFonts w:ascii="Calibri" w:hAnsi="Calibri" w:eastAsia="Calibri" w:cs="Calibri"/>
          <w:b/>
          <w:u w:val="single"/>
        </w:rPr>
        <w:lastRenderedPageBreak/>
        <w:t>call human rights Eurocentric, not only because, in the global South, the domestic human rights workers are, by and large, the descendants of the colonial subject</w:t>
      </w:r>
      <w:r>
        <w:rPr>
          <w:rFonts w:ascii="Calibri" w:hAnsi="Calibri" w:eastAsia="Calibri" w:cs="Calibri"/>
          <w:u w:val="single"/>
        </w:rPr>
        <w:t>,</w:t>
      </w:r>
      <w:r w:rsidRPr="006364AA">
        <w:rPr>
          <w:rFonts w:ascii="Calibri" w:hAnsi="Calibri" w:eastAsia="Calibri" w:cs="Calibri"/>
          <w:sz w:val="14"/>
        </w:rPr>
        <w:t xml:space="preserve"> often culturally positioned against Eurocentrism, but also because, internationally, the role of the new diasporic is strong, and the diasporic in the metropolis stands for ‘‘diversity,’’ ‘‘against Eurocentrism.’’ </w:t>
      </w:r>
      <w:r>
        <w:rPr>
          <w:rFonts w:ascii="Calibri" w:hAnsi="Calibri" w:eastAsia="Calibri" w:cs="Calibri"/>
          <w:u w:val="single"/>
        </w:rPr>
        <w:t>Thus the work of righting wrongs is shared above a class line that to some extent and unevenly cuts across race and the North-South divide</w:t>
      </w:r>
      <w:r w:rsidRPr="006364AA">
        <w:rPr>
          <w:rFonts w:ascii="Calibri" w:hAnsi="Calibri" w:eastAsia="Calibri" w:cs="Calibri"/>
          <w:sz w:val="14"/>
        </w:rPr>
        <w:t xml:space="preserve">.8 I say ‘‘to some extent and unevenly’’ because, to be located in the Euro-U.S. still makes a diﬀerence. In the UN itself, ‘‘the main human rights monitoring function [has been] allocated to the OSCE [Organization for Security and Cooperation in Europe].’’9 The presuppositions of Risse, Ropp, and Sikkink’s book also make this clear. The subtitle— ‘‘International Norms and Domestic Change’’—is telling. The authors’ idea of the motor of human rights is ‘‘pressure’’ on the state ‘‘from above’’— international—and ‘‘from below’’—domestic. (It is useful for this locationist privilege that most NGOs of the global South survive on Northern aid.) Here is a typical example, as it happens about the Philippines: ‘‘‘Human rights’ have gained prescriptive status independent of political interests.... [We] doubt that habitualization or institutionalization at the state level have proceeded suﬃciently to render pressure from societal actors futile.’’10 </w:t>
      </w:r>
    </w:p>
    <w:p xmlns:wp14="http://schemas.microsoft.com/office/word/2010/wordml" w:rsidR="00507555" w:rsidP="00507555" w:rsidRDefault="00507555" w14:paraId="1CCA4A10" wp14:textId="77777777">
      <w:pPr>
        <w:pStyle w:val="Heading3"/>
        <w:rPr>
          <w:rFonts w:eastAsia="Calibri"/>
        </w:rPr>
      </w:pPr>
      <w:r>
        <w:rPr>
          <w:rFonts w:eastAsia="Calibri"/>
        </w:rPr>
        <w:lastRenderedPageBreak/>
        <w:t>I: Neoliberal governmentality</w:t>
      </w:r>
    </w:p>
    <w:p xmlns:wp14="http://schemas.microsoft.com/office/word/2010/wordml" w:rsidR="00507555" w:rsidP="00507555" w:rsidRDefault="00507555" w14:paraId="100E7593" wp14:textId="77777777">
      <w:pPr>
        <w:pStyle w:val="Heading4"/>
        <w:rPr>
          <w:rFonts w:eastAsia="Calibri"/>
        </w:rPr>
      </w:pPr>
      <w:r>
        <w:rPr>
          <w:rFonts w:eastAsia="Calibri"/>
        </w:rPr>
        <w:t xml:space="preserve">Notions of human rights produce a neoliberal self-governing subject that sustains the order of liberalism and neoliberal governmentality. People are made to be subjects of the sovereign as people are allowed to be “free” but only within the regime of what is “right”. The impact is economic marginalization. </w:t>
      </w:r>
    </w:p>
    <w:p xmlns:wp14="http://schemas.microsoft.com/office/word/2010/wordml" w:rsidR="00507555" w:rsidP="00507555" w:rsidRDefault="00507555" w14:paraId="6DD686D7" wp14:textId="77777777">
      <w:pPr>
        <w:rPr>
          <w:rFonts w:ascii="Calibri" w:hAnsi="Calibri" w:eastAsia="Calibri" w:cs="Calibri"/>
        </w:rPr>
      </w:pPr>
      <w:r w:rsidRPr="006364AA">
        <w:rPr>
          <w:rStyle w:val="Style13ptBold"/>
        </w:rPr>
        <w:t>Odysseos 10</w:t>
      </w:r>
      <w:r>
        <w:rPr>
          <w:rFonts w:ascii="Times New Roman" w:hAnsi="Times New Roman" w:eastAsia="Times New Roman" w:cs="Times New Roman"/>
          <w:b/>
        </w:rPr>
        <w:t xml:space="preserve"> </w:t>
      </w:r>
      <w:r>
        <w:rPr>
          <w:rFonts w:ascii="Calibri" w:hAnsi="Calibri" w:eastAsia="Calibri" w:cs="Calibri"/>
        </w:rPr>
        <w:t xml:space="preserve">[Odysseos, Louiza, Professor of International Relations at the University of Sussex, “Human Rights, Liberal Ontogenesis and Freedom: Producing a Subject for Neoliberalism?,” </w:t>
      </w:r>
      <w:r>
        <w:rPr>
          <w:rFonts w:ascii="Calibri" w:hAnsi="Calibri" w:eastAsia="Calibri" w:cs="Calibri"/>
          <w:i/>
        </w:rPr>
        <w:t>Millennium</w:t>
      </w:r>
      <w:r>
        <w:rPr>
          <w:rFonts w:ascii="Calibri" w:hAnsi="Calibri" w:eastAsia="Calibri" w:cs="Calibri"/>
        </w:rPr>
        <w:t xml:space="preserve"> Vol 38, Issue 3, pp. 747 - 772, 2010, Pp. 747 – 750]//KI </w:t>
      </w:r>
    </w:p>
    <w:p xmlns:wp14="http://schemas.microsoft.com/office/word/2010/wordml" w:rsidR="00507555" w:rsidP="00507555" w:rsidRDefault="00507555" w14:paraId="43E76144" wp14:textId="77777777">
      <w:pPr>
        <w:rPr>
          <w:rFonts w:ascii="Calibri" w:hAnsi="Calibri" w:eastAsia="Calibri" w:cs="Calibri"/>
        </w:rPr>
      </w:pPr>
      <w:r>
        <w:rPr>
          <w:rFonts w:ascii="Calibri" w:hAnsi="Calibri" w:eastAsia="Calibri" w:cs="Calibri"/>
        </w:rPr>
        <w:t xml:space="preserve">This article offers a contribution to critical examinations of human rights within contemporary liberalism. </w:t>
      </w:r>
      <w:r>
        <w:rPr>
          <w:rFonts w:ascii="Calibri" w:hAnsi="Calibri" w:eastAsia="Calibri" w:cs="Calibri"/>
          <w:u w:val="single"/>
        </w:rPr>
        <w:t xml:space="preserve">Human rights today attempt to con- cretise liberalism’s commitment to individual freedom and to act as a counterweight against charges that it is the ideology of the market and of the economic status quo, </w:t>
      </w:r>
      <w:r>
        <w:rPr>
          <w:rFonts w:ascii="Calibri" w:hAnsi="Calibri" w:eastAsia="Calibri" w:cs="Calibri"/>
          <w:b/>
          <w:u w:val="single"/>
        </w:rPr>
        <w:t>marginalising the poor and disadvantaged</w:t>
      </w:r>
      <w:r>
        <w:t>.</w:t>
      </w:r>
      <w:r>
        <w:rPr>
          <w:rFonts w:ascii="Calibri" w:hAnsi="Calibri" w:eastAsia="Calibri" w:cs="Calibri"/>
        </w:rPr>
        <w:t xml:space="preserve">1 The article is chiefly interested in examining human rights’ largely under-explored role in subjectification, which is important for under- standing liberalism’s complex (global) politics. Specifically, the article uses Michel Foucault’s recently translated discussions of liberalism and neoliberalism2 to interrogate the ways in which </w:t>
      </w:r>
      <w:r>
        <w:rPr>
          <w:rFonts w:ascii="Calibri" w:hAnsi="Calibri" w:eastAsia="Calibri" w:cs="Calibri"/>
          <w:u w:val="single"/>
        </w:rPr>
        <w:t xml:space="preserve">human rights produce a distinct subjectivity, which it calls </w:t>
      </w:r>
      <w:r>
        <w:rPr>
          <w:rFonts w:ascii="Calibri" w:hAnsi="Calibri" w:eastAsia="Calibri" w:cs="Calibri"/>
          <w:i/>
          <w:u w:val="single"/>
        </w:rPr>
        <w:t>homo juridicus</w:t>
      </w:r>
      <w:r>
        <w:rPr>
          <w:rFonts w:ascii="Calibri" w:hAnsi="Calibri" w:eastAsia="Calibri" w:cs="Calibri"/>
          <w:u w:val="single"/>
        </w:rPr>
        <w:t>: this is a subject amen- able to self-government and, as such, acts as a partner, indeed a predicate, to neoliberal governmentality</w:t>
      </w:r>
      <w:r>
        <w:rPr>
          <w:rFonts w:ascii="Calibri" w:hAnsi="Calibri" w:eastAsia="Calibri" w:cs="Calibri"/>
        </w:rPr>
        <w:t xml:space="preserve">. To do so, </w:t>
      </w:r>
      <w:r>
        <w:rPr>
          <w:rFonts w:ascii="Calibri" w:hAnsi="Calibri" w:eastAsia="Calibri" w:cs="Calibri"/>
          <w:u w:val="single"/>
        </w:rPr>
        <w:t>the article</w:t>
      </w:r>
      <w:r>
        <w:rPr>
          <w:rFonts w:ascii="Calibri" w:hAnsi="Calibri" w:eastAsia="Calibri" w:cs="Calibri"/>
        </w:rPr>
        <w:t xml:space="preserve"> eschews the common- place understandings of liberalism as a theory of individual freedom or as an ideology of the socio-economic status quo. Rather, it </w:t>
      </w:r>
      <w:r>
        <w:rPr>
          <w:rFonts w:ascii="Calibri" w:hAnsi="Calibri" w:eastAsia="Calibri" w:cs="Calibri"/>
          <w:u w:val="single"/>
        </w:rPr>
        <w:t>reads liberal- ism as a historically distinct ‘technology of government’ characterised by its signature impulse</w:t>
      </w:r>
      <w:r>
        <w:rPr>
          <w:rFonts w:ascii="Calibri" w:hAnsi="Calibri" w:eastAsia="Calibri" w:cs="Calibri"/>
        </w:rPr>
        <w:t>, what Foucault called ‘</w:t>
      </w:r>
      <w:r>
        <w:rPr>
          <w:rFonts w:ascii="Calibri" w:hAnsi="Calibri" w:eastAsia="Calibri" w:cs="Calibri"/>
          <w:b/>
          <w:u w:val="single"/>
        </w:rPr>
        <w:t>the internal rule of maximum economy’</w:t>
      </w:r>
      <w:r>
        <w:t>.</w:t>
      </w:r>
      <w:r>
        <w:rPr>
          <w:rFonts w:ascii="Calibri" w:hAnsi="Calibri" w:eastAsia="Calibri" w:cs="Calibri"/>
        </w:rPr>
        <w:t xml:space="preserve">3 </w:t>
      </w:r>
      <w:r>
        <w:rPr>
          <w:rFonts w:ascii="Calibri" w:hAnsi="Calibri" w:eastAsia="Calibri" w:cs="Calibri"/>
          <w:u w:val="single"/>
        </w:rPr>
        <w:t>The liberal technology of government best embodies the rule of max- imum economy – which refers to the attempt to achieve maximum ends with minimal, cost-effective action – by evolving away from extensive and direct state involvement towards the more minimalist directing of the ‘possible fields of action of others’.4 A contracting state is accompan- ied, however, by an expansion of ‘government’. ‘Government’ here refers to the regulative but often indirect activities by state, para- or sub-state agents, and civil society actors and institutions: government becomes ‘</w:t>
      </w:r>
      <w:r>
        <w:rPr>
          <w:rFonts w:ascii="Calibri" w:hAnsi="Calibri" w:eastAsia="Calibri" w:cs="Calibri"/>
          <w:b/>
          <w:u w:val="single"/>
        </w:rPr>
        <w:t>the conduct of conduct’</w:t>
      </w:r>
      <w:r>
        <w:t>.</w:t>
      </w:r>
      <w:r>
        <w:rPr>
          <w:rFonts w:ascii="Calibri" w:hAnsi="Calibri" w:eastAsia="Calibri" w:cs="Calibri"/>
        </w:rPr>
        <w:t xml:space="preserve">5 However, </w:t>
      </w:r>
      <w:r>
        <w:rPr>
          <w:rFonts w:ascii="Calibri" w:hAnsi="Calibri" w:eastAsia="Calibri" w:cs="Calibri"/>
          <w:u w:val="single"/>
        </w:rPr>
        <w:t xml:space="preserve">this is no straightforward </w:t>
      </w:r>
      <w:r>
        <w:rPr>
          <w:rFonts w:ascii="Calibri" w:hAnsi="Calibri" w:eastAsia="Calibri" w:cs="Calibri"/>
          <w:i/>
          <w:u w:val="single"/>
        </w:rPr>
        <w:t xml:space="preserve">retreat </w:t>
      </w:r>
      <w:r>
        <w:rPr>
          <w:rFonts w:ascii="Calibri" w:hAnsi="Calibri" w:eastAsia="Calibri" w:cs="Calibri"/>
          <w:u w:val="single"/>
        </w:rPr>
        <w:t>of the state;6 rather, it marks the state’s ‘governmentalisation’, which refers to its involvement in the pastoral care and welfare of the population, that is, in ‘</w:t>
      </w:r>
      <w:r>
        <w:rPr>
          <w:rFonts w:ascii="Calibri" w:hAnsi="Calibri" w:eastAsia="Calibri" w:cs="Calibri"/>
          <w:b/>
          <w:u w:val="single"/>
        </w:rPr>
        <w:t>biopolitical’</w:t>
      </w:r>
      <w:r>
        <w:rPr>
          <w:rFonts w:ascii="Calibri" w:hAnsi="Calibri" w:eastAsia="Calibri" w:cs="Calibri"/>
          <w:u w:val="single"/>
        </w:rPr>
        <w:t xml:space="preserve"> and ‘</w:t>
      </w:r>
      <w:r>
        <w:rPr>
          <w:rFonts w:ascii="Calibri" w:hAnsi="Calibri" w:eastAsia="Calibri" w:cs="Calibri"/>
          <w:b/>
          <w:u w:val="single"/>
        </w:rPr>
        <w:t>governmental’</w:t>
      </w:r>
      <w:r>
        <w:rPr>
          <w:rFonts w:ascii="Calibri" w:hAnsi="Calibri" w:eastAsia="Calibri" w:cs="Calibri"/>
          <w:u w:val="single"/>
        </w:rPr>
        <w:t xml:space="preserve"> ends. Given the costly and inten- sive nature of such an expansion in the biopolitical goals of government, it has to increasingly promote and encourage ‘self-government’ and, in particular, the calling into being of types of subjects able to take up free- dom in radically new ways and govern themselves.7 Understanding liberalism as a technology of government, therefore, demands closer examination of its ‘relations of subjectivation’ to ‘manu- facture’ the free, self-governing subject</w:t>
      </w:r>
      <w:r>
        <w:t>.</w:t>
      </w:r>
      <w:r>
        <w:rPr>
          <w:rFonts w:ascii="Calibri" w:hAnsi="Calibri" w:eastAsia="Calibri" w:cs="Calibri"/>
        </w:rPr>
        <w:t xml:space="preserve">8 Taking inspiration from Foucault’s specific discussion of </w:t>
      </w:r>
      <w:r>
        <w:rPr>
          <w:rFonts w:ascii="Calibri" w:hAnsi="Calibri" w:eastAsia="Calibri" w:cs="Calibri"/>
          <w:i/>
        </w:rPr>
        <w:t>homo oeconomicus</w:t>
      </w:r>
      <w:r>
        <w:t>,</w:t>
      </w:r>
      <w:r>
        <w:rPr>
          <w:rFonts w:ascii="Calibri" w:hAnsi="Calibri" w:eastAsia="Calibri" w:cs="Calibri"/>
        </w:rPr>
        <w:t xml:space="preserve">9 a type of self- interested and rational self-governing subject which makes possible the limitation of neoliberal governmental practice, the article illustrates how </w:t>
      </w:r>
      <w:r>
        <w:rPr>
          <w:rFonts w:ascii="Calibri" w:hAnsi="Calibri" w:eastAsia="Calibri" w:cs="Calibri"/>
          <w:b/>
          <w:u w:val="single"/>
        </w:rPr>
        <w:t xml:space="preserve">human rights’ production of </w:t>
      </w:r>
      <w:r>
        <w:rPr>
          <w:rFonts w:ascii="Calibri" w:hAnsi="Calibri" w:eastAsia="Calibri" w:cs="Calibri"/>
          <w:b/>
          <w:i/>
          <w:u w:val="single"/>
        </w:rPr>
        <w:t xml:space="preserve">homo juridicus </w:t>
      </w:r>
      <w:r>
        <w:rPr>
          <w:rFonts w:ascii="Calibri" w:hAnsi="Calibri" w:eastAsia="Calibri" w:cs="Calibri"/>
          <w:b/>
          <w:u w:val="single"/>
        </w:rPr>
        <w:t>also predicates liberalism and neoliberal governmentality and the evolving global liberal order</w:t>
      </w:r>
      <w:r>
        <w:t>.</w:t>
      </w:r>
      <w:r>
        <w:rPr>
          <w:rFonts w:ascii="Calibri" w:hAnsi="Calibri" w:eastAsia="Calibri" w:cs="Calibri"/>
        </w:rPr>
        <w:t xml:space="preserve">10 In doing so, the discussion acts as an immanent critique of Foucault’s rela- tive neglect of human rights11 and his cursory dismissal of the juridical subject’s subjectification as enabling of neoliberalism.12 The article identifies </w:t>
      </w:r>
      <w:r>
        <w:rPr>
          <w:rFonts w:ascii="Calibri" w:hAnsi="Calibri" w:eastAsia="Calibri" w:cs="Calibri"/>
          <w:u w:val="single"/>
        </w:rPr>
        <w:t>human rights’ relations of subjectification as ‘lib- eral ontogenesis’</w:t>
      </w:r>
      <w:r>
        <w:rPr>
          <w:rFonts w:ascii="Calibri" w:hAnsi="Calibri" w:eastAsia="Calibri" w:cs="Calibri"/>
        </w:rPr>
        <w:t xml:space="preserve">, the latter being a term retrieved from its origins in devel- opmental biology where it usually denotes the development of organisms from embryonic origin to </w:t>
      </w:r>
      <w:r>
        <w:rPr>
          <w:rFonts w:ascii="Calibri" w:hAnsi="Calibri" w:eastAsia="Calibri" w:cs="Calibri"/>
          <w:i/>
        </w:rPr>
        <w:t>maturation</w:t>
      </w:r>
      <w:r>
        <w:t>.</w:t>
      </w:r>
      <w:r>
        <w:rPr>
          <w:rFonts w:ascii="Calibri" w:hAnsi="Calibri" w:eastAsia="Calibri" w:cs="Calibri"/>
        </w:rPr>
        <w:t xml:space="preserve">13 </w:t>
      </w:r>
      <w:r>
        <w:rPr>
          <w:rFonts w:ascii="Calibri" w:hAnsi="Calibri" w:eastAsia="Calibri" w:cs="Calibri"/>
          <w:u w:val="single"/>
        </w:rPr>
        <w:t xml:space="preserve">Critically applying the term ‘onto- genesis’ to the </w:t>
      </w:r>
      <w:r>
        <w:rPr>
          <w:rFonts w:ascii="Calibri" w:hAnsi="Calibri" w:eastAsia="Calibri" w:cs="Calibri"/>
          <w:u w:val="single"/>
        </w:rPr>
        <w:lastRenderedPageBreak/>
        <w:t xml:space="preserve">engendering of a mature moral and legal subject of human rights, the article illustrates this complex process in its distinct but related forms. These are rhetorical, epistemic, performative and structural onto- geneses. Exploring each form of liberal ontogenesis confirms that liberal- ism </w:t>
      </w:r>
      <w:r>
        <w:rPr>
          <w:rFonts w:ascii="Calibri" w:hAnsi="Calibri" w:eastAsia="Calibri" w:cs="Calibri"/>
          <w:i/>
          <w:u w:val="single"/>
        </w:rPr>
        <w:t xml:space="preserve">does </w:t>
      </w:r>
      <w:r>
        <w:rPr>
          <w:rFonts w:ascii="Calibri" w:hAnsi="Calibri" w:eastAsia="Calibri" w:cs="Calibri"/>
          <w:u w:val="single"/>
        </w:rPr>
        <w:t xml:space="preserve">have an intimate relationship with freedom but </w:t>
      </w:r>
      <w:r>
        <w:rPr>
          <w:rFonts w:ascii="Calibri" w:hAnsi="Calibri" w:eastAsia="Calibri" w:cs="Calibri"/>
          <w:i/>
          <w:u w:val="single"/>
        </w:rPr>
        <w:t xml:space="preserve">not </w:t>
      </w:r>
      <w:r>
        <w:rPr>
          <w:rFonts w:ascii="Calibri" w:hAnsi="Calibri" w:eastAsia="Calibri" w:cs="Calibri"/>
          <w:u w:val="single"/>
        </w:rPr>
        <w:t xml:space="preserve">because it is predicated upon the pre-given, free and sovereign individual, which is the core ontological premise or </w:t>
      </w:r>
      <w:r>
        <w:rPr>
          <w:rFonts w:ascii="Calibri" w:hAnsi="Calibri" w:eastAsia="Calibri" w:cs="Calibri"/>
          <w:i/>
          <w:u w:val="single"/>
        </w:rPr>
        <w:t xml:space="preserve">ground </w:t>
      </w:r>
      <w:r>
        <w:rPr>
          <w:rFonts w:ascii="Calibri" w:hAnsi="Calibri" w:eastAsia="Calibri" w:cs="Calibri"/>
          <w:u w:val="single"/>
        </w:rPr>
        <w:t xml:space="preserve">of liberal thought.14 Rather, liberal governmental practice requires – and indeed must produce, </w:t>
      </w:r>
      <w:r>
        <w:rPr>
          <w:rFonts w:ascii="Calibri" w:hAnsi="Calibri" w:eastAsia="Calibri" w:cs="Calibri"/>
          <w:i/>
          <w:u w:val="single"/>
        </w:rPr>
        <w:t>and produce globally</w:t>
      </w:r>
      <w:r>
        <w:rPr>
          <w:rFonts w:ascii="Calibri" w:hAnsi="Calibri" w:eastAsia="Calibri" w:cs="Calibri"/>
          <w:u w:val="single"/>
        </w:rPr>
        <w:t xml:space="preserve">, through its discourses, knowledge production, law-making and restructuring of the ‘conditions of freedom’15 </w:t>
      </w:r>
      <w:r>
        <w:rPr>
          <w:u w:val="single"/>
        </w:rPr>
        <w:t xml:space="preserve">– </w:t>
      </w:r>
      <w:r>
        <w:rPr>
          <w:rFonts w:ascii="Calibri" w:hAnsi="Calibri" w:eastAsia="Calibri" w:cs="Calibri"/>
          <w:b/>
          <w:u w:val="single"/>
        </w:rPr>
        <w:t>the free and sovereign</w:t>
      </w:r>
      <w:r>
        <w:rPr>
          <w:rFonts w:ascii="Calibri" w:hAnsi="Calibri" w:eastAsia="Calibri" w:cs="Calibri"/>
          <w:u w:val="single"/>
        </w:rPr>
        <w:t xml:space="preserve"> (here understood as </w:t>
      </w:r>
      <w:r>
        <w:rPr>
          <w:rFonts w:ascii="Calibri" w:hAnsi="Calibri" w:eastAsia="Calibri" w:cs="Calibri"/>
          <w:i/>
          <w:u w:val="single"/>
        </w:rPr>
        <w:t>self-governing</w:t>
      </w:r>
      <w:r>
        <w:rPr>
          <w:u w:val="single"/>
        </w:rPr>
        <w:t xml:space="preserve">) </w:t>
      </w:r>
      <w:r>
        <w:rPr>
          <w:rFonts w:ascii="Calibri" w:hAnsi="Calibri" w:eastAsia="Calibri" w:cs="Calibri"/>
          <w:b/>
          <w:u w:val="single"/>
        </w:rPr>
        <w:t>subject</w:t>
      </w:r>
      <w:r>
        <w:rPr>
          <w:rFonts w:ascii="Calibri" w:hAnsi="Calibri" w:eastAsia="Calibri" w:cs="Calibri"/>
          <w:u w:val="single"/>
        </w:rPr>
        <w:t xml:space="preserve">, whose behaviour can then be directed according to the ‘right’ (here understood as </w:t>
      </w:r>
      <w:r>
        <w:rPr>
          <w:rFonts w:ascii="Calibri" w:hAnsi="Calibri" w:eastAsia="Calibri" w:cs="Calibri"/>
          <w:i/>
          <w:u w:val="single"/>
        </w:rPr>
        <w:t>minimal</w:t>
      </w:r>
      <w:r>
        <w:rPr>
          <w:rFonts w:ascii="Calibri" w:hAnsi="Calibri" w:eastAsia="Calibri" w:cs="Calibri"/>
          <w:u w:val="single"/>
        </w:rPr>
        <w:t>) ‘dispos- ition of things’.</w:t>
      </w:r>
      <w:r>
        <w:rPr>
          <w:rFonts w:ascii="Calibri" w:hAnsi="Calibri" w:eastAsia="Calibri" w:cs="Calibri"/>
        </w:rPr>
        <w:t xml:space="preserve">16 In other words, </w:t>
      </w:r>
      <w:r>
        <w:rPr>
          <w:rFonts w:ascii="Calibri" w:hAnsi="Calibri" w:eastAsia="Calibri" w:cs="Calibri"/>
          <w:u w:val="single"/>
        </w:rPr>
        <w:t xml:space="preserve">the liberal ontogenesis by human rights now becomes an integral part of governmental practice, while recasting irrevocably the very meaning of freedom itself. </w:t>
      </w:r>
      <w:r>
        <w:rPr>
          <w:rFonts w:ascii="Calibri" w:hAnsi="Calibri" w:eastAsia="Calibri" w:cs="Calibri"/>
        </w:rPr>
        <w:t xml:space="preserve"> </w:t>
      </w:r>
    </w:p>
    <w:p xmlns:wp14="http://schemas.microsoft.com/office/word/2010/wordml" w:rsidR="00507555" w:rsidP="00507555" w:rsidRDefault="00507555" w14:paraId="33D28B4B" wp14:textId="77777777">
      <w:pPr>
        <w:rPr>
          <w:rFonts w:ascii="Calibri" w:hAnsi="Calibri" w:eastAsia="Calibri" w:cs="Calibri"/>
          <w:sz w:val="26"/>
          <w:szCs w:val="26"/>
        </w:rPr>
      </w:pPr>
    </w:p>
    <w:p xmlns:wp14="http://schemas.microsoft.com/office/word/2010/wordml" w:rsidR="00507555" w:rsidP="00507555" w:rsidRDefault="00507555" w14:paraId="688F20AB" wp14:textId="77777777">
      <w:pPr>
        <w:pStyle w:val="Heading3"/>
        <w:rPr>
          <w:rFonts w:eastAsia="Calibri"/>
        </w:rPr>
      </w:pPr>
      <w:r>
        <w:rPr>
          <w:rFonts w:eastAsia="Calibri"/>
        </w:rPr>
        <w:lastRenderedPageBreak/>
        <w:t>I: Biopolitics</w:t>
      </w:r>
    </w:p>
    <w:p xmlns:wp14="http://schemas.microsoft.com/office/word/2010/wordml" w:rsidRPr="00397BD3" w:rsidR="00507555" w:rsidP="00507555" w:rsidRDefault="00507555" w14:paraId="607B6B48" wp14:textId="77777777">
      <w:pPr>
        <w:pStyle w:val="Heading4"/>
      </w:pPr>
      <w:r w:rsidRPr="00397BD3">
        <w:t>The aff’s human rights discourse only serves to make populations vulnerable to the biopolitical power of the sovereign.</w:t>
      </w:r>
    </w:p>
    <w:p xmlns:wp14="http://schemas.microsoft.com/office/word/2010/wordml" w:rsidRPr="00397BD3" w:rsidR="00507555" w:rsidP="00507555" w:rsidRDefault="00507555" w14:paraId="690EEBE5" wp14:textId="77777777">
      <w:pPr>
        <w:rPr>
          <w:rFonts w:ascii="Calibri" w:hAnsi="Calibri" w:eastAsia="Calibri" w:cs="Calibri"/>
          <w:sz w:val="16"/>
        </w:rPr>
      </w:pPr>
      <w:r w:rsidRPr="00397BD3">
        <w:rPr>
          <w:rStyle w:val="Style13ptBold"/>
        </w:rPr>
        <w:t>Gündoğdu 11</w:t>
      </w:r>
      <w:r w:rsidRPr="00397BD3">
        <w:rPr>
          <w:rFonts w:ascii="Calibri" w:hAnsi="Calibri" w:eastAsia="Calibri" w:cs="Calibri"/>
          <w:sz w:val="16"/>
        </w:rPr>
        <w:t xml:space="preserve"> (Ayten. Ayten Gündoğdu, associate professor of political science, joined Barnard’s faculty in 2008.  At Barnard she teaches courses on political theory and human rights. Professor Gündoğdu is the recipient of a Mellon Mid-Career Fellowship from the Whitney Humanities Center at Yale University (2017-18), a postdoctoral fellowship from the Mahindra Humanities Center at Harvard University (2011-12), and several other grants and awards from Barnard College and the University of Minnesota, Twin Cities. “Potentialities of Human Rights: Agamben and the Narrative of Fated Necessity.” SpringerLink, Springer, Dordrecht, 19 July 2011, link.springer.com/article/10.1057/cpt.2010.45. // #CS) </w:t>
      </w:r>
    </w:p>
    <w:p xmlns:wp14="http://schemas.microsoft.com/office/word/2010/wordml" w:rsidRPr="00397BD3" w:rsidR="00507555" w:rsidP="00507555" w:rsidRDefault="00507555" w14:paraId="27D4A50F" wp14:textId="77777777">
      <w:pPr>
        <w:rPr>
          <w:rFonts w:ascii="Calibri" w:hAnsi="Calibri" w:eastAsia="Calibri" w:cs="Calibri"/>
          <w:sz w:val="14"/>
        </w:rPr>
      </w:pPr>
      <w:r w:rsidRPr="00397BD3">
        <w:rPr>
          <w:rFonts w:ascii="Calibri" w:hAnsi="Calibri" w:eastAsia="Calibri" w:cs="Calibri"/>
          <w:sz w:val="14"/>
        </w:rPr>
        <w:t xml:space="preserve">Human rights have become a predominant discourse in global politics particularly in the post-Cold War era as they have been invoked to address multifarious forms of injustice ranging from violence against women to global poverty. If this transformation has been welcome by some for its promise of a cosmopolitan future, it has also become the target of several critics who underline the insidious effects of human rights as a new form of power. </w:t>
      </w:r>
      <w:r>
        <w:rPr>
          <w:rFonts w:ascii="Calibri" w:hAnsi="Calibri" w:eastAsia="Calibri" w:cs="Calibri"/>
          <w:u w:val="single"/>
        </w:rPr>
        <w:t>The cosmopolitan aura of human rights has been increasingly demystified as various scholars have pointed out their deployment in the justification of neoimperial interventions (Anderson, 2002; Mutua, 2002; Douzinas, 2007</w:t>
      </w:r>
      <w:r>
        <w:rPr>
          <w:rFonts w:ascii="Calibri" w:hAnsi="Calibri" w:eastAsia="Calibri" w:cs="Calibri"/>
          <w:b/>
          <w:u w:val="single"/>
        </w:rPr>
        <w:t>), their masking of a political power constituting subjects in need of political protection (Brown, 2004), and their hegemonic hold on our political imagination (Kennedy, 2002).</w:t>
      </w:r>
      <w:r>
        <w:rPr>
          <w:rFonts w:ascii="Calibri" w:hAnsi="Calibri" w:eastAsia="Calibri" w:cs="Calibri"/>
          <w:u w:val="single"/>
        </w:rPr>
        <w:t xml:space="preserve"> Giorgio Agamben makes a distinctive contribution to this contemporary debate with his analysis aiming to demonstrate how </w:t>
      </w:r>
      <w:r>
        <w:rPr>
          <w:rFonts w:ascii="Calibri" w:hAnsi="Calibri" w:eastAsia="Calibri" w:cs="Calibri"/>
          <w:b/>
          <w:u w:val="single"/>
        </w:rPr>
        <w:t>human rights, perceived as normative guarantees against the state, actually participate in rendering human lives vulnerable to sovereign violence</w:t>
      </w:r>
      <w:r>
        <w:rPr>
          <w:rFonts w:ascii="Calibri" w:hAnsi="Calibri" w:eastAsia="Calibri" w:cs="Calibri"/>
          <w:u w:val="single"/>
        </w:rPr>
        <w:t xml:space="preserve">. </w:t>
      </w:r>
      <w:r w:rsidRPr="00397BD3">
        <w:rPr>
          <w:rFonts w:ascii="Calibri" w:hAnsi="Calibri" w:eastAsia="Calibri" w:cs="Calibri"/>
          <w:sz w:val="14"/>
        </w:rPr>
        <w:t xml:space="preserve">Although Agamben joins some other critics, especially those influenced by Michel Foucault’s work (for example, Wendy Brown), in making this claim, he radicalizes the critique of human rights in many ways. </w:t>
      </w:r>
      <w:r>
        <w:rPr>
          <w:rFonts w:ascii="Calibri" w:hAnsi="Calibri" w:eastAsia="Calibri" w:cs="Calibri"/>
          <w:u w:val="single"/>
        </w:rPr>
        <w:t xml:space="preserve">The critique is radical literally as it tries to grasp the problem by its roots. To do this, Agamben goes back to the early formulations of human rights in the eighteenth-century declarations, especially the 1789 Declaration of the Rights of Man and Citizen, and shows how these </w:t>
      </w:r>
      <w:r>
        <w:rPr>
          <w:rFonts w:ascii="Calibri" w:hAnsi="Calibri" w:eastAsia="Calibri" w:cs="Calibri"/>
          <w:b/>
          <w:u w:val="single"/>
        </w:rPr>
        <w:t xml:space="preserve">declarations reiterate the biopolitical fracture between political and natural life at the heart of Western metaphysics and politics. </w:t>
      </w:r>
      <w:r>
        <w:rPr>
          <w:rFonts w:ascii="Calibri" w:hAnsi="Calibri" w:eastAsia="Calibri" w:cs="Calibri"/>
          <w:u w:val="single"/>
        </w:rPr>
        <w:t xml:space="preserve">Once these declarations make life the foundation of the nation-state, </w:t>
      </w:r>
      <w:r>
        <w:rPr>
          <w:rFonts w:ascii="Calibri" w:hAnsi="Calibri" w:eastAsia="Calibri" w:cs="Calibri"/>
          <w:b/>
          <w:u w:val="single"/>
        </w:rPr>
        <w:t>every aspect of life becomes politicized and is subjected to sovereign power to an unprecedented degree</w:t>
      </w:r>
      <w:r>
        <w:rPr>
          <w:rFonts w:ascii="Calibri" w:hAnsi="Calibri" w:eastAsia="Calibri" w:cs="Calibri"/>
          <w:u w:val="single"/>
        </w:rPr>
        <w:t>.</w:t>
      </w:r>
      <w:r w:rsidRPr="00397BD3">
        <w:rPr>
          <w:rFonts w:ascii="Calibri" w:hAnsi="Calibri" w:eastAsia="Calibri" w:cs="Calibri"/>
          <w:sz w:val="14"/>
        </w:rPr>
        <w:t xml:space="preserve"> This analysis showing how human rights participate in the reproduction of a centuries-old problem takes Agamben also to a conclusion that is much more radical than those drawn by other critics: </w:t>
      </w:r>
      <w:r>
        <w:rPr>
          <w:rFonts w:ascii="Calibri" w:hAnsi="Calibri" w:eastAsia="Calibri" w:cs="Calibri"/>
          <w:u w:val="single"/>
        </w:rPr>
        <w:t xml:space="preserve">Given the underlying assumptions of human rights, </w:t>
      </w:r>
      <w:r>
        <w:rPr>
          <w:rFonts w:ascii="Calibri" w:hAnsi="Calibri" w:eastAsia="Calibri" w:cs="Calibri"/>
          <w:b/>
          <w:u w:val="single"/>
        </w:rPr>
        <w:t>there is no possibility of thinking them anew</w:t>
      </w:r>
      <w:r>
        <w:rPr>
          <w:rFonts w:ascii="Calibri" w:hAnsi="Calibri" w:eastAsia="Calibri" w:cs="Calibri"/>
          <w:u w:val="single"/>
        </w:rPr>
        <w:t>; we instead need to imagine a politics beyond human rights so as to sever the tight link that holds human life in the grip of sovereign power</w:t>
      </w:r>
      <w:r w:rsidRPr="00397BD3">
        <w:rPr>
          <w:rFonts w:ascii="Calibri" w:hAnsi="Calibri" w:eastAsia="Calibri" w:cs="Calibri"/>
          <w:sz w:val="14"/>
        </w:rPr>
        <w:t xml:space="preserve">. This article aims not only to understand Agamben’s distinctive intervention in the contemporary debates on human rights but also to assess his concluding call for a politics beyond human rights. I argue that </w:t>
      </w:r>
      <w:r>
        <w:rPr>
          <w:rFonts w:ascii="Calibri" w:hAnsi="Calibri" w:eastAsia="Calibri" w:cs="Calibri"/>
          <w:u w:val="single"/>
        </w:rPr>
        <w:t xml:space="preserve">this call is necessitated by a counternarrative of Western politics that ties human rights inextricably to the ‘logic’ Agamben ascribes to biopolitical sovereignty. </w:t>
      </w:r>
      <w:r>
        <w:rPr>
          <w:rFonts w:ascii="Calibri" w:hAnsi="Calibri" w:eastAsia="Calibri" w:cs="Calibri"/>
          <w:b/>
          <w:u w:val="single"/>
        </w:rPr>
        <w:t>Within this stringent logic, any human rights struggle cannot help but participate in the reproduction of the sovereign violence that it aims to contest</w:t>
      </w:r>
      <w:r w:rsidRPr="00397BD3">
        <w:rPr>
          <w:rFonts w:ascii="Calibri" w:hAnsi="Calibri" w:eastAsia="Calibri" w:cs="Calibri"/>
          <w:sz w:val="14"/>
        </w:rPr>
        <w:t xml:space="preserve">. The article questions this conclusion in two ways: First, it shows how Agamben’s counternarrative, which aims to demystify all the myths that sustain sovereignty, ends up repeating what it identifies as the distinctive mythologizing gesture: rendering the contingent necessary. Albeit unwittingly, </w:t>
      </w:r>
      <w:r>
        <w:rPr>
          <w:rFonts w:ascii="Calibri" w:hAnsi="Calibri" w:eastAsia="Calibri" w:cs="Calibri"/>
          <w:u w:val="single"/>
        </w:rPr>
        <w:t>Agamben’s narrative against Western myths reintroduces a ‘principle of fated necessity’, to use a phrase invoked by Max Horkheimer and Theodor Adorno to capture the problems of a mythologizing gesture that casts each event as an inevitable reinstatement of what always was (2002, p. 8)</w:t>
      </w:r>
      <w:r w:rsidRPr="00397BD3">
        <w:rPr>
          <w:rFonts w:ascii="Calibri" w:hAnsi="Calibri" w:eastAsia="Calibri" w:cs="Calibri"/>
          <w:sz w:val="14"/>
        </w:rPr>
        <w:t xml:space="preserve">. Second, the article also shows how this gesture is at odds with Agamben’s own efforts to rethink the past in terms of contingencies and inexhaustible potentialities. I argue that </w:t>
      </w:r>
      <w:r>
        <w:rPr>
          <w:rFonts w:ascii="Calibri" w:hAnsi="Calibri" w:eastAsia="Calibri" w:cs="Calibri"/>
          <w:u w:val="single"/>
        </w:rPr>
        <w:t>Agamben’s rethinking of ‘potentiality’ as a capacity that is not consumed in any of its determinate actualizations can provide us with a better framework for capturing the contingent, complex and unfinished histories of sovereignty and rights</w:t>
      </w:r>
      <w:r w:rsidRPr="00397BD3">
        <w:rPr>
          <w:rFonts w:ascii="Calibri" w:hAnsi="Calibri" w:eastAsia="Calibri" w:cs="Calibri"/>
          <w:sz w:val="14"/>
        </w:rPr>
        <w:t xml:space="preserve">. The critical evaluation of Agamben in this article aims to proceed in the mode of an immanent critique understood in its broad sense: Instead of contesting Agamben’s counternarrative by constructing an alternative historical account or by resorting to the conceptual resources of other theoretical traditions – two major routes taken by his critics – I intend to read Agamben against Agamben.1 Taking into account the tensions in Agamben’s critique, I deploy his own terms (for example, potentiality) to contest some of his arguments and conclusions about human rights. </w:t>
      </w:r>
    </w:p>
    <w:p xmlns:wp14="http://schemas.microsoft.com/office/word/2010/wordml" w:rsidR="00507555" w:rsidP="00507555" w:rsidRDefault="00507555" w14:paraId="37EFA3E3" wp14:textId="77777777">
      <w:pPr>
        <w:rPr>
          <w:rFonts w:ascii="Calibri" w:hAnsi="Calibri" w:eastAsia="Calibri" w:cs="Calibri"/>
          <w:sz w:val="26"/>
          <w:szCs w:val="26"/>
        </w:rPr>
      </w:pPr>
    </w:p>
    <w:p xmlns:wp14="http://schemas.microsoft.com/office/word/2010/wordml" w:rsidR="00507555" w:rsidP="00507555" w:rsidRDefault="00507555" w14:paraId="797427D3" wp14:textId="77777777">
      <w:pPr>
        <w:pStyle w:val="Heading3"/>
        <w:rPr>
          <w:rFonts w:eastAsia="Calibri"/>
        </w:rPr>
      </w:pPr>
      <w:r>
        <w:rPr>
          <w:rFonts w:eastAsia="Calibri"/>
        </w:rPr>
        <w:lastRenderedPageBreak/>
        <w:t>I: Bare Life</w:t>
      </w:r>
    </w:p>
    <w:p xmlns:wp14="http://schemas.microsoft.com/office/word/2010/wordml" w:rsidR="00507555" w:rsidP="00507555" w:rsidRDefault="00507555" w14:paraId="2F16F2FF" wp14:textId="77777777">
      <w:pPr>
        <w:pStyle w:val="Heading4"/>
        <w:rPr>
          <w:rFonts w:eastAsia="Calibri"/>
        </w:rPr>
      </w:pPr>
      <w:r>
        <w:rPr>
          <w:rFonts w:eastAsia="Calibri"/>
        </w:rPr>
        <w:t>Human rights lock individuals into bare life-- at the mercy of the state as both arbiter and granter of rights, even when subjects make gains at the hand of the sovereign, they tacitly affirm its power.</w:t>
      </w:r>
    </w:p>
    <w:p xmlns:wp14="http://schemas.microsoft.com/office/word/2010/wordml" w:rsidRPr="004D41E8" w:rsidR="00507555" w:rsidP="00507555" w:rsidRDefault="00507555" w14:paraId="186C651A" wp14:textId="77777777">
      <w:pPr>
        <w:rPr>
          <w:rFonts w:ascii="Calibri" w:hAnsi="Calibri" w:eastAsia="Calibri" w:cs="Calibri"/>
          <w:sz w:val="16"/>
        </w:rPr>
      </w:pPr>
      <w:r w:rsidRPr="00397BD3">
        <w:rPr>
          <w:rStyle w:val="Style13ptBold"/>
        </w:rPr>
        <w:t>Eyssens 2008</w:t>
      </w:r>
      <w:r w:rsidRPr="004D41E8">
        <w:rPr>
          <w:rFonts w:ascii="Calibri" w:hAnsi="Calibri" w:eastAsia="Calibri" w:cs="Calibri"/>
          <w:sz w:val="16"/>
        </w:rPr>
        <w:t xml:space="preserve"> [Terry, sessional tutor and lecturer at La Trobe University, Australia and at Federation University, Australia, “Democracy of the Civil Dead: The Blind Trade in Citizenship” Transformations, Vol. 16, 2008, Pp. 5-6, http://www.transformationsjournal.org/wp-content/uploads/2017/01/Eyssens_Transformations16.pdf]//KI </w:t>
      </w:r>
    </w:p>
    <w:p xmlns:wp14="http://schemas.microsoft.com/office/word/2010/wordml" w:rsidR="00507555" w:rsidP="00507555" w:rsidRDefault="00507555" w14:paraId="7A97A729" wp14:textId="77777777">
      <w:pPr>
        <w:rPr>
          <w:rFonts w:ascii="Calibri" w:hAnsi="Calibri" w:eastAsia="Calibri" w:cs="Calibri"/>
        </w:rPr>
      </w:pPr>
      <w:r>
        <w:rPr>
          <w:rFonts w:ascii="Calibri" w:hAnsi="Calibri" w:eastAsia="Calibri" w:cs="Calibri"/>
        </w:rPr>
        <w:t xml:space="preserve">Death and the void: (civil death and bare life) Earlier I referred to Benjamin, Arendt and Schmitt in relation to their discussions of the use and effects of the suspension of normal rights by states in times of “emergency.” Any consideration of a notion such as civil death, cannot take place without attention to Agamben’s work on these states (and spaces) of exception, and on the “bare life” that inhabits them. Agamben draws on Benjamin and Schmitt, working over their interpretations of the various states of emergency (as states of exception) that prevailed in the Weimar Republic, and the de facto “permanent” state of exception under National Socialism. </w:t>
      </w:r>
      <w:r>
        <w:rPr>
          <w:rFonts w:ascii="Calibri" w:hAnsi="Calibri" w:eastAsia="Calibri" w:cs="Calibri"/>
          <w:u w:val="single"/>
        </w:rPr>
        <w:t>In the state of exception, Agamben finds human beings stripped of all legal rights and privileges, stripped of any representable identity, and understands them as “bare life.” For Agamben the state of exception is a zone of indistinction, “a space devoid of law, a zone of anomie in which all legal determinations ... are deactivated</w:t>
      </w:r>
      <w:r>
        <w:rPr>
          <w:rFonts w:ascii="Calibri" w:hAnsi="Calibri" w:eastAsia="Calibri" w:cs="Calibri"/>
        </w:rPr>
        <w:t xml:space="preserve">” (State of Exception 50). In this “juridical void,” where </w:t>
      </w:r>
      <w:r>
        <w:rPr>
          <w:rFonts w:ascii="Calibri" w:hAnsi="Calibri" w:eastAsia="Calibri" w:cs="Calibri"/>
          <w:u w:val="single"/>
        </w:rPr>
        <w:t xml:space="preserve">laws and rights remain operative but do not apply, it is not possible for anyone to either execute, transgress or create law (50). The figure inhabiting the state of exception is “bare life,” “that is, the life of homo sacer (sacred man), </w:t>
      </w:r>
      <w:r>
        <w:rPr>
          <w:rFonts w:ascii="Calibri" w:hAnsi="Calibri" w:eastAsia="Calibri" w:cs="Calibri"/>
          <w:b/>
          <w:u w:val="single"/>
        </w:rPr>
        <w:t>who may be killed and yet not sacrificed ... human life [that] is included in the juridical order ... solely in the form of its exclusion</w:t>
      </w:r>
      <w:r>
        <w:rPr>
          <w:rFonts w:ascii="Calibri" w:hAnsi="Calibri" w:eastAsia="Calibri" w:cs="Calibri"/>
          <w:u w:val="single"/>
        </w:rPr>
        <w:t xml:space="preserve"> (that is, of its capacity to be killed)”</w:t>
      </w:r>
      <w:r>
        <w:rPr>
          <w:rFonts w:ascii="Calibri" w:hAnsi="Calibri" w:eastAsia="Calibri" w:cs="Calibri"/>
        </w:rPr>
        <w:t xml:space="preserve"> (Homo Sacer 8) [15]. </w:t>
      </w:r>
      <w:r>
        <w:rPr>
          <w:rFonts w:ascii="Calibri" w:hAnsi="Calibri" w:eastAsia="Calibri" w:cs="Calibri"/>
          <w:u w:val="single"/>
        </w:rPr>
        <w:t>Bare life is the politically exposed, natural life</w:t>
      </w:r>
      <w:r>
        <w:rPr>
          <w:rFonts w:ascii="Calibri" w:hAnsi="Calibri" w:eastAsia="Calibri" w:cs="Calibri"/>
        </w:rPr>
        <w:t xml:space="preserve"> (zoē in Arendt and Agamben</w:t>
      </w:r>
      <w:r>
        <w:rPr>
          <w:rFonts w:ascii="Calibri" w:hAnsi="Calibri" w:eastAsia="Calibri" w:cs="Calibri"/>
          <w:u w:val="single"/>
        </w:rPr>
        <w:t>), the everyday, “liberal” life, stripped of the liberal protections and identifications, the “natural” life which has become nothing more than biological matter of fact</w:t>
      </w:r>
      <w:r>
        <w:rPr>
          <w:rFonts w:ascii="Calibri" w:hAnsi="Calibri" w:eastAsia="Calibri" w:cs="Calibri"/>
        </w:rPr>
        <w:t xml:space="preserve">. Is it appropriate to claim then, that the civil dead, like bare life, inhabit a state of exception? </w:t>
      </w:r>
      <w:r>
        <w:rPr>
          <w:rFonts w:ascii="Calibri" w:hAnsi="Calibri" w:eastAsia="Calibri" w:cs="Calibri"/>
          <w:u w:val="single"/>
        </w:rPr>
        <w:t>States of exception are situations in which certain “normal” laws are suspended for large groups or categories of people or, sometimes, for the entire citizenry. When a group is subject to a state of exception, it is not due to the commission of (or conviction for) a criminal act (although the group may be deemed as threatening to the integrity of the state – in the same way that someone suspected of treason is). And, in a state of exception, a citizen is not transformed into “bare life” according to a contractarian logic. “Bare life” is not the result of a breach</w:t>
      </w:r>
      <w:r>
        <w:rPr>
          <w:rFonts w:ascii="Calibri" w:hAnsi="Calibri" w:eastAsia="Calibri" w:cs="Calibri"/>
        </w:rPr>
        <w:t xml:space="preserve">. In the realm of civil death however, limits to rights (e.g. for prisoners) are legislated from the inside and remain inside the normal juridical order. Transgression is still the issue. In transgression, the category is the “criminal” rather than the refugee or stateless person, and, as Arendt notes, the criminal (as opposed to the stateless person) still possesses an identity within the law and as such, is a “respectable person” who is entitled to normal legal protections (Arendt, The Origins of Totalitarianism 286-87). Agamben himself illustrates the crucial difference between civil death and bare life. </w:t>
      </w:r>
      <w:r>
        <w:rPr>
          <w:rFonts w:ascii="Calibri" w:hAnsi="Calibri" w:eastAsia="Calibri" w:cs="Calibri"/>
          <w:u w:val="single"/>
        </w:rPr>
        <w:t>In his comparison of the prison and the (internment and concentration) camp he writes that “while prison law only constitutes a particular sphere of penal law and is not outside the normal order, the juridical constellation that guides the camp is ... martial law and the state of siege .... As the absolute space of exception, the camp is topologically different from a simple space of confinement</w:t>
      </w:r>
      <w:r>
        <w:rPr>
          <w:rFonts w:ascii="Calibri" w:hAnsi="Calibri" w:eastAsia="Calibri" w:cs="Calibri"/>
        </w:rPr>
        <w:t xml:space="preserve">” (Agamben, Homo Sacer 20). </w:t>
      </w:r>
      <w:r>
        <w:rPr>
          <w:rFonts w:ascii="Calibri" w:hAnsi="Calibri" w:eastAsia="Calibri" w:cs="Calibri"/>
          <w:u w:val="single"/>
        </w:rPr>
        <w:t xml:space="preserve">In a prison, rights are withheld from the criminal. In a camp, rights do not apply. In a prison, the criminal is (supposedly) still protected (enclosed) by laws of the state, written to govern the treatment of prisoners. </w:t>
      </w:r>
      <w:r>
        <w:rPr>
          <w:rFonts w:ascii="Calibri" w:hAnsi="Calibri" w:eastAsia="Calibri" w:cs="Calibri"/>
          <w:b/>
          <w:u w:val="single"/>
        </w:rPr>
        <w:t>In the camp, “anything,” and “everything is possible</w:t>
      </w:r>
      <w:r>
        <w:rPr>
          <w:rFonts w:ascii="Calibri" w:hAnsi="Calibri" w:eastAsia="Calibri" w:cs="Calibri"/>
        </w:rPr>
        <w:t xml:space="preserve">” (Agamben, Means </w:t>
      </w:r>
      <w:r>
        <w:rPr>
          <w:rFonts w:ascii="Calibri" w:hAnsi="Calibri" w:eastAsia="Calibri" w:cs="Calibri"/>
        </w:rPr>
        <w:lastRenderedPageBreak/>
        <w:t xml:space="preserve">Without End 40; Homo Sacer 171). </w:t>
      </w:r>
      <w:r>
        <w:rPr>
          <w:rFonts w:ascii="Calibri" w:hAnsi="Calibri" w:eastAsia="Calibri" w:cs="Calibri"/>
          <w:u w:val="single"/>
        </w:rPr>
        <w:t xml:space="preserve">The bare life inhabiting the camp, </w:t>
      </w:r>
      <w:r>
        <w:rPr>
          <w:rFonts w:ascii="Calibri" w:hAnsi="Calibri" w:eastAsia="Calibri" w:cs="Calibri"/>
          <w:b/>
          <w:u w:val="single"/>
        </w:rPr>
        <w:t>the ultimate state of exception</w:t>
      </w:r>
      <w:r>
        <w:rPr>
          <w:rFonts w:ascii="Calibri" w:hAnsi="Calibri" w:eastAsia="Calibri" w:cs="Calibri"/>
          <w:u w:val="single"/>
        </w:rPr>
        <w:t>, is exposed as nothing but biological fact. This is the “life that may be killed without the commission of homicide</w:t>
      </w:r>
      <w:r>
        <w:rPr>
          <w:rFonts w:ascii="Calibri" w:hAnsi="Calibri" w:eastAsia="Calibri" w:cs="Calibri"/>
        </w:rPr>
        <w:t xml:space="preserve">” (Homo Sacer 159). </w:t>
      </w:r>
      <w:r>
        <w:rPr>
          <w:rFonts w:ascii="Calibri" w:hAnsi="Calibri" w:eastAsia="Calibri" w:cs="Calibri"/>
          <w:u w:val="single"/>
        </w:rPr>
        <w:t>However, this exposure of bare life is “double-sided.” Exposure does not only imply a defencelessness or an incapacity to act</w:t>
      </w:r>
      <w:r>
        <w:rPr>
          <w:rFonts w:ascii="Calibri" w:hAnsi="Calibri" w:eastAsia="Calibri" w:cs="Calibri"/>
        </w:rPr>
        <w:t xml:space="preserve">. Picking up from Jean-Luc Nancy’s discussion of the “ban” Agamben writes that </w:t>
      </w:r>
      <w:r>
        <w:rPr>
          <w:rFonts w:ascii="Calibri" w:hAnsi="Calibri" w:eastAsia="Calibri" w:cs="Calibri"/>
          <w:u w:val="single"/>
        </w:rPr>
        <w:t>the relation of the exception is a relation of ban. He who has been banned is not ... simply set outside the law ... but rather abandoned by it, that is, exposed and threatened on the threshold in which life and law, outside and inside, become indistinguishable</w:t>
      </w:r>
      <w:r>
        <w:rPr>
          <w:rFonts w:ascii="Calibri" w:hAnsi="Calibri" w:eastAsia="Calibri" w:cs="Calibri"/>
        </w:rPr>
        <w:t xml:space="preserve"> ... (This is why in Romance languages, to be “banned” originally means to be “at the mercy of” and “at one’s own will, freely,” to be “excluded” and also “open to all, free.” (Homo Sacer 28-29) [16] </w:t>
      </w:r>
      <w:r>
        <w:rPr>
          <w:rFonts w:ascii="Calibri" w:hAnsi="Calibri" w:eastAsia="Calibri" w:cs="Calibri"/>
          <w:b/>
          <w:u w:val="single"/>
        </w:rPr>
        <w:t>To be exposed is to be free – to be outlaw – to be (potentially) a danger to the state</w:t>
      </w:r>
      <w:r>
        <w:rPr>
          <w:rFonts w:ascii="Calibri" w:hAnsi="Calibri" w:eastAsia="Calibri" w:cs="Calibri"/>
          <w:u w:val="single"/>
        </w:rPr>
        <w:t>. While the civil dead remain “enclosed” within the laws and norms of the state, bare life inhabits a zone of indistinction, neither inside nor outside of the law</w:t>
      </w:r>
      <w:r>
        <w:rPr>
          <w:rFonts w:ascii="Calibri" w:hAnsi="Calibri" w:eastAsia="Calibri" w:cs="Calibri"/>
        </w:rPr>
        <w:t xml:space="preserve">. So, while civil death cannot be said to be the same as the bare life that inhabits the state of exception, the differences seem to be limited to the presence or absence of the (actual or illusory) reciprocal notion of the social contract and the rights inscribed in it. If this is so, the implications are intriguing. </w:t>
      </w:r>
      <w:r>
        <w:rPr>
          <w:rFonts w:ascii="Calibri" w:hAnsi="Calibri" w:eastAsia="Calibri" w:cs="Calibri"/>
          <w:b/>
          <w:u w:val="single"/>
        </w:rPr>
        <w:t>For only as long as the fiction of the contract can be maintained can the illusion of citizenship endure</w:t>
      </w:r>
      <w:r>
        <w:rPr>
          <w:rFonts w:ascii="Calibri" w:hAnsi="Calibri" w:eastAsia="Calibri" w:cs="Calibri"/>
          <w:u w:val="single"/>
        </w:rPr>
        <w:t xml:space="preserve">, and with it, the enclosure of citizens within the constraints, restrictions and protections of the law of the state. As “the </w:t>
      </w:r>
      <w:r>
        <w:rPr>
          <w:rFonts w:ascii="Calibri" w:hAnsi="Calibri" w:eastAsia="Calibri" w:cs="Calibri"/>
          <w:b/>
          <w:u w:val="single"/>
        </w:rPr>
        <w:t>liberties and rights</w:t>
      </w:r>
      <w:r>
        <w:rPr>
          <w:rFonts w:ascii="Calibri" w:hAnsi="Calibri" w:eastAsia="Calibri" w:cs="Calibri"/>
          <w:u w:val="single"/>
        </w:rPr>
        <w:t xml:space="preserve"> won by individuals in their conflicts with central powers” also </w:t>
      </w:r>
      <w:r>
        <w:rPr>
          <w:rFonts w:ascii="Calibri" w:hAnsi="Calibri" w:eastAsia="Calibri" w:cs="Calibri"/>
          <w:b/>
          <w:u w:val="single"/>
        </w:rPr>
        <w:t>tacitly inscribe the lives of those individuals “within the state order</w:t>
      </w:r>
      <w:r>
        <w:rPr>
          <w:rFonts w:ascii="Times New Roman" w:hAnsi="Times New Roman" w:eastAsia="Times New Roman" w:cs="Times New Roman"/>
          <w:u w:val="single"/>
        </w:rPr>
        <w:t>”</w:t>
      </w:r>
      <w:r>
        <w:rPr>
          <w:rFonts w:ascii="Calibri" w:hAnsi="Calibri" w:eastAsia="Calibri" w:cs="Calibri"/>
        </w:rPr>
        <w:t xml:space="preserve"> (Homo Sacer 121), </w:t>
      </w:r>
      <w:r>
        <w:rPr>
          <w:rFonts w:ascii="Calibri" w:hAnsi="Calibri" w:eastAsia="Calibri" w:cs="Calibri"/>
          <w:u w:val="single"/>
        </w:rPr>
        <w:t xml:space="preserve">a blind trade maintains a </w:t>
      </w:r>
      <w:r>
        <w:rPr>
          <w:rFonts w:ascii="Calibri" w:hAnsi="Calibri" w:eastAsia="Calibri" w:cs="Calibri"/>
          <w:b/>
          <w:u w:val="single"/>
        </w:rPr>
        <w:t>permanent indebtedness in the illusory reciprocal relation</w:t>
      </w:r>
      <w:r>
        <w:rPr>
          <w:rFonts w:ascii="Calibri" w:hAnsi="Calibri" w:eastAsia="Calibri" w:cs="Calibri"/>
          <w:u w:val="single"/>
        </w:rPr>
        <w:t>. While citizens remain blind to their willingness to trade rights for nothing, they remain bound to and enclosed within the state and as such, the potential for the political contestation of the state, in the exposure of the ban, is reined in.</w:t>
      </w:r>
      <w:r>
        <w:rPr>
          <w:rFonts w:ascii="Calibri" w:hAnsi="Calibri" w:eastAsia="Calibri" w:cs="Calibri"/>
        </w:rPr>
        <w:t xml:space="preserve"> </w:t>
      </w:r>
    </w:p>
    <w:p xmlns:wp14="http://schemas.microsoft.com/office/word/2010/wordml" w:rsidR="00507555" w:rsidP="00507555" w:rsidRDefault="00507555" w14:paraId="41C6AC2A" wp14:textId="77777777">
      <w:pPr>
        <w:rPr>
          <w:rFonts w:ascii="Calibri" w:hAnsi="Calibri" w:eastAsia="Calibri" w:cs="Calibri"/>
          <w:sz w:val="26"/>
          <w:szCs w:val="26"/>
        </w:rPr>
      </w:pPr>
    </w:p>
    <w:p xmlns:wp14="http://schemas.microsoft.com/office/word/2010/wordml" w:rsidR="00507555" w:rsidP="00507555" w:rsidRDefault="00507555" w14:paraId="16241215" wp14:textId="77777777">
      <w:pPr>
        <w:pStyle w:val="Heading3"/>
        <w:rPr>
          <w:rFonts w:eastAsia="Calibri"/>
        </w:rPr>
      </w:pPr>
      <w:r>
        <w:rPr>
          <w:rFonts w:eastAsia="Calibri"/>
        </w:rPr>
        <w:lastRenderedPageBreak/>
        <w:t>I: Imperialism</w:t>
      </w:r>
    </w:p>
    <w:p xmlns:wp14="http://schemas.microsoft.com/office/word/2010/wordml" w:rsidR="00507555" w:rsidP="00507555" w:rsidRDefault="00507555" w14:paraId="3618089F" wp14:textId="77777777">
      <w:pPr>
        <w:pStyle w:val="Heading4"/>
        <w:rPr>
          <w:rFonts w:eastAsia="Calibri"/>
        </w:rPr>
      </w:pPr>
      <w:r>
        <w:rPr>
          <w:rFonts w:eastAsia="Calibri"/>
        </w:rPr>
        <w:t xml:space="preserve">Western interventions perpetuate human rights violations and exacerbates imperialist influence from the US </w:t>
      </w:r>
    </w:p>
    <w:p xmlns:wp14="http://schemas.microsoft.com/office/word/2010/wordml" w:rsidR="00507555" w:rsidP="00507555" w:rsidRDefault="00507555" w14:paraId="1D0102CA" wp14:textId="77777777">
      <w:pPr>
        <w:rPr>
          <w:rFonts w:ascii="Calibri" w:hAnsi="Calibri" w:eastAsia="Calibri" w:cs="Calibri"/>
        </w:rPr>
      </w:pPr>
      <w:r w:rsidRPr="006C3847">
        <w:rPr>
          <w:rStyle w:val="Style13ptBold"/>
        </w:rPr>
        <w:t>Mamandi 8</w:t>
      </w:r>
      <w:r>
        <w:rPr>
          <w:rFonts w:ascii="Calibri" w:hAnsi="Calibri" w:eastAsia="Calibri" w:cs="Calibri"/>
          <w:b/>
          <w:sz w:val="26"/>
          <w:szCs w:val="26"/>
        </w:rPr>
        <w:t xml:space="preserve"> </w:t>
      </w:r>
      <w:r>
        <w:rPr>
          <w:rFonts w:ascii="Calibri" w:hAnsi="Calibri" w:eastAsia="Calibri" w:cs="Calibri"/>
        </w:rPr>
        <w:t xml:space="preserve">(Mahmood Mamandi, Herbert Lehman Professor of Government at Columbia University, 9/10/08, “The New Humanitarian Order,” </w:t>
      </w:r>
      <w:hyperlink r:id="rId154">
        <w:r>
          <w:rPr>
            <w:rFonts w:ascii="Calibri" w:hAnsi="Calibri" w:eastAsia="Calibri" w:cs="Calibri"/>
            <w:color w:val="1155CC"/>
          </w:rPr>
          <w:t>https://www.thenation.com/article/new-humanitarian-order//</w:t>
        </w:r>
      </w:hyperlink>
      <w:r>
        <w:rPr>
          <w:rFonts w:ascii="Calibri" w:hAnsi="Calibri" w:eastAsia="Calibri" w:cs="Calibri"/>
        </w:rPr>
        <w:t xml:space="preserve"> #Cat) </w:t>
      </w:r>
    </w:p>
    <w:p xmlns:wp14="http://schemas.microsoft.com/office/word/2010/wordml" w:rsidR="00507555" w:rsidP="00507555" w:rsidRDefault="00507555" w14:paraId="637AAD98" wp14:textId="77777777">
      <w:pPr>
        <w:rPr>
          <w:rFonts w:ascii="Calibri" w:hAnsi="Calibri" w:eastAsia="Calibri" w:cs="Calibri"/>
          <w:sz w:val="16"/>
          <w:szCs w:val="16"/>
        </w:rPr>
      </w:pPr>
      <w:r>
        <w:rPr>
          <w:rFonts w:ascii="Calibri" w:hAnsi="Calibri" w:eastAsia="Calibri" w:cs="Calibri"/>
          <w:sz w:val="16"/>
          <w:szCs w:val="16"/>
        </w:rPr>
        <w:t xml:space="preserve">Postwar decolonization recognized former colonies as states, thereby expanding state sovereignty as a global principle of relations between states. </w:t>
      </w:r>
      <w:r>
        <w:rPr>
          <w:rFonts w:ascii="Calibri" w:hAnsi="Calibri" w:eastAsia="Calibri" w:cs="Calibri"/>
          <w:u w:val="single"/>
        </w:rPr>
        <w:t>The end of the cold war has led to another basic shift, heralding an international humanitarian order that promises to hold state sovereignty accountable to an international human rights standard</w:t>
      </w:r>
      <w:r>
        <w:rPr>
          <w:rFonts w:ascii="Calibri" w:hAnsi="Calibri" w:eastAsia="Calibri" w:cs="Calibri"/>
          <w:sz w:val="16"/>
          <w:szCs w:val="16"/>
        </w:rPr>
        <w:t xml:space="preserve">. Many believe that we are in the throes of a systemic transition in international relations. </w:t>
      </w:r>
      <w:r>
        <w:rPr>
          <w:rFonts w:ascii="Calibri" w:hAnsi="Calibri" w:eastAsia="Calibri" w:cs="Calibri"/>
          <w:u w:val="single"/>
        </w:rPr>
        <w:t>The standard of responsibility is no longer international law; it has shifted, fatefully, from law to rights</w:t>
      </w:r>
      <w:r>
        <w:rPr>
          <w:rFonts w:ascii="Calibri" w:hAnsi="Calibri" w:eastAsia="Calibri" w:cs="Calibri"/>
          <w:sz w:val="16"/>
          <w:szCs w:val="16"/>
        </w:rPr>
        <w:t xml:space="preserve">. </w:t>
      </w:r>
      <w:r>
        <w:rPr>
          <w:rFonts w:ascii="Calibri" w:hAnsi="Calibri" w:eastAsia="Calibri" w:cs="Calibri"/>
          <w:u w:val="single"/>
        </w:rPr>
        <w:t>As the Bush Administration made patently clear at the time of the invasion of Iraq, humanitarian intervention does not need to abide by the law. Indeed, its defining characteristic is that it is beyond the law</w:t>
      </w:r>
      <w:r>
        <w:rPr>
          <w:rFonts w:ascii="Calibri" w:hAnsi="Calibri" w:eastAsia="Calibri" w:cs="Calibri"/>
          <w:sz w:val="16"/>
          <w:szCs w:val="16"/>
        </w:rPr>
        <w:t xml:space="preserve">. It is this feature that makes humanitarian intervention the twin of the “war on terror.” </w:t>
      </w:r>
      <w:r>
        <w:rPr>
          <w:rFonts w:ascii="Calibri" w:hAnsi="Calibri" w:eastAsia="Calibri" w:cs="Calibri"/>
          <w:u w:val="single"/>
        </w:rPr>
        <w:t>This new humanitarian order</w:t>
      </w:r>
      <w:r>
        <w:rPr>
          <w:rFonts w:ascii="Calibri" w:hAnsi="Calibri" w:eastAsia="Calibri" w:cs="Calibri"/>
          <w:sz w:val="16"/>
          <w:szCs w:val="16"/>
        </w:rPr>
        <w:t xml:space="preserve">, officially adopted at the UN’s 2005 World Summit, </w:t>
      </w:r>
      <w:r>
        <w:rPr>
          <w:rFonts w:ascii="Calibri" w:hAnsi="Calibri" w:eastAsia="Calibri" w:cs="Calibri"/>
          <w:u w:val="single"/>
        </w:rPr>
        <w:t>claims responsibility for the protection of vulnerable populations</w:t>
      </w:r>
      <w:r>
        <w:rPr>
          <w:rFonts w:ascii="Calibri" w:hAnsi="Calibri" w:eastAsia="Calibri" w:cs="Calibri"/>
          <w:sz w:val="16"/>
          <w:szCs w:val="16"/>
        </w:rPr>
        <w:t xml:space="preserve">. That responsibility is said to belong to “the international community,” to be exercised in practice by the UN, and in particular by the Security Council, whose permanent members are the great powers. </w:t>
      </w:r>
      <w:r>
        <w:rPr>
          <w:rFonts w:ascii="Calibri" w:hAnsi="Calibri" w:eastAsia="Calibri" w:cs="Calibri"/>
          <w:u w:val="single"/>
        </w:rPr>
        <w:t>This new order is sanctioned in a language that departs markedly from the older language of law and citizenship. It describes as “human” the populations to be protected and as “humanitarian” the crisis they suffer from, the intervention that promises to rescue them and the agencies that seek to carry out intervention</w:t>
      </w:r>
      <w:r>
        <w:rPr>
          <w:rFonts w:ascii="Calibri" w:hAnsi="Calibri" w:eastAsia="Calibri" w:cs="Calibri"/>
          <w:sz w:val="16"/>
          <w:szCs w:val="16"/>
        </w:rPr>
        <w:t xml:space="preserve">. </w:t>
      </w:r>
      <w:r>
        <w:rPr>
          <w:rFonts w:ascii="Calibri" w:hAnsi="Calibri" w:eastAsia="Calibri" w:cs="Calibri"/>
          <w:u w:val="single"/>
        </w:rPr>
        <w:t>Whereas the language of sovereignty is profoundly political, that of humanitarian intervention is profoundly apolitical, and sometimes even antipolitical</w:t>
      </w:r>
      <w:r>
        <w:rPr>
          <w:rFonts w:ascii="Calibri" w:hAnsi="Calibri" w:eastAsia="Calibri" w:cs="Calibri"/>
          <w:sz w:val="16"/>
          <w:szCs w:val="16"/>
        </w:rPr>
        <w:t xml:space="preserve">. Looked at closely and critically, what we are witnessing is not a global but a partial transition. </w:t>
      </w:r>
      <w:r>
        <w:rPr>
          <w:rFonts w:ascii="Calibri" w:hAnsi="Calibri" w:eastAsia="Calibri" w:cs="Calibri"/>
          <w:u w:val="single"/>
        </w:rPr>
        <w:t>The transition from the old system of sovereignty to a new humanitarian order is confined to those states defined as “failed” or “rogue” states. The result is once again a bifurcated system, whereby state sovereignty obtains in large parts of the world but is suspended in more and more countries in Africa and the Middle East</w:t>
      </w:r>
      <w:r>
        <w:rPr>
          <w:rFonts w:ascii="Calibri" w:hAnsi="Calibri" w:eastAsia="Calibri" w:cs="Calibri"/>
          <w:sz w:val="16"/>
          <w:szCs w:val="16"/>
        </w:rPr>
        <w:t xml:space="preserve">. </w:t>
      </w:r>
      <w:r>
        <w:rPr>
          <w:rFonts w:ascii="Calibri" w:hAnsi="Calibri" w:eastAsia="Calibri" w:cs="Calibri"/>
          <w:u w:val="single"/>
        </w:rPr>
        <w:t>The Westphalian coin of state sovereignty is still the effective currency in the international</w:t>
      </w:r>
      <w:r>
        <w:rPr>
          <w:rFonts w:ascii="Calibri" w:hAnsi="Calibri" w:eastAsia="Calibri" w:cs="Calibri"/>
          <w:sz w:val="16"/>
          <w:szCs w:val="16"/>
        </w:rPr>
        <w:t xml:space="preserve"> system. It is worth looking at both sides of this coin: sovereignty and citizenship. </w:t>
      </w:r>
      <w:r>
        <w:rPr>
          <w:rFonts w:ascii="Calibri" w:hAnsi="Calibri" w:eastAsia="Calibri" w:cs="Calibri"/>
          <w:u w:val="single"/>
        </w:rPr>
        <w:t>If “sovereignty” remains the password to enter the passageway of international relations, “citizenship” still confers membership in the sovereign national political (state) community. Sovereignty and citizenship are not opposites; they go together</w:t>
      </w:r>
      <w:r>
        <w:rPr>
          <w:rFonts w:ascii="Calibri" w:hAnsi="Calibri" w:eastAsia="Calibri" w:cs="Calibri"/>
          <w:sz w:val="16"/>
          <w:szCs w:val="16"/>
        </w:rPr>
        <w:t>. The state, after all, embodies the key political right of citizens: the right of collective self-determination</w:t>
      </w:r>
      <w:r>
        <w:rPr>
          <w:rFonts w:ascii="Calibri" w:hAnsi="Calibri" w:eastAsia="Calibri" w:cs="Calibri"/>
          <w:u w:val="single"/>
        </w:rPr>
        <w:t>. The international humanitarian order, in contrast, does not acknowledge citizenship. Instead, it turns citizens into wards. The language of humanitarian intervention has cut its ties with the language of citizen rights</w:t>
      </w:r>
      <w:r>
        <w:rPr>
          <w:rFonts w:ascii="Calibri" w:hAnsi="Calibri" w:eastAsia="Calibri" w:cs="Calibri"/>
          <w:sz w:val="16"/>
          <w:szCs w:val="16"/>
        </w:rPr>
        <w:t xml:space="preserve">. </w:t>
      </w:r>
      <w:r>
        <w:rPr>
          <w:rFonts w:ascii="Calibri" w:hAnsi="Calibri" w:eastAsia="Calibri" w:cs="Calibri"/>
          <w:u w:val="single"/>
        </w:rPr>
        <w:t>To the extent the global humanitarian order claims to stand for rights, these are residual rights of the human and not the full range of rights of the citizen. If the rights of the citizen are pointedly political, the rights of the human pertain to sheer survival; they are summed up in one word: protection</w:t>
      </w:r>
      <w:r>
        <w:rPr>
          <w:rFonts w:ascii="Calibri" w:hAnsi="Calibri" w:eastAsia="Calibri" w:cs="Calibri"/>
          <w:sz w:val="16"/>
          <w:szCs w:val="16"/>
        </w:rPr>
        <w:t xml:space="preserve">. </w:t>
      </w:r>
      <w:r>
        <w:rPr>
          <w:rFonts w:ascii="Calibri" w:hAnsi="Calibri" w:eastAsia="Calibri" w:cs="Calibri"/>
          <w:u w:val="single"/>
        </w:rPr>
        <w:t>The new language refers to its subjects not as bearers of rights–and thus active agents in their emancipation–but as passive beneficiaries of an external “responsibility to protect.”</w:t>
      </w:r>
      <w:r>
        <w:rPr>
          <w:rFonts w:ascii="Calibri" w:hAnsi="Calibri" w:eastAsia="Calibri" w:cs="Calibri"/>
          <w:sz w:val="16"/>
          <w:szCs w:val="16"/>
        </w:rPr>
        <w:t xml:space="preserve"> Rather than rights-bearing citizens, beneficiaries of the humanitarian order are akin to recipients of charity. </w:t>
      </w:r>
      <w:r>
        <w:rPr>
          <w:rFonts w:ascii="Calibri" w:hAnsi="Calibri" w:eastAsia="Calibri" w:cs="Calibri"/>
          <w:u w:val="single"/>
        </w:rPr>
        <w:t>Humanitarianism does not claim to reinforce agency, only to sustain bare life. If anything, its tendency is to promote dependence</w:t>
      </w:r>
      <w:r>
        <w:rPr>
          <w:rFonts w:ascii="Calibri" w:hAnsi="Calibri" w:eastAsia="Calibri" w:cs="Calibri"/>
          <w:sz w:val="16"/>
          <w:szCs w:val="16"/>
        </w:rPr>
        <w:t xml:space="preserve">. Humanitarianism heralds a system of trusteeship. </w:t>
      </w:r>
      <w:r>
        <w:rPr>
          <w:rFonts w:ascii="Calibri" w:hAnsi="Calibri" w:eastAsia="Calibri" w:cs="Calibri"/>
          <w:u w:val="single"/>
        </w:rPr>
        <w:t>It takes no great intellectual effort to recognize that the responsibility to protect has always been the sovereign’s obligation</w:t>
      </w:r>
      <w:r>
        <w:rPr>
          <w:rFonts w:ascii="Calibri" w:hAnsi="Calibri" w:eastAsia="Calibri" w:cs="Calibri"/>
          <w:sz w:val="16"/>
          <w:szCs w:val="16"/>
        </w:rPr>
        <w:t xml:space="preserve">. It is not that a new principle has been introduced; rather, its terms have been radically altered. To grasp this shift, we need to ask: who has the responsibility to protect whom, under what conditions and toward what end? </w:t>
      </w:r>
      <w:r>
        <w:rPr>
          <w:rFonts w:ascii="Calibri" w:hAnsi="Calibri" w:eastAsia="Calibri" w:cs="Calibri"/>
          <w:u w:val="single"/>
        </w:rPr>
        <w:t>The era of the international humanitarian order is not entirely new. It draws on the history of modern Western colonialism</w:t>
      </w:r>
      <w:r>
        <w:rPr>
          <w:rFonts w:ascii="Calibri" w:hAnsi="Calibri" w:eastAsia="Calibri" w:cs="Calibri"/>
          <w:sz w:val="16"/>
          <w:szCs w:val="16"/>
        </w:rPr>
        <w:t xml:space="preserve">. At the outset of colonial expansion in the eighteenth and nineteenth centuries, leading Western powers–Britain, France, Russia–claimed to protect “vulnerable groups.” When it came to </w:t>
      </w:r>
      <w:r>
        <w:rPr>
          <w:rFonts w:ascii="Calibri" w:hAnsi="Calibri" w:eastAsia="Calibri" w:cs="Calibri"/>
          <w:sz w:val="16"/>
          <w:szCs w:val="16"/>
        </w:rPr>
        <w:lastRenderedPageBreak/>
        <w:t xml:space="preserve">countries controlled by rival powers, such as the Ottoman Empire, Western powers claimed to protect populations they considered vulnerable, mainly religious minorities like specific Christian denominations and Jews. In lands not yet colonized by any power, like South Asia and large parts of Africa, they highlighted local atrocities–such as female infanticide and suttee in India, and slavery in Africa–and pledged to protect victims from their rulers. </w:t>
      </w:r>
    </w:p>
    <w:p xmlns:wp14="http://schemas.microsoft.com/office/word/2010/wordml" w:rsidR="00507555" w:rsidP="00507555" w:rsidRDefault="00507555" w14:paraId="2DC44586" wp14:textId="77777777">
      <w:pPr>
        <w:rPr>
          <w:rFonts w:ascii="Calibri" w:hAnsi="Calibri" w:eastAsia="Calibri" w:cs="Calibri"/>
          <w:sz w:val="26"/>
          <w:szCs w:val="26"/>
        </w:rPr>
      </w:pPr>
    </w:p>
    <w:p xmlns:wp14="http://schemas.microsoft.com/office/word/2010/wordml" w:rsidR="00507555" w:rsidP="00507555" w:rsidRDefault="00507555" w14:paraId="09C15DC2" wp14:textId="77777777">
      <w:pPr>
        <w:pStyle w:val="Heading3"/>
        <w:rPr>
          <w:rFonts w:eastAsia="Calibri"/>
        </w:rPr>
      </w:pPr>
      <w:r>
        <w:rPr>
          <w:rFonts w:eastAsia="Calibri"/>
        </w:rPr>
        <w:lastRenderedPageBreak/>
        <w:t>I: Border securitization</w:t>
      </w:r>
    </w:p>
    <w:p xmlns:wp14="http://schemas.microsoft.com/office/word/2010/wordml" w:rsidR="00507555" w:rsidP="00507555" w:rsidRDefault="00507555" w14:paraId="1DC53C9B" wp14:textId="77777777">
      <w:pPr>
        <w:pStyle w:val="Heading4"/>
        <w:rPr>
          <w:rFonts w:eastAsia="Calibri"/>
        </w:rPr>
      </w:pPr>
      <w:r>
        <w:rPr>
          <w:rFonts w:eastAsia="Calibri"/>
        </w:rPr>
        <w:t>The aff colludes with interventionist forces of the borders, surveillance and security apparatus. Rather than investing in their conceptions of human rights, you should align yourself with the refusal of citizenship and the border.</w:t>
      </w:r>
    </w:p>
    <w:p xmlns:wp14="http://schemas.microsoft.com/office/word/2010/wordml" w:rsidRPr="007A4C67" w:rsidR="00507555" w:rsidP="00507555" w:rsidRDefault="00507555" w14:paraId="41CB7C06" wp14:textId="77777777">
      <w:pPr>
        <w:rPr>
          <w:rFonts w:ascii="Calibri" w:hAnsi="Calibri" w:eastAsia="Calibri" w:cs="Calibri"/>
          <w:sz w:val="16"/>
        </w:rPr>
      </w:pPr>
      <w:r w:rsidRPr="007A4C67">
        <w:rPr>
          <w:rStyle w:val="Style13ptBold"/>
        </w:rPr>
        <w:t>Corballis 16</w:t>
      </w:r>
      <w:r w:rsidRPr="007A4C67">
        <w:rPr>
          <w:rFonts w:ascii="Calibri" w:hAnsi="Calibri" w:eastAsia="Calibri" w:cs="Calibri"/>
          <w:b/>
          <w:sz w:val="16"/>
          <w:szCs w:val="26"/>
        </w:rPr>
        <w:t xml:space="preserve"> </w:t>
      </w:r>
      <w:r w:rsidRPr="007A4C67">
        <w:rPr>
          <w:rFonts w:ascii="Calibri" w:hAnsi="Calibri" w:eastAsia="Calibri" w:cs="Calibri"/>
          <w:sz w:val="16"/>
        </w:rPr>
        <w:t xml:space="preserve">[Corballis, Tim, a writer and lecturer at Victoria University of Wellington – has big forehead, “Book Review: Agamben and the Politics of Human Rights: Statelessness, Images, Violence” Thesis Eleven 2016, Vol. 135(1), Pp. 152-154]//KI </w:t>
      </w:r>
    </w:p>
    <w:p xmlns:wp14="http://schemas.microsoft.com/office/word/2010/wordml" w:rsidRPr="007A4C67" w:rsidR="00507555" w:rsidP="00507555" w:rsidRDefault="00507555" w14:paraId="5DB75700" wp14:textId="77777777">
      <w:pPr>
        <w:rPr>
          <w:rFonts w:ascii="Calibri" w:hAnsi="Calibri" w:eastAsia="Calibri" w:cs="Calibri"/>
          <w:sz w:val="14"/>
          <w:szCs w:val="16"/>
        </w:rPr>
      </w:pPr>
      <w:r>
        <w:rPr>
          <w:rFonts w:ascii="Calibri" w:hAnsi="Calibri" w:eastAsia="Calibri" w:cs="Calibri"/>
          <w:b/>
          <w:sz w:val="26"/>
          <w:szCs w:val="26"/>
          <w:u w:val="single"/>
        </w:rPr>
        <w:t>Here’s a vision of biopolitics: a bunch of people sitting in a room, deliberating on who outside that room will live and who will die</w:t>
      </w:r>
      <w:r>
        <w:rPr>
          <w:rFonts w:ascii="Calibri" w:hAnsi="Calibri" w:eastAsia="Calibri" w:cs="Calibri"/>
          <w:sz w:val="26"/>
          <w:szCs w:val="26"/>
          <w:u w:val="single"/>
        </w:rPr>
        <w:t>. Now one worry about human rights is that their self-appointed defenders are only too welcome at such a meeting.</w:t>
      </w:r>
      <w:r w:rsidRPr="007A4C67">
        <w:rPr>
          <w:rFonts w:ascii="Calibri" w:hAnsi="Calibri" w:eastAsia="Calibri" w:cs="Calibri"/>
          <w:sz w:val="14"/>
          <w:szCs w:val="16"/>
        </w:rPr>
        <w:t xml:space="preserve"> The NGOs, </w:t>
      </w:r>
      <w:r>
        <w:rPr>
          <w:rFonts w:ascii="Calibri" w:hAnsi="Calibri" w:eastAsia="Calibri" w:cs="Calibri"/>
          <w:sz w:val="26"/>
          <w:szCs w:val="26"/>
          <w:u w:val="single"/>
        </w:rPr>
        <w:t>the human rights</w:t>
      </w:r>
      <w:r w:rsidRPr="007A4C67">
        <w:rPr>
          <w:rFonts w:ascii="Calibri" w:hAnsi="Calibri" w:eastAsia="Calibri" w:cs="Calibri"/>
          <w:sz w:val="14"/>
          <w:szCs w:val="16"/>
        </w:rPr>
        <w:t xml:space="preserve"> lawyers and </w:t>
      </w:r>
      <w:r>
        <w:rPr>
          <w:rFonts w:ascii="Calibri" w:hAnsi="Calibri" w:eastAsia="Calibri" w:cs="Calibri"/>
          <w:sz w:val="26"/>
          <w:szCs w:val="26"/>
          <w:u w:val="single"/>
        </w:rPr>
        <w:t>activists</w:t>
      </w:r>
      <w:r w:rsidRPr="007A4C67">
        <w:rPr>
          <w:rFonts w:ascii="Calibri" w:hAnsi="Calibri" w:eastAsia="Calibri" w:cs="Calibri"/>
          <w:sz w:val="14"/>
          <w:szCs w:val="16"/>
        </w:rPr>
        <w:t xml:space="preserve">, they </w:t>
      </w:r>
      <w:r>
        <w:rPr>
          <w:rFonts w:ascii="Calibri" w:hAnsi="Calibri" w:eastAsia="Calibri" w:cs="Calibri"/>
          <w:sz w:val="26"/>
          <w:szCs w:val="26"/>
          <w:u w:val="single"/>
        </w:rPr>
        <w:t>easily become part of that organizing committee – a part</w:t>
      </w:r>
      <w:r w:rsidRPr="007A4C67">
        <w:rPr>
          <w:rFonts w:ascii="Calibri" w:hAnsi="Calibri" w:eastAsia="Calibri" w:cs="Calibri"/>
          <w:sz w:val="14"/>
          <w:szCs w:val="16"/>
        </w:rPr>
        <w:t>, we might say,</w:t>
      </w:r>
      <w:r>
        <w:rPr>
          <w:rFonts w:ascii="Calibri" w:hAnsi="Calibri" w:eastAsia="Calibri" w:cs="Calibri"/>
          <w:sz w:val="26"/>
          <w:szCs w:val="26"/>
          <w:u w:val="single"/>
        </w:rPr>
        <w:t xml:space="preserve"> with their hearts somewhere near the right place, but a part nonetheless of the work that turns the human race into something to be </w:t>
      </w:r>
      <w:r>
        <w:rPr>
          <w:rFonts w:ascii="Calibri" w:hAnsi="Calibri" w:eastAsia="Calibri" w:cs="Calibri"/>
          <w:b/>
          <w:sz w:val="26"/>
          <w:szCs w:val="26"/>
          <w:u w:val="single"/>
        </w:rPr>
        <w:t>assessed</w:t>
      </w:r>
      <w:r>
        <w:rPr>
          <w:rFonts w:ascii="Times New Roman" w:hAnsi="Times New Roman" w:eastAsia="Times New Roman" w:cs="Times New Roman"/>
          <w:sz w:val="26"/>
          <w:szCs w:val="26"/>
          <w:u w:val="single"/>
        </w:rPr>
        <w:t xml:space="preserve">, </w:t>
      </w:r>
      <w:r>
        <w:rPr>
          <w:rFonts w:ascii="Calibri" w:hAnsi="Calibri" w:eastAsia="Calibri" w:cs="Calibri"/>
          <w:b/>
          <w:sz w:val="26"/>
          <w:szCs w:val="26"/>
          <w:u w:val="single"/>
        </w:rPr>
        <w:t>administered</w:t>
      </w:r>
      <w:r>
        <w:rPr>
          <w:rFonts w:ascii="Calibri" w:hAnsi="Calibri" w:eastAsia="Calibri" w:cs="Calibri"/>
          <w:sz w:val="26"/>
          <w:szCs w:val="26"/>
          <w:u w:val="single"/>
        </w:rPr>
        <w:t xml:space="preserve"> and </w:t>
      </w:r>
      <w:r>
        <w:rPr>
          <w:rFonts w:ascii="Calibri" w:hAnsi="Calibri" w:eastAsia="Calibri" w:cs="Calibri"/>
          <w:b/>
          <w:sz w:val="26"/>
          <w:szCs w:val="26"/>
          <w:u w:val="single"/>
        </w:rPr>
        <w:t>saved (or not</w:t>
      </w:r>
      <w:r>
        <w:rPr>
          <w:rFonts w:ascii="Times New Roman" w:hAnsi="Times New Roman" w:eastAsia="Times New Roman" w:cs="Times New Roman"/>
          <w:sz w:val="26"/>
          <w:szCs w:val="26"/>
          <w:u w:val="single"/>
        </w:rPr>
        <w:t xml:space="preserve">): </w:t>
      </w:r>
      <w:r>
        <w:rPr>
          <w:rFonts w:ascii="Calibri" w:hAnsi="Calibri" w:eastAsia="Calibri" w:cs="Calibri"/>
          <w:b/>
          <w:sz w:val="26"/>
          <w:szCs w:val="26"/>
          <w:u w:val="single"/>
        </w:rPr>
        <w:t>victims</w:t>
      </w:r>
      <w:r>
        <w:rPr>
          <w:rFonts w:ascii="Times New Roman" w:hAnsi="Times New Roman" w:eastAsia="Times New Roman" w:cs="Times New Roman"/>
          <w:sz w:val="26"/>
          <w:szCs w:val="26"/>
          <w:u w:val="single"/>
        </w:rPr>
        <w:t xml:space="preserve">, </w:t>
      </w:r>
      <w:r>
        <w:rPr>
          <w:rFonts w:ascii="Calibri" w:hAnsi="Calibri" w:eastAsia="Calibri" w:cs="Calibri"/>
          <w:b/>
          <w:sz w:val="26"/>
          <w:szCs w:val="26"/>
          <w:u w:val="single"/>
        </w:rPr>
        <w:t>objects</w:t>
      </w:r>
      <w:r>
        <w:rPr>
          <w:rFonts w:ascii="Times New Roman" w:hAnsi="Times New Roman" w:eastAsia="Times New Roman" w:cs="Times New Roman"/>
          <w:sz w:val="26"/>
          <w:szCs w:val="26"/>
          <w:u w:val="single"/>
        </w:rPr>
        <w:t xml:space="preserve">, </w:t>
      </w:r>
      <w:r>
        <w:rPr>
          <w:rFonts w:ascii="Calibri" w:hAnsi="Calibri" w:eastAsia="Calibri" w:cs="Calibri"/>
          <w:b/>
          <w:sz w:val="26"/>
          <w:szCs w:val="26"/>
          <w:u w:val="single"/>
        </w:rPr>
        <w:t>human animals</w:t>
      </w:r>
      <w:r>
        <w:rPr>
          <w:rFonts w:ascii="Times New Roman" w:hAnsi="Times New Roman" w:eastAsia="Times New Roman" w:cs="Times New Roman"/>
          <w:sz w:val="26"/>
          <w:szCs w:val="26"/>
          <w:u w:val="single"/>
        </w:rPr>
        <w:t>, ‘</w:t>
      </w:r>
      <w:r>
        <w:rPr>
          <w:rFonts w:ascii="Calibri" w:hAnsi="Calibri" w:eastAsia="Calibri" w:cs="Calibri"/>
          <w:b/>
          <w:sz w:val="26"/>
          <w:szCs w:val="26"/>
          <w:u w:val="single"/>
        </w:rPr>
        <w:t>bare life’</w:t>
      </w:r>
      <w:r>
        <w:rPr>
          <w:rFonts w:ascii="Calibri" w:hAnsi="Calibri" w:eastAsia="Calibri" w:cs="Calibri"/>
          <w:sz w:val="26"/>
          <w:szCs w:val="26"/>
          <w:u w:val="single"/>
        </w:rPr>
        <w:t xml:space="preserve">. That the flag of human rights is now an indispensable adornment of </w:t>
      </w:r>
      <w:r>
        <w:rPr>
          <w:rFonts w:ascii="Calibri" w:hAnsi="Calibri" w:eastAsia="Calibri" w:cs="Calibri"/>
          <w:b/>
          <w:sz w:val="26"/>
          <w:szCs w:val="26"/>
          <w:u w:val="single"/>
        </w:rPr>
        <w:t>tanks</w:t>
      </w:r>
      <w:r>
        <w:rPr>
          <w:rFonts w:ascii="Times New Roman" w:hAnsi="Times New Roman" w:eastAsia="Times New Roman" w:cs="Times New Roman"/>
          <w:sz w:val="26"/>
          <w:szCs w:val="26"/>
          <w:u w:val="single"/>
        </w:rPr>
        <w:t xml:space="preserve">, </w:t>
      </w:r>
      <w:r>
        <w:rPr>
          <w:rFonts w:ascii="Calibri" w:hAnsi="Calibri" w:eastAsia="Calibri" w:cs="Calibri"/>
          <w:b/>
          <w:sz w:val="26"/>
          <w:szCs w:val="26"/>
          <w:u w:val="single"/>
        </w:rPr>
        <w:t>drones</w:t>
      </w:r>
      <w:r>
        <w:rPr>
          <w:rFonts w:ascii="Calibri" w:hAnsi="Calibri" w:eastAsia="Calibri" w:cs="Calibri"/>
          <w:sz w:val="26"/>
          <w:szCs w:val="26"/>
          <w:u w:val="single"/>
        </w:rPr>
        <w:t xml:space="preserve"> and </w:t>
      </w:r>
      <w:r>
        <w:rPr>
          <w:rFonts w:ascii="Calibri" w:hAnsi="Calibri" w:eastAsia="Calibri" w:cs="Calibri"/>
          <w:b/>
          <w:sz w:val="26"/>
          <w:szCs w:val="26"/>
          <w:u w:val="single"/>
        </w:rPr>
        <w:t>Humvees</w:t>
      </w:r>
      <w:r>
        <w:rPr>
          <w:rFonts w:ascii="Calibri" w:hAnsi="Calibri" w:eastAsia="Calibri" w:cs="Calibri"/>
          <w:sz w:val="26"/>
          <w:szCs w:val="26"/>
          <w:u w:val="single"/>
        </w:rPr>
        <w:t xml:space="preserve"> everywhere leaves rights advocates with an unenviable choice: going along with the ride of </w:t>
      </w:r>
      <w:r>
        <w:rPr>
          <w:rFonts w:ascii="Calibri" w:hAnsi="Calibri" w:eastAsia="Calibri" w:cs="Calibri"/>
          <w:b/>
          <w:sz w:val="26"/>
          <w:szCs w:val="26"/>
          <w:u w:val="single"/>
        </w:rPr>
        <w:t>humanitarian intervention</w:t>
      </w:r>
      <w:r>
        <w:rPr>
          <w:rFonts w:ascii="Calibri" w:hAnsi="Calibri" w:eastAsia="Calibri" w:cs="Calibri"/>
          <w:sz w:val="26"/>
          <w:szCs w:val="26"/>
          <w:u w:val="single"/>
        </w:rPr>
        <w:t xml:space="preserve"> and raising a technicality here and there; or seemingly arguing against themselves, for a different foundation, a different understanding of the rights they defend. </w:t>
      </w:r>
      <w:r>
        <w:rPr>
          <w:rFonts w:ascii="Calibri" w:hAnsi="Calibri" w:eastAsia="Calibri" w:cs="Calibri"/>
          <w:b/>
          <w:sz w:val="26"/>
          <w:szCs w:val="26"/>
          <w:u w:val="single"/>
        </w:rPr>
        <w:t xml:space="preserve">Isn’t it time, </w:t>
      </w:r>
      <w:r w:rsidRPr="007A4C67">
        <w:rPr>
          <w:rFonts w:ascii="Calibri" w:hAnsi="Calibri" w:eastAsia="Calibri" w:cs="Calibri"/>
          <w:sz w:val="14"/>
          <w:szCs w:val="16"/>
        </w:rPr>
        <w:t>then</w:t>
      </w:r>
      <w:r>
        <w:rPr>
          <w:rFonts w:ascii="Calibri" w:hAnsi="Calibri" w:eastAsia="Calibri" w:cs="Calibri"/>
          <w:b/>
          <w:sz w:val="26"/>
          <w:szCs w:val="26"/>
          <w:u w:val="single"/>
        </w:rPr>
        <w:t>, to leave their company altogether</w:t>
      </w:r>
      <w:r>
        <w:rPr>
          <w:rFonts w:ascii="Calibri" w:hAnsi="Calibri" w:eastAsia="Calibri" w:cs="Calibri"/>
          <w:sz w:val="26"/>
          <w:szCs w:val="26"/>
          <w:u w:val="single"/>
        </w:rPr>
        <w:t xml:space="preserve"> – to take our distance from the whole dreary crowd?</w:t>
      </w:r>
      <w:r w:rsidRPr="007A4C67">
        <w:rPr>
          <w:rFonts w:ascii="Calibri" w:hAnsi="Calibri" w:eastAsia="Calibri" w:cs="Calibri"/>
          <w:sz w:val="14"/>
          <w:szCs w:val="16"/>
        </w:rPr>
        <w:t xml:space="preserve"> John Lechte and Saul Newman want to do just that, but they would smuggle the term, at least, out with them. </w:t>
      </w:r>
      <w:r>
        <w:rPr>
          <w:rFonts w:ascii="Calibri" w:hAnsi="Calibri" w:eastAsia="Calibri" w:cs="Calibri"/>
          <w:sz w:val="26"/>
          <w:szCs w:val="26"/>
          <w:u w:val="single"/>
        </w:rPr>
        <w:t xml:space="preserve">There is an account of human rights worth defending, they argue, but </w:t>
      </w:r>
      <w:r>
        <w:rPr>
          <w:rFonts w:ascii="Calibri" w:hAnsi="Calibri" w:eastAsia="Calibri" w:cs="Calibri"/>
          <w:b/>
          <w:sz w:val="26"/>
          <w:szCs w:val="26"/>
          <w:u w:val="single"/>
        </w:rPr>
        <w:t>one that situates itself far from the meetings</w:t>
      </w:r>
      <w:r w:rsidRPr="007A4C67">
        <w:rPr>
          <w:rFonts w:ascii="Calibri" w:hAnsi="Calibri" w:eastAsia="Calibri" w:cs="Calibri"/>
          <w:sz w:val="14"/>
          <w:szCs w:val="16"/>
        </w:rPr>
        <w:t xml:space="preserve">. They find clues to it hidden in the work of Giorgio Agamben – a surprising place, one might think, given Agamben’s </w:t>
      </w:r>
      <w:r>
        <w:rPr>
          <w:rFonts w:ascii="Calibri" w:hAnsi="Calibri" w:eastAsia="Calibri" w:cs="Calibri"/>
          <w:sz w:val="26"/>
          <w:szCs w:val="26"/>
          <w:u w:val="single"/>
        </w:rPr>
        <w:t>division of the world into a sovereign power permanently enacting its foundational state of exception and a bare life engaged in mere animal survival</w:t>
      </w:r>
      <w:r w:rsidRPr="007A4C67">
        <w:rPr>
          <w:rFonts w:ascii="Calibri" w:hAnsi="Calibri" w:eastAsia="Calibri" w:cs="Calibri"/>
          <w:sz w:val="14"/>
          <w:szCs w:val="16"/>
        </w:rPr>
        <w:t xml:space="preserve">. Indeed, they note the simi- larities between Agamben and Arendt, who argued that </w:t>
      </w:r>
      <w:r>
        <w:rPr>
          <w:rFonts w:ascii="Calibri" w:hAnsi="Calibri" w:eastAsia="Calibri" w:cs="Calibri"/>
          <w:sz w:val="26"/>
          <w:szCs w:val="26"/>
          <w:u w:val="single"/>
        </w:rPr>
        <w:t xml:space="preserve">human rights could only be guaranteed by the nation-state – that </w:t>
      </w:r>
      <w:r>
        <w:rPr>
          <w:rFonts w:ascii="Calibri" w:hAnsi="Calibri" w:eastAsia="Calibri" w:cs="Calibri"/>
          <w:b/>
          <w:sz w:val="26"/>
          <w:szCs w:val="26"/>
          <w:u w:val="single"/>
        </w:rPr>
        <w:t>human rights were the rights of citizens</w:t>
      </w:r>
      <w:r>
        <w:rPr>
          <w:rFonts w:ascii="Calibri" w:hAnsi="Calibri" w:eastAsia="Calibri" w:cs="Calibri"/>
          <w:sz w:val="26"/>
          <w:szCs w:val="26"/>
          <w:u w:val="single"/>
        </w:rPr>
        <w:t xml:space="preserve">. The sta- teless, </w:t>
      </w:r>
      <w:r w:rsidRPr="007A4C67">
        <w:rPr>
          <w:rFonts w:ascii="Calibri" w:hAnsi="Calibri" w:eastAsia="Calibri" w:cs="Calibri"/>
          <w:sz w:val="14"/>
          <w:szCs w:val="16"/>
        </w:rPr>
        <w:t>then</w:t>
      </w:r>
      <w:r>
        <w:rPr>
          <w:rFonts w:ascii="Calibri" w:hAnsi="Calibri" w:eastAsia="Calibri" w:cs="Calibri"/>
          <w:sz w:val="26"/>
          <w:szCs w:val="26"/>
          <w:u w:val="single"/>
        </w:rPr>
        <w:t>, have no rights. They are part of no political community, have no political life and no freedoms – which is to say, no voice and no forum in which to raise it. Freedom</w:t>
      </w:r>
      <w:r w:rsidRPr="007A4C67">
        <w:rPr>
          <w:rFonts w:ascii="Calibri" w:hAnsi="Calibri" w:eastAsia="Calibri" w:cs="Calibri"/>
          <w:sz w:val="14"/>
          <w:szCs w:val="16"/>
        </w:rPr>
        <w:t xml:space="preserve">, then, </w:t>
      </w:r>
      <w:r>
        <w:rPr>
          <w:rFonts w:ascii="Calibri" w:hAnsi="Calibri" w:eastAsia="Calibri" w:cs="Calibri"/>
          <w:sz w:val="26"/>
          <w:szCs w:val="26"/>
          <w:u w:val="single"/>
        </w:rPr>
        <w:t>for those on the inside, and necessity – struggle for survival – for the excluded.</w:t>
      </w:r>
      <w:r w:rsidRPr="007A4C67">
        <w:rPr>
          <w:rFonts w:ascii="Times New Roman" w:hAnsi="Times New Roman" w:eastAsia="Times New Roman" w:cs="Times New Roman"/>
          <w:sz w:val="14"/>
          <w:szCs w:val="16"/>
        </w:rPr>
        <w:t xml:space="preserve"> </w:t>
      </w:r>
      <w:r>
        <w:rPr>
          <w:rFonts w:ascii="Calibri" w:hAnsi="Calibri" w:eastAsia="Calibri" w:cs="Calibri"/>
          <w:sz w:val="26"/>
          <w:szCs w:val="26"/>
          <w:u w:val="single"/>
        </w:rPr>
        <w:t>Freedom</w:t>
      </w:r>
      <w:r w:rsidRPr="007A4C67">
        <w:rPr>
          <w:rFonts w:ascii="Calibri" w:hAnsi="Calibri" w:eastAsia="Calibri" w:cs="Calibri"/>
          <w:sz w:val="14"/>
          <w:szCs w:val="16"/>
        </w:rPr>
        <w:t xml:space="preserve">, however, </w:t>
      </w:r>
      <w:r>
        <w:rPr>
          <w:rFonts w:ascii="Calibri" w:hAnsi="Calibri" w:eastAsia="Calibri" w:cs="Calibri"/>
          <w:sz w:val="26"/>
          <w:szCs w:val="26"/>
          <w:u w:val="single"/>
        </w:rPr>
        <w:t xml:space="preserve">is caught up in its own Hobbsean negotiations. It is a </w:t>
      </w:r>
      <w:r>
        <w:rPr>
          <w:rFonts w:ascii="Calibri" w:hAnsi="Calibri" w:eastAsia="Calibri" w:cs="Calibri"/>
          <w:b/>
          <w:sz w:val="26"/>
          <w:szCs w:val="26"/>
          <w:u w:val="single"/>
        </w:rPr>
        <w:t>negative freedom</w:t>
      </w:r>
      <w:r>
        <w:rPr>
          <w:rFonts w:ascii="Calibri" w:hAnsi="Calibri" w:eastAsia="Calibri" w:cs="Calibri"/>
          <w:sz w:val="26"/>
          <w:szCs w:val="26"/>
          <w:u w:val="single"/>
        </w:rPr>
        <w:t xml:space="preserve">, freedom from struggle, and comes already freighted with its need for </w:t>
      </w:r>
      <w:r>
        <w:rPr>
          <w:rFonts w:ascii="Calibri" w:hAnsi="Calibri" w:eastAsia="Calibri" w:cs="Calibri"/>
          <w:b/>
          <w:sz w:val="26"/>
          <w:szCs w:val="26"/>
          <w:u w:val="single"/>
        </w:rPr>
        <w:t>security</w:t>
      </w:r>
      <w:r>
        <w:rPr>
          <w:rFonts w:ascii="Calibri" w:hAnsi="Calibri" w:eastAsia="Calibri" w:cs="Calibri"/>
          <w:sz w:val="26"/>
          <w:szCs w:val="26"/>
          <w:u w:val="single"/>
        </w:rPr>
        <w:t xml:space="preserve">, with </w:t>
      </w:r>
      <w:r>
        <w:rPr>
          <w:rFonts w:ascii="Calibri" w:hAnsi="Calibri" w:eastAsia="Calibri" w:cs="Calibri"/>
          <w:b/>
          <w:sz w:val="26"/>
          <w:szCs w:val="26"/>
          <w:u w:val="single"/>
        </w:rPr>
        <w:t>surveillance</w:t>
      </w:r>
      <w:r>
        <w:rPr>
          <w:rFonts w:ascii="Calibri" w:hAnsi="Calibri" w:eastAsia="Calibri" w:cs="Calibri"/>
          <w:sz w:val="26"/>
          <w:szCs w:val="26"/>
          <w:u w:val="single"/>
        </w:rPr>
        <w:t xml:space="preserve"> and </w:t>
      </w:r>
      <w:r>
        <w:rPr>
          <w:rFonts w:ascii="Calibri" w:hAnsi="Calibri" w:eastAsia="Calibri" w:cs="Calibri"/>
          <w:b/>
          <w:sz w:val="26"/>
          <w:szCs w:val="26"/>
          <w:u w:val="single"/>
        </w:rPr>
        <w:t>borders</w:t>
      </w:r>
      <w:r>
        <w:rPr>
          <w:rFonts w:ascii="Calibri" w:hAnsi="Calibri" w:eastAsia="Calibri" w:cs="Calibri"/>
          <w:sz w:val="26"/>
          <w:szCs w:val="26"/>
          <w:u w:val="single"/>
        </w:rPr>
        <w:t xml:space="preserve"> and the </w:t>
      </w:r>
      <w:r>
        <w:rPr>
          <w:rFonts w:ascii="Calibri" w:hAnsi="Calibri" w:eastAsia="Calibri" w:cs="Calibri"/>
          <w:b/>
          <w:sz w:val="26"/>
          <w:szCs w:val="26"/>
          <w:u w:val="single"/>
        </w:rPr>
        <w:t>executive actions</w:t>
      </w:r>
      <w:r>
        <w:rPr>
          <w:rFonts w:ascii="Calibri" w:hAnsi="Calibri" w:eastAsia="Calibri" w:cs="Calibri"/>
          <w:sz w:val="26"/>
          <w:szCs w:val="26"/>
          <w:u w:val="single"/>
        </w:rPr>
        <w:t xml:space="preserve"> required to secure them</w:t>
      </w:r>
      <w:r w:rsidRPr="007A4C67">
        <w:rPr>
          <w:rFonts w:ascii="Calibri" w:hAnsi="Calibri" w:eastAsia="Calibri" w:cs="Calibri"/>
          <w:sz w:val="14"/>
          <w:szCs w:val="16"/>
        </w:rPr>
        <w:t xml:space="preserve">. Lechte and Newman’s way out of this is to locate those passages in Agamben that suggest a transformation of this descriptive schema into a critical one, one that deplores the situation and hints at an alternative. </w:t>
      </w:r>
      <w:r>
        <w:rPr>
          <w:rFonts w:ascii="Calibri" w:hAnsi="Calibri" w:eastAsia="Calibri" w:cs="Calibri"/>
          <w:b/>
          <w:sz w:val="26"/>
          <w:szCs w:val="26"/>
          <w:u w:val="single"/>
        </w:rPr>
        <w:t>Leaving behind the political freedom of the citizen</w:t>
      </w:r>
      <w:r>
        <w:rPr>
          <w:rFonts w:ascii="Calibri" w:hAnsi="Calibri" w:eastAsia="Calibri" w:cs="Calibri"/>
          <w:sz w:val="26"/>
          <w:szCs w:val="26"/>
          <w:u w:val="single"/>
        </w:rPr>
        <w:t xml:space="preserve">, we are to be sure landed in the dead end of statelessness – but Lechte and Newman’s aim is instead to </w:t>
      </w:r>
      <w:r>
        <w:rPr>
          <w:rFonts w:ascii="Calibri" w:hAnsi="Calibri" w:eastAsia="Calibri" w:cs="Calibri"/>
          <w:b/>
          <w:sz w:val="26"/>
          <w:szCs w:val="26"/>
          <w:u w:val="single"/>
        </w:rPr>
        <w:t>leave behind the whole structure and the distinction between freedom and necessity that supports it</w:t>
      </w:r>
      <w:r>
        <w:rPr>
          <w:rFonts w:ascii="Calibri" w:hAnsi="Calibri" w:eastAsia="Calibri" w:cs="Calibri"/>
          <w:sz w:val="26"/>
          <w:szCs w:val="26"/>
          <w:u w:val="single"/>
        </w:rPr>
        <w:t>. It didn’t</w:t>
      </w:r>
      <w:r w:rsidRPr="007A4C67">
        <w:rPr>
          <w:rFonts w:ascii="Calibri" w:hAnsi="Calibri" w:eastAsia="Calibri" w:cs="Calibri"/>
          <w:sz w:val="14"/>
          <w:szCs w:val="16"/>
        </w:rPr>
        <w:t xml:space="preserve">, after all, </w:t>
      </w:r>
      <w:r>
        <w:rPr>
          <w:rFonts w:ascii="Calibri" w:hAnsi="Calibri" w:eastAsia="Calibri" w:cs="Calibri"/>
          <w:sz w:val="26"/>
          <w:szCs w:val="26"/>
          <w:u w:val="single"/>
        </w:rPr>
        <w:t xml:space="preserve">seem like much of a freedom anyway, entangled as it was in walls, fences and </w:t>
      </w:r>
      <w:r>
        <w:rPr>
          <w:rFonts w:ascii="Calibri" w:hAnsi="Calibri" w:eastAsia="Calibri" w:cs="Calibri"/>
          <w:sz w:val="26"/>
          <w:szCs w:val="26"/>
          <w:u w:val="single"/>
        </w:rPr>
        <w:lastRenderedPageBreak/>
        <w:t>security cameras. Turning to the out- sider, the stateless, the refugee, is to notice something: that they are not animals and not bare life at all. All (human) life, stateless or not, already lives within its form of life.</w:t>
      </w:r>
      <w:r w:rsidRPr="007A4C67">
        <w:rPr>
          <w:rFonts w:ascii="Calibri" w:hAnsi="Calibri" w:eastAsia="Calibri" w:cs="Calibri"/>
          <w:sz w:val="14"/>
          <w:szCs w:val="16"/>
        </w:rPr>
        <w:t xml:space="preserve"> That is to say, </w:t>
      </w:r>
      <w:r>
        <w:rPr>
          <w:rFonts w:ascii="Calibri" w:hAnsi="Calibri" w:eastAsia="Calibri" w:cs="Calibri"/>
          <w:sz w:val="26"/>
          <w:szCs w:val="26"/>
          <w:u w:val="single"/>
        </w:rPr>
        <w:t>it lives through speech and the ability to withhold speech; it lives through its celebration and its refusal of work and identity; it lives through everything,</w:t>
      </w:r>
      <w:r w:rsidRPr="007A4C67">
        <w:rPr>
          <w:rFonts w:ascii="Calibri" w:hAnsi="Calibri" w:eastAsia="Calibri" w:cs="Calibri"/>
          <w:sz w:val="14"/>
          <w:szCs w:val="16"/>
        </w:rPr>
        <w:t xml:space="preserve"> we might say, </w:t>
      </w:r>
      <w:r>
        <w:rPr>
          <w:rFonts w:ascii="Calibri" w:hAnsi="Calibri" w:eastAsia="Calibri" w:cs="Calibri"/>
          <w:sz w:val="26"/>
          <w:szCs w:val="26"/>
          <w:u w:val="single"/>
        </w:rPr>
        <w:t xml:space="preserve">that is not forced on it by biopolitical administration. </w:t>
      </w:r>
      <w:r>
        <w:rPr>
          <w:rFonts w:ascii="Calibri" w:hAnsi="Calibri" w:eastAsia="Calibri" w:cs="Calibri"/>
          <w:b/>
          <w:sz w:val="26"/>
          <w:szCs w:val="26"/>
          <w:u w:val="single"/>
        </w:rPr>
        <w:t>Bare life was only ever an invention of the sovereign</w:t>
      </w:r>
      <w:r w:rsidRPr="007A4C67">
        <w:rPr>
          <w:rFonts w:ascii="Calibri" w:hAnsi="Calibri" w:eastAsia="Calibri" w:cs="Calibri"/>
          <w:sz w:val="14"/>
          <w:szCs w:val="16"/>
        </w:rPr>
        <w:t xml:space="preserve">, then; </w:t>
      </w:r>
      <w:r>
        <w:rPr>
          <w:rFonts w:ascii="Calibri" w:hAnsi="Calibri" w:eastAsia="Calibri" w:cs="Calibri"/>
          <w:sz w:val="26"/>
          <w:szCs w:val="26"/>
          <w:u w:val="single"/>
        </w:rPr>
        <w:t>as was</w:t>
      </w:r>
      <w:r w:rsidRPr="007A4C67">
        <w:rPr>
          <w:rFonts w:ascii="Calibri" w:hAnsi="Calibri" w:eastAsia="Calibri" w:cs="Calibri"/>
          <w:sz w:val="14"/>
          <w:szCs w:val="16"/>
        </w:rPr>
        <w:t xml:space="preserve">, relatedly, </w:t>
      </w:r>
      <w:r>
        <w:rPr>
          <w:rFonts w:ascii="Calibri" w:hAnsi="Calibri" w:eastAsia="Calibri" w:cs="Calibri"/>
          <w:sz w:val="26"/>
          <w:szCs w:val="26"/>
          <w:u w:val="single"/>
        </w:rPr>
        <w:t>the hierarchy of needs to be satisfied before freedom could be attained.</w:t>
      </w:r>
      <w:r w:rsidRPr="007A4C67">
        <w:rPr>
          <w:rFonts w:ascii="Times New Roman" w:hAnsi="Times New Roman" w:eastAsia="Times New Roman" w:cs="Times New Roman"/>
          <w:sz w:val="14"/>
          <w:szCs w:val="16"/>
        </w:rPr>
        <w:t xml:space="preserve"> </w:t>
      </w:r>
      <w:r>
        <w:rPr>
          <w:rFonts w:ascii="Calibri" w:hAnsi="Calibri" w:eastAsia="Calibri" w:cs="Calibri"/>
          <w:sz w:val="26"/>
          <w:szCs w:val="26"/>
          <w:u w:val="single"/>
        </w:rPr>
        <w:t>The human who is discovered is an ontologically grounded one, a human always already in the midst of a form of life</w:t>
      </w:r>
      <w:r w:rsidRPr="007A4C67">
        <w:rPr>
          <w:rFonts w:ascii="Calibri" w:hAnsi="Calibri" w:eastAsia="Calibri" w:cs="Calibri"/>
          <w:sz w:val="14"/>
          <w:szCs w:val="16"/>
        </w:rPr>
        <w:t xml:space="preserve">. Indeed, Lechte and Newman insist from the start on </w:t>
      </w:r>
      <w:r>
        <w:rPr>
          <w:rFonts w:ascii="Calibri" w:hAnsi="Calibri" w:eastAsia="Calibri" w:cs="Calibri"/>
          <w:sz w:val="26"/>
          <w:szCs w:val="26"/>
          <w:u w:val="single"/>
        </w:rPr>
        <w:t xml:space="preserve">the need for an ontology of the human, </w:t>
      </w:r>
      <w:r>
        <w:rPr>
          <w:rFonts w:ascii="Calibri" w:hAnsi="Calibri" w:eastAsia="Calibri" w:cs="Calibri"/>
          <w:b/>
          <w:sz w:val="26"/>
          <w:szCs w:val="26"/>
          <w:u w:val="single"/>
        </w:rPr>
        <w:t>a foundation that lies before and outside any reduction to sovereign subject or bare life</w:t>
      </w:r>
      <w:r>
        <w:rPr>
          <w:rFonts w:ascii="Calibri" w:hAnsi="Calibri" w:eastAsia="Calibri" w:cs="Calibri"/>
          <w:sz w:val="26"/>
          <w:szCs w:val="26"/>
          <w:u w:val="single"/>
        </w:rPr>
        <w:t>. Such a foundation serves to remove the claim to human rights from the historically-specific, state-bound laws and declarations, each with its own exception clause, in which they might otherwise be mired.</w:t>
      </w:r>
      <w:r w:rsidRPr="007A4C67">
        <w:rPr>
          <w:rFonts w:ascii="Calibri" w:hAnsi="Calibri" w:eastAsia="Calibri" w:cs="Calibri"/>
          <w:sz w:val="14"/>
          <w:szCs w:val="16"/>
        </w:rPr>
        <w:t xml:space="preserve"> Needless to say, then, </w:t>
      </w:r>
      <w:r>
        <w:rPr>
          <w:rFonts w:ascii="Calibri" w:hAnsi="Calibri" w:eastAsia="Calibri" w:cs="Calibri"/>
          <w:b/>
          <w:sz w:val="26"/>
          <w:szCs w:val="26"/>
          <w:u w:val="single"/>
        </w:rPr>
        <w:t>the journey outwards from the sovereign state to meet this non-animalistic human is no empirical one but a theoretical trek</w:t>
      </w:r>
      <w:r w:rsidRPr="007A4C67">
        <w:rPr>
          <w:rFonts w:ascii="Calibri" w:hAnsi="Calibri" w:eastAsia="Calibri" w:cs="Calibri"/>
          <w:sz w:val="14"/>
          <w:szCs w:val="16"/>
        </w:rPr>
        <w:t xml:space="preserve">, not only through Agamben but also through a range of others including Foucault, Heidegger, Benjamin, Bataille, Levinas and their various critics and interlocutors.  Lechte and Newman argue for </w:t>
      </w:r>
      <w:r>
        <w:rPr>
          <w:rFonts w:ascii="Calibri" w:hAnsi="Calibri" w:eastAsia="Calibri" w:cs="Calibri"/>
          <w:b/>
          <w:sz w:val="26"/>
          <w:szCs w:val="26"/>
          <w:u w:val="single"/>
        </w:rPr>
        <w:t>a radical opening of borders</w:t>
      </w:r>
      <w:r>
        <w:rPr>
          <w:rFonts w:ascii="Calibri" w:hAnsi="Calibri" w:eastAsia="Calibri" w:cs="Calibri"/>
          <w:sz w:val="26"/>
          <w:szCs w:val="26"/>
          <w:u w:val="single"/>
        </w:rPr>
        <w:t xml:space="preserve"> – not just allowing the stateless in, but eradicating the difference on which the state is founded in the first place. It is an argument for a freedom that requires no sovereign to defend it</w:t>
      </w:r>
      <w:r w:rsidRPr="007A4C67">
        <w:rPr>
          <w:rFonts w:ascii="Calibri" w:hAnsi="Calibri" w:eastAsia="Calibri" w:cs="Calibri"/>
          <w:sz w:val="14"/>
          <w:szCs w:val="16"/>
        </w:rPr>
        <w:t xml:space="preserve">. It extends into a Battaillean economic argument too, in which </w:t>
      </w:r>
      <w:r>
        <w:rPr>
          <w:rFonts w:ascii="Calibri" w:hAnsi="Calibri" w:eastAsia="Calibri" w:cs="Calibri"/>
          <w:sz w:val="26"/>
          <w:szCs w:val="26"/>
          <w:u w:val="single"/>
        </w:rPr>
        <w:t xml:space="preserve">labour, understood as activity oriented towards producing surplus, is already on the side of capital. The rejection of labour is related to Agamben’s notion of inoperativeness – not just a refusal of work in favour of idleness, but </w:t>
      </w:r>
      <w:r>
        <w:rPr>
          <w:rFonts w:ascii="Calibri" w:hAnsi="Calibri" w:eastAsia="Calibri" w:cs="Calibri"/>
          <w:b/>
          <w:sz w:val="26"/>
          <w:szCs w:val="26"/>
          <w:u w:val="single"/>
        </w:rPr>
        <w:t>a refusal of that boundary between work and life</w:t>
      </w:r>
      <w:r>
        <w:rPr>
          <w:rFonts w:ascii="Calibri" w:hAnsi="Calibri" w:eastAsia="Calibri" w:cs="Calibri"/>
          <w:sz w:val="26"/>
          <w:szCs w:val="26"/>
          <w:u w:val="single"/>
        </w:rPr>
        <w:t xml:space="preserve"> in which work always sets aside a little extra for enjoyment</w:t>
      </w:r>
      <w:r w:rsidRPr="007A4C67">
        <w:rPr>
          <w:rFonts w:ascii="Calibri" w:hAnsi="Calibri" w:eastAsia="Calibri" w:cs="Calibri"/>
          <w:sz w:val="14"/>
          <w:szCs w:val="16"/>
        </w:rPr>
        <w:t xml:space="preserve"> later (or by someone else). </w:t>
      </w:r>
      <w:r>
        <w:rPr>
          <w:rFonts w:ascii="Calibri" w:hAnsi="Calibri" w:eastAsia="Calibri" w:cs="Calibri"/>
          <w:sz w:val="26"/>
          <w:szCs w:val="26"/>
          <w:u w:val="single"/>
        </w:rPr>
        <w:t xml:space="preserve">In its anti-statism and its </w:t>
      </w:r>
      <w:r>
        <w:rPr>
          <w:rFonts w:ascii="Calibri" w:hAnsi="Calibri" w:eastAsia="Calibri" w:cs="Calibri"/>
          <w:b/>
          <w:sz w:val="26"/>
          <w:szCs w:val="26"/>
          <w:u w:val="single"/>
        </w:rPr>
        <w:t>refusal of structures and identities</w:t>
      </w:r>
      <w:r>
        <w:rPr>
          <w:rFonts w:ascii="Calibri" w:hAnsi="Calibri" w:eastAsia="Calibri" w:cs="Calibri"/>
          <w:sz w:val="26"/>
          <w:szCs w:val="26"/>
          <w:u w:val="single"/>
        </w:rPr>
        <w:t>, it also has its explicit affinities with political anar- chism.</w:t>
      </w:r>
      <w:r w:rsidRPr="007A4C67">
        <w:rPr>
          <w:rFonts w:ascii="Calibri" w:hAnsi="Calibri" w:eastAsia="Calibri" w:cs="Calibri"/>
          <w:sz w:val="14"/>
          <w:szCs w:val="16"/>
        </w:rPr>
        <w:t xml:space="preserve"> Indeed, one way to see the collaboration between Lechte and Newman is as part of theory’s broad contemporary rediscovery of anarchist writings, and of its own points of affinity with them (something Newman has written about in his previous work). This dense, well-argued if uneven book presents </w:t>
      </w:r>
      <w:r>
        <w:rPr>
          <w:rFonts w:ascii="Calibri" w:hAnsi="Calibri" w:eastAsia="Calibri" w:cs="Calibri"/>
          <w:sz w:val="26"/>
          <w:szCs w:val="26"/>
          <w:u w:val="single"/>
        </w:rPr>
        <w:t xml:space="preserve">a version of politics that is inde- terminate between noticing the life already there and opposing what suppresses that life. This is no doubt one of the features of political theory when faced with embedded injustice: hopes seem to attach to a kind of theoretical talking cure, </w:t>
      </w:r>
      <w:r>
        <w:rPr>
          <w:rFonts w:ascii="Calibri" w:hAnsi="Calibri" w:eastAsia="Calibri" w:cs="Calibri"/>
          <w:b/>
          <w:sz w:val="26"/>
          <w:szCs w:val="26"/>
          <w:u w:val="single"/>
        </w:rPr>
        <w:t>one that might spirit sovereignty away by pointing out its unreality</w:t>
      </w:r>
      <w:r>
        <w:rPr>
          <w:rFonts w:ascii="Calibri" w:hAnsi="Calibri" w:eastAsia="Calibri" w:cs="Calibri"/>
          <w:sz w:val="26"/>
          <w:szCs w:val="26"/>
          <w:u w:val="single"/>
        </w:rPr>
        <w:t xml:space="preserve">. It is also the breathless result of the very ontological insistence that drives their project: the human lives on! </w:t>
      </w:r>
      <w:r>
        <w:rPr>
          <w:rFonts w:ascii="Calibri" w:hAnsi="Calibri" w:eastAsia="Calibri" w:cs="Calibri"/>
          <w:b/>
          <w:sz w:val="26"/>
          <w:szCs w:val="26"/>
          <w:u w:val="single"/>
        </w:rPr>
        <w:t>The sovereign already fails</w:t>
      </w:r>
      <w:r>
        <w:rPr>
          <w:rFonts w:ascii="Calibri" w:hAnsi="Calibri" w:eastAsia="Calibri" w:cs="Calibri"/>
          <w:sz w:val="26"/>
          <w:szCs w:val="26"/>
          <w:u w:val="single"/>
        </w:rPr>
        <w:t>, just under the fragile surface of its success</w:t>
      </w:r>
      <w:r w:rsidRPr="007A4C67">
        <w:rPr>
          <w:rFonts w:ascii="Calibri" w:hAnsi="Calibri" w:eastAsia="Calibri" w:cs="Calibri"/>
          <w:sz w:val="14"/>
          <w:szCs w:val="16"/>
        </w:rPr>
        <w:t xml:space="preserve">! It is this that divides their thought from Rancie`re’s, which it otherwise resembles very closely, right down to the aesthetic possibility of the appearance of forms of life. Rancie`re – who should have been more present in the book than he is – is as anti-statist, as allergic to structures and identities, but he is also allergic to ontological guarantees. The result is a greater pes- simism, I think, but also a sense, a realistic one perhaps, that politics has to build not on ontology but on the accidental, even rhetorical resources given to us historically. </w:t>
      </w:r>
    </w:p>
    <w:p xmlns:wp14="http://schemas.microsoft.com/office/word/2010/wordml" w:rsidR="00507555" w:rsidP="00507555" w:rsidRDefault="00507555" w14:paraId="4FFCBC07" wp14:textId="77777777">
      <w:pPr>
        <w:rPr>
          <w:rFonts w:ascii="Calibri" w:hAnsi="Calibri" w:eastAsia="Calibri" w:cs="Calibri"/>
          <w:sz w:val="26"/>
          <w:szCs w:val="26"/>
        </w:rPr>
      </w:pPr>
    </w:p>
    <w:p xmlns:wp14="http://schemas.microsoft.com/office/word/2010/wordml" w:rsidR="00507555" w:rsidP="00507555" w:rsidRDefault="00507555" w14:paraId="55151243" wp14:textId="77777777">
      <w:pPr>
        <w:pStyle w:val="Heading3"/>
        <w:rPr>
          <w:rFonts w:eastAsia="Calibri"/>
        </w:rPr>
      </w:pPr>
      <w:r>
        <w:rPr>
          <w:rFonts w:eastAsia="Calibri"/>
        </w:rPr>
        <w:lastRenderedPageBreak/>
        <w:t>I: State overcoding</w:t>
      </w:r>
    </w:p>
    <w:p xmlns:wp14="http://schemas.microsoft.com/office/word/2010/wordml" w:rsidR="00507555" w:rsidP="00507555" w:rsidRDefault="00507555" w14:paraId="26A5FB6C" wp14:textId="77777777">
      <w:pPr>
        <w:pStyle w:val="Heading4"/>
        <w:rPr>
          <w:rFonts w:eastAsia="Calibri"/>
        </w:rPr>
      </w:pPr>
      <w:r>
        <w:rPr>
          <w:rFonts w:eastAsia="Calibri"/>
        </w:rPr>
        <w:t>The extension of rights across a population is a process of state overcoding that primarily serves the ends of power, not rights-seeking individuals.</w:t>
      </w:r>
    </w:p>
    <w:p xmlns:wp14="http://schemas.microsoft.com/office/word/2010/wordml" w:rsidRPr="00BB1CF1" w:rsidR="00507555" w:rsidP="00507555" w:rsidRDefault="00507555" w14:paraId="2A4FDBAA" wp14:textId="77777777">
      <w:pPr>
        <w:rPr>
          <w:sz w:val="16"/>
          <w:szCs w:val="20"/>
        </w:rPr>
      </w:pPr>
      <w:r w:rsidRPr="00323682">
        <w:rPr>
          <w:rStyle w:val="Style13ptBold"/>
        </w:rPr>
        <w:t>Eloff 16</w:t>
      </w:r>
      <w:r w:rsidRPr="00BB1CF1">
        <w:rPr>
          <w:sz w:val="16"/>
          <w:szCs w:val="20"/>
        </w:rPr>
        <w:t xml:space="preserve"> [</w:t>
      </w:r>
      <w:r w:rsidRPr="00BB1CF1">
        <w:rPr>
          <w:sz w:val="16"/>
          <w:szCs w:val="20"/>
          <w:highlight w:val="white"/>
        </w:rPr>
        <w:t xml:space="preserve">Aragorn Eloff is an anarchist, animal liberation advocate and independent researcher with a long-standing interest in radical politics and grassroots struggle. He is a member of the bolo'bolo anarchist publishing collective, a co-founder of the Institute for Critical Animal Studies in Africa, a coordinator of the annual Deleuze and Guattari in Africa conference and a collective member of the Edge of Wrong, an experimental music/cultural exchange program between Norway and South Africa, </w:t>
      </w:r>
      <w:r w:rsidRPr="00BB1CF1">
        <w:rPr>
          <w:sz w:val="16"/>
          <w:szCs w:val="20"/>
        </w:rPr>
        <w:t xml:space="preserve">10-4-2016, "The very idea of rights: a critique of human rights discourse," Medium, </w:t>
      </w:r>
      <w:hyperlink r:id="rId155">
        <w:r w:rsidRPr="00BB1CF1">
          <w:rPr>
            <w:color w:val="1155CC"/>
            <w:sz w:val="16"/>
            <w:szCs w:val="20"/>
          </w:rPr>
          <w:t>https://medium.com/@aragorneloff/the-very-idea-of-rights-a-critique-of-human-rights-discourse-84706f002c85 //</w:t>
        </w:r>
      </w:hyperlink>
      <w:r w:rsidRPr="00BB1CF1">
        <w:rPr>
          <w:sz w:val="16"/>
          <w:szCs w:val="20"/>
        </w:rPr>
        <w:t xml:space="preserve"> #CS </w:t>
      </w:r>
    </w:p>
    <w:p xmlns:wp14="http://schemas.microsoft.com/office/word/2010/wordml" w:rsidRPr="00BB1CF1" w:rsidR="00507555" w:rsidP="00507555" w:rsidRDefault="00507555" w14:paraId="370DB214" wp14:textId="77777777">
      <w:pPr>
        <w:rPr>
          <w:sz w:val="14"/>
          <w:szCs w:val="16"/>
        </w:rPr>
      </w:pPr>
      <w:r w:rsidRPr="00BB1CF1">
        <w:rPr>
          <w:sz w:val="14"/>
          <w:szCs w:val="16"/>
        </w:rPr>
        <w:t xml:space="preserve">More abstractly, </w:t>
      </w:r>
      <w:r>
        <w:rPr>
          <w:rFonts w:ascii="Calibri" w:hAnsi="Calibri" w:eastAsia="Calibri" w:cs="Calibri"/>
          <w:u w:val="single"/>
        </w:rPr>
        <w:t xml:space="preserve">we can argue that </w:t>
      </w:r>
      <w:r>
        <w:rPr>
          <w:rFonts w:ascii="Calibri" w:hAnsi="Calibri" w:eastAsia="Calibri" w:cs="Calibri"/>
          <w:b/>
          <w:u w:val="single"/>
        </w:rPr>
        <w:t>the distribution of the just and the good, the purview of rights as an application of the moral philosophy emerging from what is generally regarded as modern thought, is continuously codified, framed and regulated across</w:t>
      </w:r>
      <w:r>
        <w:rPr>
          <w:rFonts w:ascii="Calibri" w:hAnsi="Calibri" w:eastAsia="Calibri" w:cs="Calibri"/>
          <w:u w:val="single"/>
        </w:rPr>
        <w:t xml:space="preserve"> — and simultaneously serves to codify and regulate, to unify, totalize and integrate — </w:t>
      </w:r>
      <w:r>
        <w:rPr>
          <w:rFonts w:ascii="Calibri" w:hAnsi="Calibri" w:eastAsia="Calibri" w:cs="Calibri"/>
          <w:b/>
          <w:u w:val="single"/>
        </w:rPr>
        <w:t>various categories of human experience</w:t>
      </w:r>
      <w:r>
        <w:rPr>
          <w:rFonts w:ascii="Calibri" w:hAnsi="Calibri" w:eastAsia="Calibri" w:cs="Calibri"/>
          <w:u w:val="single"/>
        </w:rPr>
        <w:t xml:space="preserve"> (property, body, expression, sexuality), </w:t>
      </w:r>
      <w:r>
        <w:rPr>
          <w:rFonts w:ascii="Calibri" w:hAnsi="Calibri" w:eastAsia="Calibri" w:cs="Calibri"/>
          <w:b/>
          <w:u w:val="single"/>
        </w:rPr>
        <w:t>various social categories</w:t>
      </w:r>
      <w:r>
        <w:rPr>
          <w:rFonts w:ascii="Calibri" w:hAnsi="Calibri" w:eastAsia="Calibri" w:cs="Calibri"/>
          <w:u w:val="single"/>
        </w:rPr>
        <w:t xml:space="preserve"> (workers, women, children, asylum seekers) </w:t>
      </w:r>
      <w:r>
        <w:rPr>
          <w:rFonts w:ascii="Calibri" w:hAnsi="Calibri" w:eastAsia="Calibri" w:cs="Calibri"/>
          <w:b/>
          <w:u w:val="single"/>
        </w:rPr>
        <w:t>and various practices</w:t>
      </w:r>
      <w:r>
        <w:rPr>
          <w:rFonts w:ascii="Calibri" w:hAnsi="Calibri" w:eastAsia="Calibri" w:cs="Calibri"/>
          <w:u w:val="single"/>
        </w:rPr>
        <w:t xml:space="preserve"> (free movement, public presentation, gender expression, substance use) via the aforementioned arrangements; </w:t>
      </w:r>
      <w:r>
        <w:rPr>
          <w:rFonts w:ascii="Calibri" w:hAnsi="Calibri" w:eastAsia="Calibri" w:cs="Calibri"/>
          <w:b/>
          <w:u w:val="single"/>
        </w:rPr>
        <w:t>this is an aspect of what Deleuze and Guattari call State overcoding</w:t>
      </w:r>
      <w:r>
        <w:rPr>
          <w:rFonts w:ascii="Calibri" w:hAnsi="Calibri" w:eastAsia="Calibri" w:cs="Calibri"/>
          <w:u w:val="single"/>
        </w:rPr>
        <w:t xml:space="preserve"> — a reification of these arrangements of coded institutions and practices, as well as various material vows, that allows them to resonate together:</w:t>
      </w:r>
      <w:r w:rsidRPr="00BB1CF1">
        <w:rPr>
          <w:sz w:val="14"/>
          <w:szCs w:val="16"/>
        </w:rPr>
        <w:t xml:space="preserve"> “The State…makes points resonate together, points that are not necessarily already town-poles but very diverse points of order, geographic, ethnic, linguistic, moral, economic, technological particularities. It makes the town resonate with the countryside</w:t>
      </w:r>
      <w:r>
        <w:rPr>
          <w:rFonts w:ascii="Calibri" w:hAnsi="Calibri" w:eastAsia="Calibri" w:cs="Calibri"/>
          <w:u w:val="single"/>
        </w:rPr>
        <w:t xml:space="preserve">. It operates by stratification; in other words, it forms a vertical, hierarchized aggregate that spans the horizontal lines in a dimension of depth. In retaining given elements, it necessarily cuts off their relations with other elements, which become exterior, it inhibits, slows down, or controls those relations; </w:t>
      </w:r>
      <w:r w:rsidRPr="00BB1CF1">
        <w:rPr>
          <w:sz w:val="14"/>
          <w:szCs w:val="16"/>
        </w:rPr>
        <w:t>if the State has a circuit of its own, it is an internal circuit dependent primarily upon resonance, it is a zone of recurrence that isolates itself from the remainder of the network, even if in order to do so it must exert even stricter controls over its relations with that remainder. …</w:t>
      </w:r>
      <w:r>
        <w:rPr>
          <w:rFonts w:ascii="Calibri" w:hAnsi="Calibri" w:eastAsia="Calibri" w:cs="Calibri"/>
          <w:b/>
          <w:u w:val="single"/>
        </w:rPr>
        <w:t>Thus the central power of the State is hierarchical, and constitutes a civil-service sector; the center is not in the middle (au milieu), but on top, because the only way it can recombine what it isolates is through subordination</w:t>
      </w:r>
      <w:r w:rsidRPr="00BB1CF1">
        <w:rPr>
          <w:sz w:val="14"/>
          <w:szCs w:val="16"/>
        </w:rPr>
        <w:t xml:space="preserve">.” (Deleuze and Guattari 1987: 478) </w:t>
      </w:r>
      <w:r>
        <w:rPr>
          <w:rFonts w:ascii="Calibri" w:hAnsi="Calibri" w:eastAsia="Calibri" w:cs="Calibri"/>
          <w:b/>
          <w:u w:val="single"/>
        </w:rPr>
        <w:t>Overcoding ‘denes a rigid segmentarity’ and makes the centers of each segment resonate with the others, defining a divisible and homogeneous space that is strictly demarcated in all directions</w:t>
      </w:r>
      <w:r>
        <w:rPr>
          <w:rFonts w:ascii="Calibri" w:hAnsi="Calibri" w:eastAsia="Calibri" w:cs="Calibri"/>
          <w:u w:val="single"/>
        </w:rPr>
        <w:t>. The function of overcoding is described as an abstract machine that is effectuated by the State apparatus</w:t>
      </w:r>
      <w:r w:rsidRPr="00BB1CF1">
        <w:rPr>
          <w:sz w:val="14"/>
          <w:szCs w:val="16"/>
        </w:rPr>
        <w:t xml:space="preserve">. (ibid. 223) At least some forms of overcoding are directly influenced by the same Enlightenment framework from which contemporary rights discourse emerges; </w:t>
      </w:r>
      <w:r>
        <w:rPr>
          <w:rFonts w:ascii="Calibri" w:hAnsi="Calibri" w:eastAsia="Calibri" w:cs="Calibri"/>
          <w:u w:val="single"/>
        </w:rPr>
        <w:t xml:space="preserve">the same strict, taxonomic thinking that leads to such concepts as a Great Chain of Being — a correctly defined place or order or set of structural relations for and between each reified type of thing or being in the world — is reflected in the operations of </w:t>
      </w:r>
      <w:r>
        <w:rPr>
          <w:rFonts w:ascii="Calibri" w:hAnsi="Calibri" w:eastAsia="Calibri" w:cs="Calibri"/>
          <w:b/>
          <w:u w:val="single"/>
        </w:rPr>
        <w:t>the State apparatus as it seeks to impose the logic of ‘fixed and proportional determinations which may be assimilated to “properties” or limited territories within representation’</w:t>
      </w:r>
      <w:r w:rsidRPr="00BB1CF1">
        <w:rPr>
          <w:sz w:val="14"/>
          <w:szCs w:val="16"/>
        </w:rPr>
        <w:t xml:space="preserve"> (Deleuze 1994: 45). The picture is complicated as we move through history: the State has also taken various forms through time and in the modern capitalist era </w:t>
      </w:r>
      <w:r>
        <w:rPr>
          <w:rFonts w:ascii="Calibri" w:hAnsi="Calibri" w:eastAsia="Calibri" w:cs="Calibri"/>
          <w:b/>
          <w:u w:val="single"/>
        </w:rPr>
        <w:t>the State apparatus combines overcoding with social subjection and subjectification (as well as machinic enslavement and a general conjugation of flows, which are outside of the scope of the current discussion)</w:t>
      </w:r>
      <w:r>
        <w:rPr>
          <w:rFonts w:ascii="Calibri" w:hAnsi="Calibri" w:eastAsia="Calibri" w:cs="Calibri"/>
          <w:u w:val="single"/>
        </w:rPr>
        <w:t>. One of the ways in which subjectification works is to directly affect the discursive and non-discursive spaces within which rights operate and thus, As Deleuze and Guattari argue, signification under a State apparatus tends towards a ‘uniformity of enunciation, a unification of the substance of expression, and control over statements’</w:t>
      </w:r>
      <w:r w:rsidRPr="00BB1CF1">
        <w:rPr>
          <w:sz w:val="14"/>
          <w:szCs w:val="16"/>
        </w:rPr>
        <w:t xml:space="preserve"> (Deleuze and Guattari 1987: 135). A particularly relevant example they provide of this is the juridical expression of overcoding as the social contract; beyond this</w:t>
      </w:r>
      <w:r>
        <w:rPr>
          <w:rFonts w:ascii="Calibri" w:hAnsi="Calibri" w:eastAsia="Calibri" w:cs="Calibri"/>
          <w:u w:val="single"/>
        </w:rPr>
        <w:t xml:space="preserve">, if we observe how the form and content of law changes along with shifts in the functions of the State, it is not hard to see the emergence of contemporary rights </w:t>
      </w:r>
      <w:r>
        <w:rPr>
          <w:rFonts w:ascii="Calibri" w:hAnsi="Calibri" w:eastAsia="Calibri" w:cs="Calibri"/>
          <w:u w:val="single"/>
        </w:rPr>
        <w:lastRenderedPageBreak/>
        <w:t>discourse within what they describe as a ‘subjective, conjunctive and “topical” law’ that serves the ends of hierarchical power: “The bond becomes personal; personal relations of dependence, both between owners (contracts) and between owned and owners (conventions), parallel or replace community relations or relations based on one’s public function</w:t>
      </w:r>
      <w:r w:rsidRPr="00BB1CF1">
        <w:rPr>
          <w:sz w:val="14"/>
          <w:szCs w:val="16"/>
        </w:rPr>
        <w:t xml:space="preserve">. Even slavery changes; it no longer denes the public availability of the communal worker but rather private property as applied to individual workers. </w:t>
      </w:r>
      <w:r>
        <w:rPr>
          <w:rFonts w:ascii="Calibri" w:hAnsi="Calibri" w:eastAsia="Calibri" w:cs="Calibri"/>
          <w:u w:val="single"/>
        </w:rPr>
        <w:t xml:space="preserve">The law in its entirety undergoes a mutation, becoming subjective, conjunctive, “topical” law: this is because the State apparatus is faced with a new task, which consists less in overcoding already coded ows than in organizing conjunctions of decoded ows as such. Thus the regime of signs has changed: in all of these respects, the operation of the imperial “signier” has been superseded by processes of subjectication; machinic enslavement tends to be replaced by a regime of social subjection. </w:t>
      </w:r>
      <w:r w:rsidRPr="00BB1CF1">
        <w:rPr>
          <w:sz w:val="14"/>
          <w:szCs w:val="16"/>
        </w:rPr>
        <w:t xml:space="preserve">And unlike the relatively uniform imperial pole, this second pole presents the most diverse of forms. But as varied as relations of personal dependence are, they always mark qualied and topical conjunctions. </w:t>
      </w:r>
      <w:r>
        <w:rPr>
          <w:rFonts w:ascii="Calibri" w:hAnsi="Calibri" w:eastAsia="Calibri" w:cs="Calibri"/>
          <w:u w:val="single"/>
        </w:rPr>
        <w:t>It was the evolved empires, of the East and of the West, that rst developed this new public sphere of the private, through institutions such as the consilium and the scus in the Roman Empire (it was through these institutions that freed slaves acquired a political power paralleling that of the functionaries).” (ibid. 451) Deleuze and Guattari argue that, to a certain extent, we desire the organization that results from this overcoding because it sustains our need for coherence and continuity even as it serves to dominate us.</w:t>
      </w:r>
      <w:r w:rsidRPr="00BB1CF1">
        <w:rPr>
          <w:sz w:val="14"/>
          <w:szCs w:val="16"/>
        </w:rPr>
        <w:t xml:space="preserve"> They also suggest, however, that this desire might be misplaced: the certainty we feel by virtue of the shared values, morals, etc., provided by State overcoding gives us a false sense of permanence and stability which is not borne out by the history of State societies. (ibid. 227) </w:t>
      </w:r>
      <w:r>
        <w:rPr>
          <w:rFonts w:ascii="Calibri" w:hAnsi="Calibri" w:eastAsia="Calibri" w:cs="Calibri"/>
          <w:u w:val="single"/>
        </w:rPr>
        <w:t>The State, they remind us, is assuredly not the locus of liberty (ibid. 460). Given the distributions of power that are implied by these arrangements — by contemporary State overcoding — there are clear implications for individual and collective agency and freedom, broadly understood. More specically, it seems that the relationship between the State and society might be the reverse of what we commonly assume: that instead of arrangements of power transparently serving the ends of rights as an unproblematic manifestation of some or other ‘social contract’, rights is primarily employed to serve the ends of power.</w:t>
      </w:r>
      <w:r w:rsidRPr="00BB1CF1">
        <w:rPr>
          <w:sz w:val="14"/>
          <w:szCs w:val="16"/>
        </w:rPr>
        <w:t xml:space="preserve"> In other words, as a set of codied nomological normative principles regulated by specic hierarchical arrangements of power via a State apparatus, does it not seem entirely likely that rights are, albeit not exclusively, employed in the service of — and even partly produced by — moral and political imperialism as a means for the perpetuation of hierarchical power? It is to this question that we now turn. </w:t>
      </w:r>
    </w:p>
    <w:p xmlns:wp14="http://schemas.microsoft.com/office/word/2010/wordml" w:rsidR="00507555" w:rsidP="00507555" w:rsidRDefault="00507555" w14:paraId="1728B4D0" wp14:textId="77777777">
      <w:pPr>
        <w:rPr>
          <w:rFonts w:ascii="Calibri" w:hAnsi="Calibri" w:eastAsia="Calibri" w:cs="Calibri"/>
          <w:sz w:val="26"/>
          <w:szCs w:val="26"/>
        </w:rPr>
      </w:pPr>
    </w:p>
    <w:p xmlns:wp14="http://schemas.microsoft.com/office/word/2010/wordml" w:rsidR="00507555" w:rsidP="00507555" w:rsidRDefault="00507555" w14:paraId="0098E3FC" wp14:textId="77777777">
      <w:pPr>
        <w:pStyle w:val="Heading3"/>
        <w:rPr>
          <w:rFonts w:eastAsia="Calibri"/>
        </w:rPr>
      </w:pPr>
      <w:r>
        <w:rPr>
          <w:rFonts w:eastAsia="Calibri"/>
        </w:rPr>
        <w:lastRenderedPageBreak/>
        <w:t>A2: Agamben is too totalizing</w:t>
      </w:r>
    </w:p>
    <w:p xmlns:wp14="http://schemas.microsoft.com/office/word/2010/wordml" w:rsidR="00507555" w:rsidP="00507555" w:rsidRDefault="00507555" w14:paraId="54D72D2F" wp14:textId="77777777">
      <w:pPr>
        <w:pStyle w:val="Heading4"/>
        <w:rPr>
          <w:rFonts w:eastAsia="Calibri"/>
        </w:rPr>
      </w:pPr>
      <w:r>
        <w:rPr>
          <w:rFonts w:eastAsia="Calibri"/>
        </w:rPr>
        <w:t xml:space="preserve">No he’s not – their indicts of Agamben don’t assume the position of the denizen </w:t>
      </w:r>
    </w:p>
    <w:p xmlns:wp14="http://schemas.microsoft.com/office/word/2010/wordml" w:rsidRPr="00BB1CF1" w:rsidR="00507555" w:rsidP="00507555" w:rsidRDefault="00507555" w14:paraId="5324BE99" wp14:textId="77777777">
      <w:r w:rsidRPr="00BB1CF1">
        <w:t>*Edited for gendered language</w:t>
      </w:r>
    </w:p>
    <w:p xmlns:wp14="http://schemas.microsoft.com/office/word/2010/wordml" w:rsidR="00507555" w:rsidP="00507555" w:rsidRDefault="00507555" w14:paraId="1653BD7B" wp14:textId="77777777">
      <w:pPr>
        <w:rPr>
          <w:rFonts w:ascii="Calibri" w:hAnsi="Calibri" w:eastAsia="Calibri" w:cs="Calibri"/>
        </w:rPr>
      </w:pPr>
      <w:r w:rsidRPr="00A3085E">
        <w:rPr>
          <w:rStyle w:val="Style13ptBold"/>
        </w:rPr>
        <w:t>Eyssens 2008</w:t>
      </w:r>
      <w:r>
        <w:rPr>
          <w:rFonts w:ascii="Calibri" w:hAnsi="Calibri" w:eastAsia="Calibri" w:cs="Calibri"/>
        </w:rPr>
        <w:t xml:space="preserve"> [Terry, sessional tutor and lecturer at La Trobe University, Australia and at Federation University, Australia, “Democracy of the Civil Dead: The Blind Trade in Citizenship” Transformations, Vol. 16, 2008, Pp. 7, http://www.transformationsjournal.org/wp-content/uploads/2017/01/Eyssens_Transformations16.pdf]//KI </w:t>
      </w:r>
    </w:p>
    <w:p xmlns:wp14="http://schemas.microsoft.com/office/word/2010/wordml" w:rsidR="00507555" w:rsidP="00507555" w:rsidRDefault="00507555" w14:paraId="464B0E43" wp14:textId="77777777">
      <w:pPr>
        <w:rPr>
          <w:rFonts w:ascii="Calibri" w:hAnsi="Calibri" w:eastAsia="Calibri" w:cs="Calibri"/>
        </w:rPr>
      </w:pPr>
      <w:r>
        <w:rPr>
          <w:rFonts w:ascii="Calibri" w:hAnsi="Calibri" w:eastAsia="Calibri" w:cs="Calibri"/>
          <w:u w:val="single"/>
        </w:rPr>
        <w:t>Criticism of Agamben’s work has focused on the idea that the state of exception “invests all structures of power and eradicates any experience and definition of democracy</w:t>
      </w:r>
      <w:r>
        <w:rPr>
          <w:rFonts w:ascii="Calibri" w:hAnsi="Calibri" w:eastAsia="Calibri" w:cs="Calibri"/>
          <w:sz w:val="16"/>
          <w:szCs w:val="16"/>
        </w:rPr>
        <w:t xml:space="preserve">” (Negri) </w:t>
      </w:r>
      <w:r>
        <w:rPr>
          <w:rFonts w:ascii="Calibri" w:hAnsi="Calibri" w:eastAsia="Calibri" w:cs="Calibri"/>
          <w:u w:val="single"/>
        </w:rPr>
        <w:t>and on the unrealistic “bifurcation of the population into two halves: political beings and bare life</w:t>
      </w:r>
      <w:r>
        <w:rPr>
          <w:rFonts w:ascii="Calibri" w:hAnsi="Calibri" w:eastAsia="Calibri" w:cs="Calibri"/>
          <w:sz w:val="16"/>
          <w:szCs w:val="16"/>
        </w:rPr>
        <w:t xml:space="preserve">” (Ong 22). </w:t>
      </w:r>
      <w:r>
        <w:rPr>
          <w:rFonts w:ascii="Calibri" w:hAnsi="Calibri" w:eastAsia="Calibri" w:cs="Calibri"/>
          <w:u w:val="single"/>
        </w:rPr>
        <w:t>Ong argues that “in this rigid binary opposition, Agamben seems to preclude the possibility of non-rights mediation or complex distinctions that can buttress claims for moral protection and legitimacy</w:t>
      </w:r>
      <w:r>
        <w:rPr>
          <w:rFonts w:ascii="Calibri" w:hAnsi="Calibri" w:eastAsia="Calibri" w:cs="Calibri"/>
          <w:sz w:val="16"/>
          <w:szCs w:val="16"/>
        </w:rPr>
        <w:t xml:space="preserve">” (23). </w:t>
      </w:r>
      <w:r>
        <w:rPr>
          <w:rFonts w:ascii="Calibri" w:hAnsi="Calibri" w:eastAsia="Calibri" w:cs="Calibri"/>
          <w:u w:val="single"/>
        </w:rPr>
        <w:t xml:space="preserve">However, </w:t>
      </w:r>
      <w:r>
        <w:rPr>
          <w:rFonts w:ascii="Calibri" w:hAnsi="Calibri" w:eastAsia="Calibri" w:cs="Calibri"/>
          <w:b/>
          <w:u w:val="single"/>
        </w:rPr>
        <w:t>in the figure of the denizen, we do not find this bifurcation</w:t>
      </w:r>
      <w:r>
        <w:rPr>
          <w:rFonts w:ascii="Times New Roman" w:hAnsi="Times New Roman" w:eastAsia="Times New Roman" w:cs="Times New Roman"/>
          <w:u w:val="single"/>
        </w:rPr>
        <w:t>.</w:t>
      </w:r>
      <w:r>
        <w:rPr>
          <w:rFonts w:ascii="Times New Roman" w:hAnsi="Times New Roman" w:eastAsia="Times New Roman" w:cs="Times New Roman"/>
          <w:sz w:val="16"/>
          <w:szCs w:val="16"/>
        </w:rPr>
        <w:t xml:space="preserve"> [</w:t>
      </w:r>
      <w:r>
        <w:rPr>
          <w:rFonts w:ascii="Calibri" w:hAnsi="Calibri" w:eastAsia="Calibri" w:cs="Calibri"/>
          <w:u w:val="single"/>
        </w:rPr>
        <w:t>they are</w:t>
      </w:r>
      <w:r>
        <w:rPr>
          <w:rFonts w:ascii="Calibri" w:hAnsi="Calibri" w:eastAsia="Calibri" w:cs="Calibri"/>
          <w:sz w:val="16"/>
          <w:szCs w:val="16"/>
        </w:rPr>
        <w:t xml:space="preserve">] She is </w:t>
      </w:r>
      <w:r>
        <w:rPr>
          <w:rFonts w:ascii="Calibri" w:hAnsi="Calibri" w:eastAsia="Calibri" w:cs="Calibri"/>
          <w:u w:val="single"/>
        </w:rPr>
        <w:t>a political being inhabiting</w:t>
      </w:r>
      <w:r>
        <w:rPr>
          <w:rFonts w:ascii="Calibri" w:hAnsi="Calibri" w:eastAsia="Calibri" w:cs="Calibri"/>
          <w:sz w:val="16"/>
          <w:szCs w:val="16"/>
        </w:rPr>
        <w:t xml:space="preserve"> (at least some of) </w:t>
      </w:r>
      <w:r>
        <w:rPr>
          <w:rFonts w:ascii="Calibri" w:hAnsi="Calibri" w:eastAsia="Calibri" w:cs="Calibri"/>
          <w:u w:val="single"/>
        </w:rPr>
        <w:t>the conditions of bare life</w:t>
      </w:r>
      <w:r>
        <w:rPr>
          <w:rFonts w:ascii="Calibri" w:hAnsi="Calibri" w:eastAsia="Calibri" w:cs="Calibri"/>
          <w:sz w:val="16"/>
          <w:szCs w:val="16"/>
        </w:rPr>
        <w:t xml:space="preserve">. And </w:t>
      </w:r>
      <w:r>
        <w:rPr>
          <w:rFonts w:ascii="Calibri" w:hAnsi="Calibri" w:eastAsia="Calibri" w:cs="Calibri"/>
          <w:u w:val="single"/>
        </w:rPr>
        <w:t xml:space="preserve">the stance of the denizen seems to </w:t>
      </w:r>
      <w:r>
        <w:rPr>
          <w:rFonts w:ascii="Calibri" w:hAnsi="Calibri" w:eastAsia="Calibri" w:cs="Calibri"/>
          <w:b/>
          <w:u w:val="single"/>
        </w:rPr>
        <w:t>include the possibility of “non-rights mediation</w:t>
      </w:r>
      <w:r>
        <w:rPr>
          <w:rFonts w:ascii="Calibri" w:hAnsi="Calibri" w:eastAsia="Calibri" w:cs="Calibri"/>
          <w:u w:val="single"/>
        </w:rPr>
        <w:t xml:space="preserve">.” The denizen can also be seen as an example of how, as Negri has noted, Agamben’s analysis “can be </w:t>
      </w:r>
      <w:r>
        <w:rPr>
          <w:rFonts w:ascii="Calibri" w:hAnsi="Calibri" w:eastAsia="Calibri" w:cs="Calibri"/>
          <w:b/>
          <w:u w:val="single"/>
        </w:rPr>
        <w:t>realist and revolutionary</w:t>
      </w:r>
      <w:r>
        <w:rPr>
          <w:rFonts w:ascii="Calibri" w:hAnsi="Calibri" w:eastAsia="Calibri" w:cs="Calibri"/>
          <w:sz w:val="16"/>
          <w:szCs w:val="16"/>
        </w:rPr>
        <w:t xml:space="preserve">” (The Ripe Fruit of Redemption). Still, there are limitations. The denizen’s conscious or unconscious acceptance of the exposure of a state of exception, and the ban, and a refusal of the enclosure of laws, rights and citizenship could not be said to inhabit a realm of “political life” (as Arendt would have it). This acceptance, as residing in consciousness (or unconsciousness), does not amount to political action. However, </w:t>
      </w:r>
      <w:r>
        <w:rPr>
          <w:rFonts w:ascii="Calibri" w:hAnsi="Calibri" w:eastAsia="Calibri" w:cs="Calibri"/>
          <w:u w:val="single"/>
        </w:rPr>
        <w:t xml:space="preserve">if the figure of the denizen contains the possibility of the adoption – the taking up of a political position – of exposure, exception and the ban and of the refusal of enclosure in the laws, rights and citizenship inscribed into the state order, the possibility for </w:t>
      </w:r>
      <w:r>
        <w:rPr>
          <w:rFonts w:ascii="Calibri" w:hAnsi="Calibri" w:eastAsia="Calibri" w:cs="Calibri"/>
          <w:b/>
          <w:u w:val="single"/>
        </w:rPr>
        <w:t>a different “experience and definition” of democracy could be opened.</w:t>
      </w:r>
      <w:r>
        <w:rPr>
          <w:rFonts w:ascii="Calibri" w:hAnsi="Calibri" w:eastAsia="Calibri" w:cs="Calibri"/>
        </w:rPr>
        <w:t xml:space="preserve"> </w:t>
      </w:r>
    </w:p>
    <w:p xmlns:wp14="http://schemas.microsoft.com/office/word/2010/wordml" w:rsidR="00507555" w:rsidP="00507555" w:rsidRDefault="00507555" w14:paraId="34959D4B" wp14:textId="77777777">
      <w:pPr>
        <w:rPr>
          <w:rFonts w:ascii="Calibri" w:hAnsi="Calibri" w:eastAsia="Calibri" w:cs="Calibri"/>
          <w:sz w:val="26"/>
          <w:szCs w:val="26"/>
        </w:rPr>
      </w:pPr>
    </w:p>
    <w:p xmlns:wp14="http://schemas.microsoft.com/office/word/2010/wordml" w:rsidR="00507555" w:rsidP="00507555" w:rsidRDefault="00507555" w14:paraId="4486786C" wp14:textId="77777777">
      <w:pPr>
        <w:pStyle w:val="Heading1"/>
        <w:rPr>
          <w:rFonts w:eastAsia="Calibri"/>
        </w:rPr>
      </w:pPr>
      <w:r>
        <w:rPr>
          <w:rFonts w:eastAsia="Calibri"/>
        </w:rPr>
        <w:lastRenderedPageBreak/>
        <w:t>Humanism Bad</w:t>
      </w:r>
    </w:p>
    <w:p xmlns:wp14="http://schemas.microsoft.com/office/word/2010/wordml" w:rsidR="00507555" w:rsidP="00507555" w:rsidRDefault="00507555" w14:paraId="7BD58BA2" wp14:textId="77777777">
      <w:pPr>
        <w:jc w:val="center"/>
        <w:rPr>
          <w:rFonts w:ascii="Calibri" w:hAnsi="Calibri" w:eastAsia="Calibri" w:cs="Calibri"/>
          <w:sz w:val="26"/>
          <w:szCs w:val="26"/>
        </w:rPr>
      </w:pPr>
    </w:p>
    <w:p xmlns:wp14="http://schemas.microsoft.com/office/word/2010/wordml" w:rsidR="00507555" w:rsidP="00507555" w:rsidRDefault="00507555" w14:paraId="18682D1E" wp14:textId="77777777">
      <w:pPr>
        <w:pStyle w:val="Heading3"/>
        <w:rPr>
          <w:rFonts w:eastAsia="Calibri"/>
        </w:rPr>
      </w:pPr>
      <w:r>
        <w:rPr>
          <w:rFonts w:eastAsia="Calibri"/>
        </w:rPr>
        <w:lastRenderedPageBreak/>
        <w:t>I: Colonialist violence</w:t>
      </w:r>
    </w:p>
    <w:p xmlns:wp14="http://schemas.microsoft.com/office/word/2010/wordml" w:rsidR="00507555" w:rsidP="00507555" w:rsidRDefault="00507555" w14:paraId="1258FDD9" wp14:textId="77777777">
      <w:pPr>
        <w:pStyle w:val="Heading4"/>
        <w:rPr>
          <w:rFonts w:eastAsia="Calibri"/>
        </w:rPr>
      </w:pPr>
      <w:r>
        <w:rPr>
          <w:rFonts w:eastAsia="Calibri"/>
        </w:rPr>
        <w:t>Their liberal moral imperialism reinforces the strict categories of fully human, lesser human, and inhuman in order to mask the state’s enactment of colonialist violence under the guise of civilizing the Other.</w:t>
      </w:r>
    </w:p>
    <w:p xmlns:wp14="http://schemas.microsoft.com/office/word/2010/wordml" w:rsidRPr="00CB7456" w:rsidR="00507555" w:rsidP="00507555" w:rsidRDefault="00507555" w14:paraId="2C517F38" wp14:textId="77777777">
      <w:pPr>
        <w:rPr>
          <w:rFonts w:ascii="Calibri" w:hAnsi="Calibri" w:eastAsia="Calibri" w:cs="Calibri"/>
          <w:sz w:val="16"/>
          <w:szCs w:val="20"/>
        </w:rPr>
      </w:pPr>
      <w:r w:rsidRPr="00CB7456">
        <w:rPr>
          <w:rStyle w:val="Style13ptBold"/>
        </w:rPr>
        <w:t>Eloff 16</w:t>
      </w:r>
      <w:r w:rsidRPr="00CB7456">
        <w:rPr>
          <w:rFonts w:ascii="Calibri" w:hAnsi="Calibri" w:eastAsia="Calibri" w:cs="Calibri"/>
          <w:sz w:val="16"/>
          <w:szCs w:val="20"/>
        </w:rPr>
        <w:t xml:space="preserve"> [</w:t>
      </w:r>
      <w:r w:rsidRPr="00CB7456">
        <w:rPr>
          <w:sz w:val="16"/>
        </w:rPr>
        <w:t xml:space="preserve">Aragorn Eloff is an anarchist, animal liberation advocate and independent researcher with a long-standing interest in radical politics and grassroots struggle. He is a member of the bolo'bolo anarchist publishing collective, a co-founder of the Institute for Critical Animal Studies in Africa, a coordinator of the annual Deleuze and Guattari in Africa conference and a collective member of the Edge of Wrong, an experimental music/cultural exchange program between Norway and South Africa, 10-4-2016, "The very idea of rights: a critique of human rights discourse," Medium, https://medium.com/@aragorneloff/the-very-idea-of-rights-a-critique-of-human-rights-discourse-84706f002c85 //CS&amp;KI </w:t>
      </w:r>
    </w:p>
    <w:p xmlns:wp14="http://schemas.microsoft.com/office/word/2010/wordml" w:rsidR="00507555" w:rsidP="00507555" w:rsidRDefault="00507555" w14:paraId="50D2787E" wp14:textId="77777777">
      <w:pPr>
        <w:rPr>
          <w:rFonts w:ascii="Calibri" w:hAnsi="Calibri" w:eastAsia="Calibri" w:cs="Calibri"/>
          <w:sz w:val="16"/>
          <w:szCs w:val="16"/>
        </w:rPr>
      </w:pPr>
      <w:r>
        <w:rPr>
          <w:rFonts w:ascii="Times New Roman" w:hAnsi="Times New Roman" w:eastAsia="Times New Roman" w:cs="Times New Roman"/>
          <w:sz w:val="16"/>
          <w:szCs w:val="16"/>
        </w:rPr>
        <w:t>“</w:t>
      </w:r>
      <w:r>
        <w:rPr>
          <w:rFonts w:ascii="Calibri" w:hAnsi="Calibri" w:eastAsia="Calibri" w:cs="Calibri"/>
          <w:u w:val="single"/>
        </w:rPr>
        <w:t xml:space="preserve">The greatest crimes against humanity (and by humanity) have been perpetrated in the name of </w:t>
      </w:r>
      <w:r>
        <w:rPr>
          <w:rFonts w:ascii="Calibri" w:hAnsi="Calibri" w:eastAsia="Calibri" w:cs="Calibri"/>
          <w:b/>
          <w:u w:val="single"/>
        </w:rPr>
        <w:t>the rule of reason</w:t>
      </w:r>
      <w:r>
        <w:rPr>
          <w:rFonts w:ascii="Calibri" w:hAnsi="Calibri" w:eastAsia="Calibri" w:cs="Calibri"/>
          <w:u w:val="single"/>
        </w:rPr>
        <w:t>, of better order and greater happiness</w:t>
      </w:r>
      <w:r>
        <w:rPr>
          <w:rFonts w:ascii="Calibri" w:hAnsi="Calibri" w:eastAsia="Calibri" w:cs="Calibri"/>
          <w:sz w:val="16"/>
          <w:szCs w:val="16"/>
        </w:rPr>
        <w:t xml:space="preserve">.”—Zygmunt Bauman, Postmodern Ethics As critical legal theorist Costas Douzinas argues, echoing Foucault and Deleuze’s work on disciplinary societies (Foucault 1991) and societies of control (Deleuze 1992), </w:t>
      </w:r>
      <w:r>
        <w:rPr>
          <w:rFonts w:ascii="Calibri" w:hAnsi="Calibri" w:eastAsia="Calibri" w:cs="Calibri"/>
          <w:u w:val="single"/>
        </w:rPr>
        <w:t xml:space="preserve">underlying any collective discourse of rights are relations of </w:t>
      </w:r>
      <w:r>
        <w:rPr>
          <w:rFonts w:ascii="Calibri" w:hAnsi="Calibri" w:eastAsia="Calibri" w:cs="Calibri"/>
          <w:b/>
          <w:u w:val="single"/>
        </w:rPr>
        <w:t>power/knowledge</w:t>
      </w:r>
      <w:r>
        <w:rPr>
          <w:rFonts w:ascii="Calibri" w:hAnsi="Calibri" w:eastAsia="Calibri" w:cs="Calibri"/>
          <w:u w:val="single"/>
        </w:rPr>
        <w:t xml:space="preserve"> and mechanisms of control that enforce rights through </w:t>
      </w:r>
      <w:r>
        <w:rPr>
          <w:rFonts w:ascii="Calibri" w:hAnsi="Calibri" w:eastAsia="Calibri" w:cs="Calibri"/>
          <w:b/>
          <w:u w:val="single"/>
        </w:rPr>
        <w:t>surveillance, classication and bio-political modulation of individuals and populations</w:t>
      </w:r>
      <w:r>
        <w:rPr>
          <w:rFonts w:ascii="Calibri" w:hAnsi="Calibri" w:eastAsia="Calibri" w:cs="Calibri"/>
          <w:u w:val="single"/>
        </w:rPr>
        <w:t>. Rights</w:t>
      </w:r>
      <w:r>
        <w:rPr>
          <w:rFonts w:ascii="Calibri" w:hAnsi="Calibri" w:eastAsia="Calibri" w:cs="Calibri"/>
          <w:sz w:val="16"/>
          <w:szCs w:val="16"/>
        </w:rPr>
        <w:t xml:space="preserve"> also </w:t>
      </w:r>
      <w:r>
        <w:rPr>
          <w:rFonts w:ascii="Calibri" w:hAnsi="Calibri" w:eastAsia="Calibri" w:cs="Calibri"/>
          <w:u w:val="single"/>
        </w:rPr>
        <w:t>mask the functioning of</w:t>
      </w:r>
      <w:r>
        <w:rPr>
          <w:rFonts w:ascii="Calibri" w:hAnsi="Calibri" w:eastAsia="Calibri" w:cs="Calibri"/>
          <w:sz w:val="16"/>
          <w:szCs w:val="16"/>
        </w:rPr>
        <w:t xml:space="preserve"> these </w:t>
      </w:r>
      <w:r>
        <w:rPr>
          <w:rFonts w:ascii="Calibri" w:hAnsi="Calibri" w:eastAsia="Calibri" w:cs="Calibri"/>
          <w:u w:val="single"/>
        </w:rPr>
        <w:t>hierarchical arrangements of power, from state institutions and capitalist property relations</w:t>
      </w:r>
      <w:r>
        <w:rPr>
          <w:rFonts w:ascii="Calibri" w:hAnsi="Calibri" w:eastAsia="Calibri" w:cs="Calibri"/>
          <w:sz w:val="16"/>
          <w:szCs w:val="16"/>
        </w:rPr>
        <w:t xml:space="preserve"> through </w:t>
      </w:r>
      <w:r>
        <w:rPr>
          <w:rFonts w:ascii="Calibri" w:hAnsi="Calibri" w:eastAsia="Calibri" w:cs="Calibri"/>
          <w:u w:val="single"/>
        </w:rPr>
        <w:t>to</w:t>
      </w:r>
      <w:r>
        <w:rPr>
          <w:rFonts w:ascii="Calibri" w:hAnsi="Calibri" w:eastAsia="Calibri" w:cs="Calibri"/>
          <w:sz w:val="16"/>
          <w:szCs w:val="16"/>
        </w:rPr>
        <w:t xml:space="preserve"> the micropolitical counterpart of these arrangements in </w:t>
      </w:r>
      <w:r>
        <w:rPr>
          <w:rFonts w:ascii="Calibri" w:hAnsi="Calibri" w:eastAsia="Calibri" w:cs="Calibri"/>
          <w:u w:val="single"/>
        </w:rPr>
        <w:t>the family and other cultural forms</w:t>
      </w:r>
      <w:r>
        <w:rPr>
          <w:rFonts w:ascii="Calibri" w:hAnsi="Calibri" w:eastAsia="Calibri" w:cs="Calibri"/>
          <w:sz w:val="16"/>
          <w:szCs w:val="16"/>
        </w:rPr>
        <w:t xml:space="preserve"> and, beyond this masking function, </w:t>
      </w:r>
      <w:r>
        <w:rPr>
          <w:rFonts w:ascii="Calibri" w:hAnsi="Calibri" w:eastAsia="Calibri" w:cs="Calibri"/>
          <w:u w:val="single"/>
        </w:rPr>
        <w:t xml:space="preserve">rights, being necessarily collective and operating within the ambit of overcoding, can also be used to </w:t>
      </w:r>
      <w:r>
        <w:rPr>
          <w:rFonts w:ascii="Calibri" w:hAnsi="Calibri" w:eastAsia="Calibri" w:cs="Calibri"/>
          <w:b/>
          <w:u w:val="single"/>
        </w:rPr>
        <w:t>organise mass populations for exploitation and regulation</w:t>
      </w:r>
      <w:r>
        <w:rPr>
          <w:rFonts w:ascii="Calibri" w:hAnsi="Calibri" w:eastAsia="Calibri" w:cs="Calibri"/>
          <w:u w:val="single"/>
        </w:rPr>
        <w:t>. Within this domain</w:t>
      </w:r>
      <w:r>
        <w:rPr>
          <w:rFonts w:ascii="Calibri" w:hAnsi="Calibri" w:eastAsia="Calibri" w:cs="Calibri"/>
          <w:sz w:val="16"/>
          <w:szCs w:val="16"/>
        </w:rPr>
        <w:t xml:space="preserve">, according to Douzinas, what </w:t>
      </w:r>
      <w:r>
        <w:rPr>
          <w:rFonts w:ascii="Calibri" w:hAnsi="Calibri" w:eastAsia="Calibri" w:cs="Calibri"/>
          <w:u w:val="single"/>
        </w:rPr>
        <w:t>we experience is a ‘thin equality’ and an ‘emaciated democracy’ and</w:t>
      </w:r>
      <w:r>
        <w:rPr>
          <w:rFonts w:ascii="Calibri" w:hAnsi="Calibri" w:eastAsia="Calibri" w:cs="Calibri"/>
          <w:sz w:val="16"/>
          <w:szCs w:val="16"/>
        </w:rPr>
        <w:t xml:space="preserve"> if we see </w:t>
      </w:r>
      <w:r>
        <w:rPr>
          <w:rFonts w:ascii="Calibri" w:hAnsi="Calibri" w:eastAsia="Calibri" w:cs="Calibri"/>
          <w:u w:val="single"/>
        </w:rPr>
        <w:t>an ameliorative potential in this regard in liberal transnational cosmopolitanism, in ‘Universal Human Rights</w:t>
      </w:r>
      <w:r>
        <w:rPr>
          <w:rFonts w:ascii="Calibri" w:hAnsi="Calibri" w:eastAsia="Calibri" w:cs="Calibri"/>
          <w:sz w:val="16"/>
          <w:szCs w:val="16"/>
        </w:rPr>
        <w:t xml:space="preserve">’, this is simply </w:t>
      </w:r>
      <w:r>
        <w:rPr>
          <w:rFonts w:ascii="Calibri" w:hAnsi="Calibri" w:eastAsia="Calibri" w:cs="Calibri"/>
          <w:u w:val="single"/>
        </w:rPr>
        <w:t>because we do not recognise this faux-cosmopolitanism for what it is: the inverse of neoliberal globalization that contains</w:t>
      </w:r>
      <w:r>
        <w:rPr>
          <w:rFonts w:ascii="Calibri" w:hAnsi="Calibri" w:eastAsia="Calibri" w:cs="Calibri"/>
          <w:sz w:val="16"/>
          <w:szCs w:val="16"/>
        </w:rPr>
        <w:t xml:space="preserve">, embedded within it, </w:t>
      </w:r>
      <w:r>
        <w:rPr>
          <w:rFonts w:ascii="Calibri" w:hAnsi="Calibri" w:eastAsia="Calibri" w:cs="Calibri"/>
          <w:b/>
          <w:u w:val="single"/>
        </w:rPr>
        <w:t>a moral imperialism</w:t>
      </w:r>
      <w:r>
        <w:rPr>
          <w:rFonts w:ascii="Calibri" w:hAnsi="Calibri" w:eastAsia="Calibri" w:cs="Calibri"/>
          <w:u w:val="single"/>
        </w:rPr>
        <w:t xml:space="preserve"> that is in awe of sovereignty and the nation state</w:t>
      </w:r>
      <w:r>
        <w:rPr>
          <w:rFonts w:ascii="Calibri" w:hAnsi="Calibri" w:eastAsia="Calibri" w:cs="Calibri"/>
          <w:sz w:val="16"/>
          <w:szCs w:val="16"/>
        </w:rPr>
        <w:t xml:space="preserve">. (Douzinas 2007: 292) When this is coupled with Deleuze and Guattari’s observation that </w:t>
      </w:r>
      <w:r>
        <w:rPr>
          <w:rFonts w:ascii="Calibri" w:hAnsi="Calibri" w:eastAsia="Calibri" w:cs="Calibri"/>
          <w:u w:val="single"/>
        </w:rPr>
        <w:t xml:space="preserve">the State monopoly on the legitimate use and denition of violence can also be dened as a State monopoly on the imposition of the law that serves as the </w:t>
      </w:r>
      <w:r>
        <w:rPr>
          <w:rFonts w:ascii="Calibri" w:hAnsi="Calibri" w:eastAsia="Calibri" w:cs="Calibri"/>
          <w:b/>
          <w:u w:val="single"/>
        </w:rPr>
        <w:t>regulatory function of rights</w:t>
      </w:r>
      <w:r>
        <w:rPr>
          <w:rFonts w:ascii="Calibri" w:hAnsi="Calibri" w:eastAsia="Calibri" w:cs="Calibri"/>
          <w:sz w:val="16"/>
          <w:szCs w:val="16"/>
        </w:rPr>
        <w:t xml:space="preserve"> and that </w:t>
      </w:r>
      <w:r>
        <w:rPr>
          <w:rFonts w:ascii="Calibri" w:hAnsi="Calibri" w:eastAsia="Calibri" w:cs="Calibri"/>
          <w:u w:val="single"/>
        </w:rPr>
        <w:t>the State apparatus gains this monopoly through historical acts of direct violence and ongoing structural violence</w:t>
      </w:r>
      <w:r>
        <w:rPr>
          <w:rFonts w:ascii="Calibri" w:hAnsi="Calibri" w:eastAsia="Calibri" w:cs="Calibri"/>
          <w:sz w:val="16"/>
          <w:szCs w:val="16"/>
        </w:rPr>
        <w:t xml:space="preserve">, it can be argued that </w:t>
      </w:r>
      <w:r>
        <w:rPr>
          <w:rFonts w:ascii="Calibri" w:hAnsi="Calibri" w:eastAsia="Calibri" w:cs="Calibri"/>
          <w:u w:val="single"/>
        </w:rPr>
        <w:t xml:space="preserve">rights actually form a part of the </w:t>
      </w:r>
      <w:r>
        <w:rPr>
          <w:rFonts w:ascii="Calibri" w:hAnsi="Calibri" w:eastAsia="Calibri" w:cs="Calibri"/>
          <w:b/>
          <w:u w:val="single"/>
        </w:rPr>
        <w:t>propaganda</w:t>
      </w:r>
      <w:r>
        <w:rPr>
          <w:rFonts w:ascii="Calibri" w:hAnsi="Calibri" w:eastAsia="Calibri" w:cs="Calibri"/>
          <w:u w:val="single"/>
        </w:rPr>
        <w:t xml:space="preserve"> and conduct of conduct that operates within structurally violent hierarchical arrangements of power. “State policing or lawful violence </w:t>
      </w:r>
      <w:r>
        <w:rPr>
          <w:rFonts w:ascii="Calibri" w:hAnsi="Calibri" w:eastAsia="Calibri" w:cs="Calibri"/>
          <w:sz w:val="16"/>
          <w:szCs w:val="16"/>
        </w:rPr>
        <w:t xml:space="preserve">is something else again, because it </w:t>
      </w:r>
      <w:r>
        <w:rPr>
          <w:rFonts w:ascii="Calibri" w:hAnsi="Calibri" w:eastAsia="Calibri" w:cs="Calibri"/>
          <w:u w:val="single"/>
        </w:rPr>
        <w:t xml:space="preserve">consists in capturing while simultaneously constituting a </w:t>
      </w:r>
      <w:r>
        <w:rPr>
          <w:rFonts w:ascii="Calibri" w:hAnsi="Calibri" w:eastAsia="Calibri" w:cs="Calibri"/>
          <w:b/>
          <w:u w:val="single"/>
        </w:rPr>
        <w:t>right to capture</w:t>
      </w:r>
      <w:r>
        <w:rPr>
          <w:rFonts w:ascii="Calibri" w:hAnsi="Calibri" w:eastAsia="Calibri" w:cs="Calibri"/>
          <w:u w:val="single"/>
        </w:rPr>
        <w:t>. It is an incorporated, structural violence</w:t>
      </w:r>
      <w:r>
        <w:rPr>
          <w:rFonts w:ascii="Calibri" w:hAnsi="Calibri" w:eastAsia="Calibri" w:cs="Calibri"/>
          <w:sz w:val="16"/>
          <w:szCs w:val="16"/>
        </w:rPr>
        <w:t xml:space="preserve"> distinct from every kind of direct violence. The State has often been dened by a “monopoly of violence,” but this denition leads back to another denition that describes the State as a “state of Law” (Rechtsstaat). </w:t>
      </w:r>
      <w:r>
        <w:rPr>
          <w:rFonts w:ascii="Calibri" w:hAnsi="Calibri" w:eastAsia="Calibri" w:cs="Calibri"/>
          <w:u w:val="single"/>
        </w:rPr>
        <w:t xml:space="preserve">State overcoding is precisely this structural violence that denes the law, “police” violence and not </w:t>
      </w:r>
      <w:r>
        <w:rPr>
          <w:rFonts w:ascii="Calibri" w:hAnsi="Calibri" w:eastAsia="Calibri" w:cs="Calibri"/>
          <w:b/>
          <w:u w:val="single"/>
        </w:rPr>
        <w:t>the violence of war</w:t>
      </w:r>
      <w:r>
        <w:rPr>
          <w:rFonts w:ascii="Calibri" w:hAnsi="Calibri" w:eastAsia="Calibri" w:cs="Calibri"/>
          <w:u w:val="single"/>
        </w:rPr>
        <w:t>. There is lawful violence wherever violence contributes to the creation of that which it is used against</w:t>
      </w:r>
      <w:r>
        <w:rPr>
          <w:rFonts w:ascii="Calibri" w:hAnsi="Calibri" w:eastAsia="Calibri" w:cs="Calibri"/>
          <w:sz w:val="16"/>
          <w:szCs w:val="16"/>
        </w:rPr>
        <w:t xml:space="preserve">, or as Marx says, wherever capture contributes to the creation of that which it captures. This is very different from criminal violence. It is also why, in contradistinction to primitive violence, State or lawful violence always seems to presuppose itself, for it preexists its own use: </w:t>
      </w:r>
      <w:r>
        <w:rPr>
          <w:rFonts w:ascii="Calibri" w:hAnsi="Calibri" w:eastAsia="Calibri" w:cs="Calibri"/>
          <w:u w:val="single"/>
        </w:rPr>
        <w:t xml:space="preserve">the State can in this way say that violence is “primal,” that it is simply a natural phenomenon the responsibility for which does not lie with the State, which uses violence only against </w:t>
      </w:r>
      <w:r>
        <w:rPr>
          <w:rFonts w:ascii="Calibri" w:hAnsi="Calibri" w:eastAsia="Calibri" w:cs="Calibri"/>
          <w:b/>
          <w:u w:val="single"/>
        </w:rPr>
        <w:t>the violent</w:t>
      </w:r>
      <w:r>
        <w:rPr>
          <w:rFonts w:ascii="Calibri" w:hAnsi="Calibri" w:eastAsia="Calibri" w:cs="Calibri"/>
          <w:u w:val="single"/>
        </w:rPr>
        <w:t>, against “</w:t>
      </w:r>
      <w:r>
        <w:rPr>
          <w:rFonts w:ascii="Calibri" w:hAnsi="Calibri" w:eastAsia="Calibri" w:cs="Calibri"/>
          <w:b/>
          <w:u w:val="single"/>
        </w:rPr>
        <w:t>criminals</w:t>
      </w:r>
      <w:r>
        <w:rPr>
          <w:rFonts w:ascii="Calibri" w:hAnsi="Calibri" w:eastAsia="Calibri" w:cs="Calibri"/>
          <w:u w:val="single"/>
        </w:rPr>
        <w:t xml:space="preserve">” -against </w:t>
      </w:r>
      <w:r>
        <w:rPr>
          <w:rFonts w:ascii="Calibri" w:hAnsi="Calibri" w:eastAsia="Calibri" w:cs="Calibri"/>
          <w:b/>
          <w:u w:val="single"/>
        </w:rPr>
        <w:t>primitives</w:t>
      </w:r>
      <w:r>
        <w:rPr>
          <w:rFonts w:ascii="Calibri" w:hAnsi="Calibri" w:eastAsia="Calibri" w:cs="Calibri"/>
          <w:u w:val="single"/>
        </w:rPr>
        <w:t xml:space="preserve">, against </w:t>
      </w:r>
      <w:r>
        <w:rPr>
          <w:rFonts w:ascii="Calibri" w:hAnsi="Calibri" w:eastAsia="Calibri" w:cs="Calibri"/>
          <w:b/>
          <w:u w:val="single"/>
        </w:rPr>
        <w:t>nomads</w:t>
      </w:r>
      <w:r>
        <w:rPr>
          <w:rFonts w:ascii="Calibri" w:hAnsi="Calibri" w:eastAsia="Calibri" w:cs="Calibri"/>
          <w:u w:val="single"/>
        </w:rPr>
        <w:t>-in order that peace may reign.</w:t>
      </w:r>
      <w:r>
        <w:rPr>
          <w:rFonts w:ascii="Calibri" w:hAnsi="Calibri" w:eastAsia="Calibri" w:cs="Calibri"/>
          <w:sz w:val="16"/>
          <w:szCs w:val="16"/>
        </w:rPr>
        <w:t xml:space="preserve">” (Deleuze and Guattari 1987: 445) </w:t>
      </w:r>
      <w:r>
        <w:rPr>
          <w:rFonts w:ascii="Calibri" w:hAnsi="Calibri" w:eastAsia="Calibri" w:cs="Calibri"/>
          <w:u w:val="single"/>
        </w:rPr>
        <w:t xml:space="preserve">Rights, to the extent that it </w:t>
      </w:r>
      <w:r>
        <w:rPr>
          <w:rFonts w:ascii="Calibri" w:hAnsi="Calibri" w:eastAsia="Calibri" w:cs="Calibri"/>
          <w:b/>
          <w:u w:val="single"/>
        </w:rPr>
        <w:t>operates on normative interpretations of humanity</w:t>
      </w:r>
      <w:r>
        <w:rPr>
          <w:rFonts w:ascii="Calibri" w:hAnsi="Calibri" w:eastAsia="Calibri" w:cs="Calibri"/>
          <w:sz w:val="16"/>
          <w:szCs w:val="16"/>
        </w:rPr>
        <w:t xml:space="preserve">, itself </w:t>
      </w:r>
      <w:r>
        <w:rPr>
          <w:rFonts w:ascii="Calibri" w:hAnsi="Calibri" w:eastAsia="Calibri" w:cs="Calibri"/>
          <w:u w:val="single"/>
        </w:rPr>
        <w:t xml:space="preserve">seeks a further monopoly through which it can impose a </w:t>
      </w:r>
      <w:r>
        <w:rPr>
          <w:rFonts w:ascii="Calibri" w:hAnsi="Calibri" w:eastAsia="Calibri" w:cs="Calibri"/>
          <w:b/>
          <w:u w:val="single"/>
        </w:rPr>
        <w:t>humanist, imperialist, neo-colonialist view of the subject and subjectivity</w:t>
      </w:r>
      <w:r>
        <w:rPr>
          <w:rFonts w:ascii="Calibri" w:hAnsi="Calibri" w:eastAsia="Calibri" w:cs="Calibri"/>
          <w:sz w:val="16"/>
          <w:szCs w:val="16"/>
        </w:rPr>
        <w:t xml:space="preserve">, even though </w:t>
      </w:r>
      <w:r>
        <w:rPr>
          <w:rFonts w:ascii="Calibri" w:hAnsi="Calibri" w:eastAsia="Calibri" w:cs="Calibri"/>
          <w:u w:val="single"/>
        </w:rPr>
        <w:t xml:space="preserve">historically it is this exact identity that was imposed on </w:t>
      </w:r>
      <w:r>
        <w:rPr>
          <w:rFonts w:ascii="Calibri" w:hAnsi="Calibri" w:eastAsia="Calibri" w:cs="Calibri"/>
          <w:b/>
          <w:u w:val="single"/>
        </w:rPr>
        <w:t>colonized others</w:t>
      </w:r>
      <w:r>
        <w:rPr>
          <w:rFonts w:ascii="Calibri" w:hAnsi="Calibri" w:eastAsia="Calibri" w:cs="Calibri"/>
          <w:sz w:val="16"/>
          <w:szCs w:val="16"/>
        </w:rPr>
        <w:t xml:space="preserve"> (both external, </w:t>
      </w:r>
      <w:r>
        <w:rPr>
          <w:rFonts w:ascii="Calibri" w:hAnsi="Calibri" w:eastAsia="Calibri" w:cs="Calibri"/>
          <w:u w:val="single"/>
        </w:rPr>
        <w:t>through ‘</w:t>
      </w:r>
      <w:r>
        <w:rPr>
          <w:rFonts w:ascii="Calibri" w:hAnsi="Calibri" w:eastAsia="Calibri" w:cs="Calibri"/>
          <w:b/>
          <w:u w:val="single"/>
        </w:rPr>
        <w:t>civilizing’ missions</w:t>
      </w:r>
      <w:r>
        <w:rPr>
          <w:rFonts w:ascii="Calibri" w:hAnsi="Calibri" w:eastAsia="Calibri" w:cs="Calibri"/>
          <w:u w:val="single"/>
        </w:rPr>
        <w:t xml:space="preserve"> and</w:t>
      </w:r>
      <w:r>
        <w:rPr>
          <w:rFonts w:ascii="Calibri" w:hAnsi="Calibri" w:eastAsia="Calibri" w:cs="Calibri"/>
          <w:sz w:val="16"/>
          <w:szCs w:val="16"/>
        </w:rPr>
        <w:t xml:space="preserve"> internal, </w:t>
      </w:r>
      <w:r>
        <w:rPr>
          <w:rFonts w:ascii="Calibri" w:hAnsi="Calibri" w:eastAsia="Calibri" w:cs="Calibri"/>
          <w:u w:val="single"/>
        </w:rPr>
        <w:t xml:space="preserve">through the humanist, universalist declarations, charters and bills of rights that follow each ‘revolution’) in the services of </w:t>
      </w:r>
      <w:r>
        <w:rPr>
          <w:rFonts w:ascii="Calibri" w:hAnsi="Calibri" w:eastAsia="Calibri" w:cs="Calibri"/>
          <w:b/>
          <w:u w:val="single"/>
        </w:rPr>
        <w:t>Empire</w:t>
      </w:r>
      <w:r>
        <w:rPr>
          <w:rFonts w:ascii="Calibri" w:hAnsi="Calibri" w:eastAsia="Calibri" w:cs="Calibri"/>
          <w:u w:val="single"/>
        </w:rPr>
        <w:t>, justifying ‘</w:t>
      </w:r>
      <w:r>
        <w:rPr>
          <w:rFonts w:ascii="Calibri" w:hAnsi="Calibri" w:eastAsia="Calibri" w:cs="Calibri"/>
          <w:b/>
          <w:u w:val="single"/>
        </w:rPr>
        <w:t>enslavement, atrocities</w:t>
      </w:r>
      <w:r>
        <w:rPr>
          <w:rFonts w:ascii="Calibri" w:hAnsi="Calibri" w:eastAsia="Calibri" w:cs="Calibri"/>
          <w:u w:val="single"/>
        </w:rPr>
        <w:t>, and</w:t>
      </w:r>
      <w:r>
        <w:rPr>
          <w:rFonts w:ascii="Calibri" w:hAnsi="Calibri" w:eastAsia="Calibri" w:cs="Calibri"/>
          <w:sz w:val="16"/>
          <w:szCs w:val="16"/>
        </w:rPr>
        <w:t xml:space="preserve"> even </w:t>
      </w:r>
      <w:r>
        <w:rPr>
          <w:rFonts w:ascii="Calibri" w:hAnsi="Calibri" w:eastAsia="Calibri" w:cs="Calibri"/>
          <w:b/>
          <w:u w:val="single"/>
        </w:rPr>
        <w:t>annihilation</w:t>
      </w:r>
      <w:r>
        <w:rPr>
          <w:rFonts w:ascii="Calibri" w:hAnsi="Calibri" w:eastAsia="Calibri" w:cs="Calibri"/>
          <w:u w:val="single"/>
        </w:rPr>
        <w:t xml:space="preserve"> as strategies’</w:t>
      </w:r>
      <w:r>
        <w:rPr>
          <w:rFonts w:ascii="Calibri" w:hAnsi="Calibri" w:eastAsia="Calibri" w:cs="Calibri"/>
          <w:sz w:val="16"/>
          <w:szCs w:val="16"/>
        </w:rPr>
        <w:t xml:space="preserve"> (Douzinas 2013) </w:t>
      </w:r>
      <w:r>
        <w:rPr>
          <w:rFonts w:ascii="Calibri" w:hAnsi="Calibri" w:eastAsia="Calibri" w:cs="Calibri"/>
          <w:u w:val="single"/>
        </w:rPr>
        <w:t xml:space="preserve">whereby the savage other is brought into the </w:t>
      </w:r>
      <w:r>
        <w:rPr>
          <w:rFonts w:ascii="Calibri" w:hAnsi="Calibri" w:eastAsia="Calibri" w:cs="Calibri"/>
          <w:u w:val="single"/>
        </w:rPr>
        <w:lastRenderedPageBreak/>
        <w:t>fold of liberal Enlightened humanity. This has continued</w:t>
      </w:r>
      <w:r>
        <w:rPr>
          <w:rFonts w:ascii="Calibri" w:hAnsi="Calibri" w:eastAsia="Calibri" w:cs="Calibri"/>
          <w:sz w:val="16"/>
          <w:szCs w:val="16"/>
        </w:rPr>
        <w:t xml:space="preserve"> to the current day, perhaps most notably </w:t>
      </w:r>
      <w:r>
        <w:rPr>
          <w:rFonts w:ascii="Calibri" w:hAnsi="Calibri" w:eastAsia="Calibri" w:cs="Calibri"/>
          <w:u w:val="single"/>
        </w:rPr>
        <w:t>in the US’s noble ‘bringing of human rights’ to the Middle East and various other ‘underdeveloped’ peoples</w:t>
      </w:r>
      <w:r>
        <w:rPr>
          <w:rFonts w:ascii="Calibri" w:hAnsi="Calibri" w:eastAsia="Calibri" w:cs="Calibri"/>
          <w:sz w:val="16"/>
          <w:szCs w:val="16"/>
        </w:rPr>
        <w:t>, this despite that fact that ‘</w:t>
      </w:r>
      <w:r>
        <w:rPr>
          <w:rFonts w:ascii="Calibri" w:hAnsi="Calibri" w:eastAsia="Calibri" w:cs="Calibri"/>
          <w:u w:val="single"/>
        </w:rPr>
        <w:t xml:space="preserve">the idea of </w:t>
      </w:r>
      <w:r>
        <w:rPr>
          <w:rFonts w:ascii="Calibri" w:hAnsi="Calibri" w:eastAsia="Calibri" w:cs="Calibri"/>
          <w:b/>
          <w:u w:val="single"/>
        </w:rPr>
        <w:t>humanity has no fixed meaning</w:t>
      </w:r>
      <w:r>
        <w:rPr>
          <w:rFonts w:ascii="Calibri" w:hAnsi="Calibri" w:eastAsia="Calibri" w:cs="Calibri"/>
          <w:u w:val="single"/>
        </w:rPr>
        <w:t xml:space="preserve"> and </w:t>
      </w:r>
      <w:r>
        <w:rPr>
          <w:rFonts w:ascii="Calibri" w:hAnsi="Calibri" w:eastAsia="Calibri" w:cs="Calibri"/>
          <w:b/>
          <w:u w:val="single"/>
        </w:rPr>
        <w:t>cannot act as the source of moral or legal rules</w:t>
      </w:r>
      <w:r>
        <w:rPr>
          <w:rFonts w:ascii="Calibri" w:hAnsi="Calibri" w:eastAsia="Calibri" w:cs="Calibri"/>
          <w:sz w:val="16"/>
          <w:szCs w:val="16"/>
        </w:rPr>
        <w:t xml:space="preserve">. Historically, </w:t>
      </w:r>
      <w:r>
        <w:rPr>
          <w:rFonts w:ascii="Calibri" w:hAnsi="Calibri" w:eastAsia="Calibri" w:cs="Calibri"/>
          <w:u w:val="single"/>
        </w:rPr>
        <w:t xml:space="preserve">the idea has been used to classify people into </w:t>
      </w:r>
      <w:r>
        <w:rPr>
          <w:rFonts w:ascii="Calibri" w:hAnsi="Calibri" w:eastAsia="Calibri" w:cs="Calibri"/>
          <w:b/>
          <w:u w:val="single"/>
        </w:rPr>
        <w:t>the fully human</w:t>
      </w:r>
      <w:r>
        <w:rPr>
          <w:rFonts w:ascii="Times New Roman" w:hAnsi="Times New Roman" w:eastAsia="Times New Roman" w:cs="Times New Roman"/>
          <w:u w:val="single"/>
        </w:rPr>
        <w:t xml:space="preserve">, </w:t>
      </w:r>
      <w:r>
        <w:rPr>
          <w:rFonts w:ascii="Calibri" w:hAnsi="Calibri" w:eastAsia="Calibri" w:cs="Calibri"/>
          <w:b/>
          <w:u w:val="single"/>
        </w:rPr>
        <w:t>the lesser human</w:t>
      </w:r>
      <w:r>
        <w:rPr>
          <w:rFonts w:ascii="Calibri" w:hAnsi="Calibri" w:eastAsia="Calibri" w:cs="Calibri"/>
          <w:u w:val="single"/>
        </w:rPr>
        <w:t xml:space="preserve">, and </w:t>
      </w:r>
      <w:r>
        <w:rPr>
          <w:rFonts w:ascii="Calibri" w:hAnsi="Calibri" w:eastAsia="Calibri" w:cs="Calibri"/>
          <w:b/>
          <w:u w:val="single"/>
        </w:rPr>
        <w:t>the inhuman</w:t>
      </w:r>
      <w:r>
        <w:rPr>
          <w:rFonts w:ascii="Calibri" w:hAnsi="Calibri" w:eastAsia="Calibri" w:cs="Calibri"/>
          <w:u w:val="single"/>
        </w:rPr>
        <w:t>. If humanity is the normative source of moral and legal rules, do we know what humanity is</w:t>
      </w:r>
      <w:r>
        <w:rPr>
          <w:rFonts w:ascii="Calibri" w:hAnsi="Calibri" w:eastAsia="Calibri" w:cs="Calibri"/>
          <w:sz w:val="16"/>
          <w:szCs w:val="16"/>
        </w:rPr>
        <w:t xml:space="preserve">?’ (ibid.) </w:t>
      </w:r>
    </w:p>
    <w:p xmlns:wp14="http://schemas.microsoft.com/office/word/2010/wordml" w:rsidR="00507555" w:rsidP="00507555" w:rsidRDefault="00507555" w14:paraId="4357A966" wp14:textId="77777777">
      <w:pPr>
        <w:rPr>
          <w:rFonts w:ascii="Calibri" w:hAnsi="Calibri" w:eastAsia="Calibri" w:cs="Calibri"/>
          <w:b/>
          <w:sz w:val="26"/>
          <w:szCs w:val="26"/>
        </w:rPr>
      </w:pPr>
    </w:p>
    <w:p xmlns:wp14="http://schemas.microsoft.com/office/word/2010/wordml" w:rsidR="00507555" w:rsidP="00507555" w:rsidRDefault="00507555" w14:paraId="650DDAEA" wp14:textId="77777777">
      <w:pPr>
        <w:pStyle w:val="Heading3"/>
        <w:rPr>
          <w:rFonts w:eastAsia="Calibri"/>
        </w:rPr>
      </w:pPr>
      <w:r>
        <w:rPr>
          <w:rFonts w:eastAsia="Calibri"/>
        </w:rPr>
        <w:lastRenderedPageBreak/>
        <w:t>I: Necropolitics</w:t>
      </w:r>
    </w:p>
    <w:p xmlns:wp14="http://schemas.microsoft.com/office/word/2010/wordml" w:rsidR="00507555" w:rsidP="00507555" w:rsidRDefault="00507555" w14:paraId="55153593" wp14:textId="77777777">
      <w:pPr>
        <w:pStyle w:val="Heading4"/>
        <w:rPr>
          <w:rFonts w:eastAsia="Calibri"/>
        </w:rPr>
      </w:pPr>
      <w:r>
        <w:rPr>
          <w:rFonts w:eastAsia="Calibri"/>
        </w:rPr>
        <w:t xml:space="preserve">Liberal taxonomies of nations and individuals produce figures of sovereignty whose consolidation produces a necessarily colonial inside and outside to the nation. The impact is necropolitical violence. </w:t>
      </w:r>
    </w:p>
    <w:p xmlns:wp14="http://schemas.microsoft.com/office/word/2010/wordml" w:rsidR="00507555" w:rsidP="00507555" w:rsidRDefault="00507555" w14:paraId="7E95361B" wp14:textId="77777777">
      <w:pPr>
        <w:rPr>
          <w:rFonts w:ascii="Calibri" w:hAnsi="Calibri" w:eastAsia="Calibri" w:cs="Calibri"/>
        </w:rPr>
      </w:pPr>
      <w:r w:rsidRPr="009C43F3">
        <w:rPr>
          <w:rStyle w:val="Style13ptBold"/>
        </w:rPr>
        <w:t>Mbembe 03</w:t>
      </w:r>
      <w:r>
        <w:rPr>
          <w:rFonts w:ascii="Calibri" w:hAnsi="Calibri" w:eastAsia="Calibri" w:cs="Calibri"/>
          <w:b/>
          <w:sz w:val="26"/>
          <w:szCs w:val="26"/>
        </w:rPr>
        <w:t xml:space="preserve"> </w:t>
      </w:r>
      <w:r>
        <w:rPr>
          <w:rFonts w:ascii="Calibri" w:hAnsi="Calibri" w:eastAsia="Calibri" w:cs="Calibri"/>
        </w:rPr>
        <w:t xml:space="preserve">[Mbembe Achille, research professor in history and politics at Harvard University's W.E.B. Dubois Research Institute, “Necropolitics,” </w:t>
      </w:r>
      <w:r>
        <w:rPr>
          <w:rFonts w:ascii="Calibri" w:hAnsi="Calibri" w:eastAsia="Calibri" w:cs="Calibri"/>
          <w:i/>
        </w:rPr>
        <w:t>Public Culture</w:t>
      </w:r>
      <w:r>
        <w:rPr>
          <w:rFonts w:ascii="Calibri" w:hAnsi="Calibri" w:eastAsia="Calibri" w:cs="Calibri"/>
        </w:rPr>
        <w:t xml:space="preserve"> Volume 15 Number 1, Duke University Press, 2003, pg. 11-15,https://muse.jhu.edu/article/39984]//KI </w:t>
      </w:r>
    </w:p>
    <w:p xmlns:wp14="http://schemas.microsoft.com/office/word/2010/wordml" w:rsidR="00507555" w:rsidP="00507555" w:rsidRDefault="00507555" w14:paraId="44B67A4F" wp14:textId="77777777">
      <w:pPr>
        <w:rPr>
          <w:rFonts w:ascii="Calibri" w:hAnsi="Calibri" w:eastAsia="Calibri" w:cs="Calibri"/>
        </w:rPr>
      </w:pPr>
      <w:r>
        <w:rPr>
          <w:rFonts w:ascii="Calibri" w:hAnsi="Calibri" w:eastAsia="Calibri" w:cs="Calibri"/>
          <w:sz w:val="16"/>
          <w:szCs w:val="16"/>
        </w:rPr>
        <w:t>This essay assumes that</w:t>
      </w:r>
      <w:r>
        <w:t xml:space="preserve"> </w:t>
      </w:r>
      <w:r>
        <w:rPr>
          <w:rFonts w:ascii="Calibri" w:hAnsi="Calibri" w:eastAsia="Calibri" w:cs="Calibri"/>
          <w:u w:val="single"/>
        </w:rPr>
        <w:t>the ultimate expression of sovereignty resides</w:t>
      </w:r>
      <w:r>
        <w:t xml:space="preserve">, </w:t>
      </w:r>
      <w:r>
        <w:rPr>
          <w:rFonts w:ascii="Calibri" w:hAnsi="Calibri" w:eastAsia="Calibri" w:cs="Calibri"/>
          <w:sz w:val="16"/>
          <w:szCs w:val="16"/>
        </w:rPr>
        <w:t>to a large degree</w:t>
      </w:r>
      <w:r>
        <w:t xml:space="preserve">, </w:t>
      </w:r>
      <w:r>
        <w:rPr>
          <w:rFonts w:ascii="Calibri" w:hAnsi="Calibri" w:eastAsia="Calibri" w:cs="Calibri"/>
          <w:u w:val="single"/>
        </w:rPr>
        <w:t xml:space="preserve">in the power and the capacity to dictate </w:t>
      </w:r>
      <w:r>
        <w:rPr>
          <w:rFonts w:ascii="Calibri" w:hAnsi="Calibri" w:eastAsia="Calibri" w:cs="Calibri"/>
          <w:b/>
          <w:u w:val="single"/>
        </w:rPr>
        <w:t>who may live and who must die</w:t>
      </w:r>
      <w:r>
        <w:rPr>
          <w:u w:val="single"/>
        </w:rPr>
        <w:t>.</w:t>
      </w:r>
      <w:r>
        <w:rPr>
          <w:rFonts w:ascii="Calibri" w:hAnsi="Calibri" w:eastAsia="Calibri" w:cs="Calibri"/>
        </w:rPr>
        <w:t xml:space="preserve">1 </w:t>
      </w:r>
      <w:r>
        <w:rPr>
          <w:rFonts w:ascii="Calibri" w:hAnsi="Calibri" w:eastAsia="Calibri" w:cs="Calibri"/>
          <w:sz w:val="16"/>
          <w:szCs w:val="16"/>
        </w:rPr>
        <w:t>Hence</w:t>
      </w:r>
      <w:r>
        <w:t xml:space="preserve">, </w:t>
      </w:r>
      <w:r>
        <w:rPr>
          <w:rFonts w:ascii="Calibri" w:hAnsi="Calibri" w:eastAsia="Calibri" w:cs="Calibri"/>
          <w:u w:val="single"/>
        </w:rPr>
        <w:t xml:space="preserve">to kill or to allow to live constitute the limits of sovereignty, its fundamental attributes. To exercise sovereignty is to </w:t>
      </w:r>
      <w:r>
        <w:rPr>
          <w:rFonts w:ascii="Calibri" w:hAnsi="Calibri" w:eastAsia="Calibri" w:cs="Calibri"/>
          <w:b/>
          <w:u w:val="single"/>
        </w:rPr>
        <w:t>exercise control over mor- tality</w:t>
      </w:r>
      <w:r>
        <w:rPr>
          <w:rFonts w:ascii="Calibri" w:hAnsi="Calibri" w:eastAsia="Calibri" w:cs="Calibri"/>
          <w:u w:val="single"/>
        </w:rPr>
        <w:t xml:space="preserve"> and to </w:t>
      </w:r>
      <w:r>
        <w:rPr>
          <w:rFonts w:ascii="Calibri" w:hAnsi="Calibri" w:eastAsia="Calibri" w:cs="Calibri"/>
          <w:b/>
          <w:u w:val="single"/>
        </w:rPr>
        <w:t>define life as the deployment and manifestation of power</w:t>
      </w:r>
      <w:r>
        <w:rPr>
          <w:u w:val="single"/>
        </w:rPr>
        <w:t xml:space="preserve">.  </w:t>
      </w:r>
      <w:r>
        <w:rPr>
          <w:rFonts w:ascii="Calibri" w:hAnsi="Calibri" w:eastAsia="Calibri" w:cs="Calibri"/>
          <w:sz w:val="16"/>
          <w:szCs w:val="16"/>
        </w:rPr>
        <w:t>One could summarize in the above terms what Michel Foucault meant by</w:t>
      </w:r>
      <w:r>
        <w:t xml:space="preserve"> </w:t>
      </w:r>
      <w:r>
        <w:rPr>
          <w:rFonts w:ascii="Calibri" w:hAnsi="Calibri" w:eastAsia="Calibri" w:cs="Calibri"/>
          <w:i/>
          <w:u w:val="single"/>
        </w:rPr>
        <w:t>biopower</w:t>
      </w:r>
      <w:r>
        <w:rPr>
          <w:u w:val="single"/>
        </w:rPr>
        <w:t xml:space="preserve">: </w:t>
      </w:r>
      <w:r>
        <w:rPr>
          <w:rFonts w:ascii="Calibri" w:hAnsi="Calibri" w:eastAsia="Calibri" w:cs="Calibri"/>
          <w:b/>
          <w:u w:val="single"/>
        </w:rPr>
        <w:t>that domain of life over which power has taken control</w:t>
      </w:r>
      <w:r>
        <w:t>.</w:t>
      </w:r>
      <w:r>
        <w:rPr>
          <w:rFonts w:ascii="Calibri" w:hAnsi="Calibri" w:eastAsia="Calibri" w:cs="Calibri"/>
          <w:sz w:val="16"/>
          <w:szCs w:val="16"/>
        </w:rPr>
        <w:t>2 But under what practical conditions is the right to kill, to allow to live, or to expose to death exercised? Who is the subject of this right? What does the implementation of such a right tell us about the person who is thus put to death and about the relation of enmity that sets that person against his or her murderer? Is the notion of biopower sufficient to account for the contemporary ways in which the political, under the guise of war, of resistance, or of the fight against terror, makes the mur- der of the enemy its primary and absolute objective? War, after all, is as much a means of achieving sovereignty as a way of exercising the right to kill. Imagining politics as a form of war, we must ask:</w:t>
      </w:r>
      <w:r>
        <w:t xml:space="preserve"> </w:t>
      </w:r>
      <w:r>
        <w:rPr>
          <w:rFonts w:ascii="Calibri" w:hAnsi="Calibri" w:eastAsia="Calibri" w:cs="Calibri"/>
          <w:u w:val="single"/>
        </w:rPr>
        <w:t>What place is given to life, death, and the human body</w:t>
      </w:r>
      <w:r>
        <w:t xml:space="preserve"> </w:t>
      </w:r>
      <w:r>
        <w:rPr>
          <w:rFonts w:ascii="Calibri" w:hAnsi="Calibri" w:eastAsia="Calibri" w:cs="Calibri"/>
          <w:sz w:val="16"/>
          <w:szCs w:val="16"/>
        </w:rPr>
        <w:t xml:space="preserve">(in particular the wounded or slain body)? How are they inscribed in the order of power? </w:t>
      </w:r>
      <w:r>
        <w:rPr>
          <w:u w:val="single"/>
        </w:rPr>
        <w:t xml:space="preserve"> </w:t>
      </w:r>
      <w:r>
        <w:rPr>
          <w:rFonts w:ascii="Calibri" w:hAnsi="Calibri" w:eastAsia="Calibri" w:cs="Calibri"/>
          <w:sz w:val="16"/>
          <w:szCs w:val="16"/>
        </w:rPr>
        <w:t>Politics, the Work of Death, and the “Becoming Subject” In order to answer these questions,</w:t>
      </w:r>
      <w:r>
        <w:t xml:space="preserve"> </w:t>
      </w:r>
      <w:r>
        <w:rPr>
          <w:rFonts w:ascii="Calibri" w:hAnsi="Calibri" w:eastAsia="Calibri" w:cs="Calibri"/>
          <w:u w:val="single"/>
        </w:rPr>
        <w:t>this essay draws on the concept of biopower and explores its relation to notions of sovereignty (</w:t>
      </w:r>
      <w:r>
        <w:rPr>
          <w:rFonts w:ascii="Calibri" w:hAnsi="Calibri" w:eastAsia="Calibri" w:cs="Calibri"/>
          <w:i/>
          <w:u w:val="single"/>
        </w:rPr>
        <w:t>imperium</w:t>
      </w:r>
      <w:r>
        <w:rPr>
          <w:rFonts w:ascii="Calibri" w:hAnsi="Calibri" w:eastAsia="Calibri" w:cs="Calibri"/>
          <w:u w:val="single"/>
        </w:rPr>
        <w:t>) and the state of excep- tion.3</w:t>
      </w:r>
      <w:r>
        <w:t xml:space="preserve"> </w:t>
      </w:r>
      <w:r>
        <w:rPr>
          <w:rFonts w:ascii="Calibri" w:hAnsi="Calibri" w:eastAsia="Calibri" w:cs="Calibri"/>
          <w:sz w:val="16"/>
          <w:szCs w:val="16"/>
        </w:rPr>
        <w:t>Such an analysis raises a number of empirical and philosophical questions I would like to examine briefly. As is well known</w:t>
      </w:r>
      <w:r>
        <w:rPr>
          <w:rFonts w:ascii="Calibri" w:hAnsi="Calibri" w:eastAsia="Calibri" w:cs="Calibri"/>
        </w:rPr>
        <w:t xml:space="preserve">, the concept of </w:t>
      </w:r>
      <w:r>
        <w:rPr>
          <w:rFonts w:ascii="Calibri" w:hAnsi="Calibri" w:eastAsia="Calibri" w:cs="Calibri"/>
          <w:u w:val="single"/>
        </w:rPr>
        <w:t>the state of excep- tion has been</w:t>
      </w:r>
      <w:r>
        <w:rPr>
          <w:rFonts w:ascii="Calibri" w:hAnsi="Calibri" w:eastAsia="Calibri" w:cs="Calibri"/>
        </w:rPr>
        <w:t xml:space="preserve"> often </w:t>
      </w:r>
      <w:r>
        <w:rPr>
          <w:rFonts w:ascii="Calibri" w:hAnsi="Calibri" w:eastAsia="Calibri" w:cs="Calibri"/>
          <w:u w:val="single"/>
        </w:rPr>
        <w:t>discussed in relation to Nazism, totalitarianism, and the con- centration/extermination camps. The death camps</w:t>
      </w:r>
      <w:r>
        <w:t xml:space="preserve"> </w:t>
      </w:r>
      <w:r>
        <w:rPr>
          <w:rFonts w:ascii="Calibri" w:hAnsi="Calibri" w:eastAsia="Calibri" w:cs="Calibri"/>
          <w:sz w:val="16"/>
          <w:szCs w:val="16"/>
        </w:rPr>
        <w:t>in particular</w:t>
      </w:r>
      <w:r>
        <w:t xml:space="preserve"> </w:t>
      </w:r>
      <w:r>
        <w:rPr>
          <w:rFonts w:ascii="Calibri" w:hAnsi="Calibri" w:eastAsia="Calibri" w:cs="Calibri"/>
          <w:u w:val="single"/>
        </w:rPr>
        <w:t>have been inter- preted</w:t>
      </w:r>
      <w:r>
        <w:t xml:space="preserve"> </w:t>
      </w:r>
      <w:r>
        <w:rPr>
          <w:rFonts w:ascii="Calibri" w:hAnsi="Calibri" w:eastAsia="Calibri" w:cs="Calibri"/>
          <w:sz w:val="16"/>
          <w:szCs w:val="16"/>
        </w:rPr>
        <w:t>variously</w:t>
      </w:r>
      <w:r>
        <w:t xml:space="preserve"> </w:t>
      </w:r>
      <w:r>
        <w:rPr>
          <w:rFonts w:ascii="Calibri" w:hAnsi="Calibri" w:eastAsia="Calibri" w:cs="Calibri"/>
          <w:u w:val="single"/>
        </w:rPr>
        <w:t xml:space="preserve">as the central metaphor for sovereign and destructive violence and as </w:t>
      </w:r>
      <w:r>
        <w:rPr>
          <w:rFonts w:ascii="Calibri" w:hAnsi="Calibri" w:eastAsia="Calibri" w:cs="Calibri"/>
          <w:b/>
          <w:u w:val="single"/>
        </w:rPr>
        <w:t>the ultimate sign of the absolute power</w:t>
      </w:r>
      <w:r>
        <w:rPr>
          <w:rFonts w:ascii="Calibri" w:hAnsi="Calibri" w:eastAsia="Calibri" w:cs="Calibri"/>
          <w:u w:val="single"/>
        </w:rPr>
        <w:t xml:space="preserve"> of the negative</w:t>
      </w:r>
      <w:r>
        <w:t xml:space="preserve">. </w:t>
      </w:r>
      <w:r>
        <w:rPr>
          <w:rFonts w:ascii="Calibri" w:hAnsi="Calibri" w:eastAsia="Calibri" w:cs="Calibri"/>
          <w:sz w:val="16"/>
          <w:szCs w:val="16"/>
        </w:rPr>
        <w:t>Says Hannah Arendt: “</w:t>
      </w:r>
      <w:r>
        <w:rPr>
          <w:rFonts w:ascii="Calibri" w:hAnsi="Calibri" w:eastAsia="Calibri" w:cs="Calibri"/>
          <w:u w:val="single"/>
        </w:rPr>
        <w:t xml:space="preserve">There are no parallels to the life in the concentration camps. Its horror can never be fully embraced by the imagination for the very reason that </w:t>
      </w:r>
      <w:r>
        <w:rPr>
          <w:rFonts w:ascii="Calibri" w:hAnsi="Calibri" w:eastAsia="Calibri" w:cs="Calibri"/>
          <w:b/>
          <w:u w:val="single"/>
        </w:rPr>
        <w:t>it stands outside of life and death</w:t>
      </w:r>
      <w:r>
        <w:rPr>
          <w:rFonts w:ascii="Calibri" w:hAnsi="Calibri" w:eastAsia="Calibri" w:cs="Calibri"/>
          <w:sz w:val="16"/>
          <w:szCs w:val="16"/>
        </w:rPr>
        <w:t>.”4 Because</w:t>
      </w:r>
      <w:r>
        <w:t xml:space="preserve"> </w:t>
      </w:r>
      <w:r>
        <w:rPr>
          <w:rFonts w:ascii="Calibri" w:hAnsi="Calibri" w:eastAsia="Calibri" w:cs="Calibri"/>
          <w:u w:val="single"/>
        </w:rPr>
        <w:t xml:space="preserve">its inhabitants are divested of political status and </w:t>
      </w:r>
      <w:r>
        <w:rPr>
          <w:rFonts w:ascii="Calibri" w:hAnsi="Calibri" w:eastAsia="Calibri" w:cs="Calibri"/>
          <w:b/>
          <w:u w:val="single"/>
        </w:rPr>
        <w:t>reduced to bare life</w:t>
      </w:r>
      <w:r>
        <w:t xml:space="preserve">, </w:t>
      </w:r>
      <w:r>
        <w:rPr>
          <w:rFonts w:ascii="Calibri" w:hAnsi="Calibri" w:eastAsia="Calibri" w:cs="Calibri"/>
          <w:sz w:val="16"/>
          <w:szCs w:val="16"/>
        </w:rPr>
        <w:t xml:space="preserve">the camp is, for Giorgio Agamben, “the place in which the most absolute </w:t>
      </w:r>
      <w:r>
        <w:rPr>
          <w:rFonts w:ascii="Calibri" w:hAnsi="Calibri" w:eastAsia="Calibri" w:cs="Calibri"/>
          <w:i/>
          <w:sz w:val="16"/>
          <w:szCs w:val="16"/>
        </w:rPr>
        <w:t xml:space="preserve">conditio inhumana </w:t>
      </w:r>
      <w:r>
        <w:rPr>
          <w:rFonts w:ascii="Calibri" w:hAnsi="Calibri" w:eastAsia="Calibri" w:cs="Calibri"/>
          <w:sz w:val="16"/>
          <w:szCs w:val="16"/>
        </w:rPr>
        <w:t>ever to appear on Earth was realized.”5 In the political-juridical structure of the camp, he adds</w:t>
      </w:r>
      <w:r>
        <w:t xml:space="preserve">, </w:t>
      </w:r>
      <w:r>
        <w:rPr>
          <w:rFonts w:ascii="Calibri" w:hAnsi="Calibri" w:eastAsia="Calibri" w:cs="Calibri"/>
          <w:u w:val="single"/>
        </w:rPr>
        <w:t>the state of exception</w:t>
      </w:r>
      <w:r>
        <w:t xml:space="preserve"> </w:t>
      </w:r>
      <w:r>
        <w:rPr>
          <w:rFonts w:ascii="Calibri" w:hAnsi="Calibri" w:eastAsia="Calibri" w:cs="Calibri"/>
          <w:sz w:val="16"/>
          <w:szCs w:val="16"/>
        </w:rPr>
        <w:t>ceases to be a temporal sus- pension of the state of law. According to Agamben, it</w:t>
      </w:r>
      <w:r>
        <w:rPr>
          <w:rFonts w:ascii="Times New Roman" w:hAnsi="Times New Roman" w:eastAsia="Times New Roman" w:cs="Times New Roman"/>
        </w:rPr>
        <w:t xml:space="preserve"> </w:t>
      </w:r>
      <w:r>
        <w:rPr>
          <w:rFonts w:ascii="Calibri" w:hAnsi="Calibri" w:eastAsia="Calibri" w:cs="Calibri"/>
          <w:u w:val="single"/>
        </w:rPr>
        <w:t xml:space="preserve">acquires a permanent spatial arrangement that remains continually outside the normal state of law. </w:t>
      </w:r>
      <w:r>
        <w:rPr>
          <w:rFonts w:ascii="Calibri" w:hAnsi="Calibri" w:eastAsia="Calibri" w:cs="Calibri"/>
          <w:sz w:val="16"/>
          <w:szCs w:val="16"/>
        </w:rPr>
        <w:t>The aim of this essay is not to debate the singularity of the extermination of the Jews or to hold it up by way of example.6 I start from the idea that</w:t>
      </w:r>
      <w:r>
        <w:rPr>
          <w:rFonts w:ascii="Times New Roman" w:hAnsi="Times New Roman" w:eastAsia="Times New Roman" w:cs="Times New Roman"/>
        </w:rPr>
        <w:t xml:space="preserve"> </w:t>
      </w:r>
      <w:r>
        <w:rPr>
          <w:rFonts w:ascii="Calibri" w:hAnsi="Calibri" w:eastAsia="Calibri" w:cs="Calibri"/>
          <w:u w:val="single"/>
        </w:rPr>
        <w:t xml:space="preserve">modernity was at the origin of multiple concepts of sovereignty—and therefore of the biopoliti- cal. Disregarding this multiplicity, late-modern political criticism has unfortu- nately </w:t>
      </w:r>
      <w:r>
        <w:rPr>
          <w:rFonts w:ascii="Calibri" w:hAnsi="Calibri" w:eastAsia="Calibri" w:cs="Calibri"/>
          <w:b/>
          <w:u w:val="single"/>
        </w:rPr>
        <w:t>privileged normative theories of democracy</w:t>
      </w:r>
      <w:r>
        <w:rPr>
          <w:rFonts w:ascii="Calibri" w:hAnsi="Calibri" w:eastAsia="Calibri" w:cs="Calibri"/>
          <w:u w:val="single"/>
        </w:rPr>
        <w:t xml:space="preserve"> and has made the concept of reason one of the most important elements of both the project of modernity and of the topos of sovereignty.</w:t>
      </w:r>
      <w:r>
        <w:rPr>
          <w:rFonts w:ascii="Calibri" w:hAnsi="Calibri" w:eastAsia="Calibri" w:cs="Calibri"/>
        </w:rPr>
        <w:t xml:space="preserve">7 </w:t>
      </w:r>
      <w:r>
        <w:rPr>
          <w:rFonts w:ascii="Calibri" w:hAnsi="Calibri" w:eastAsia="Calibri" w:cs="Calibri"/>
          <w:sz w:val="16"/>
          <w:szCs w:val="16"/>
        </w:rPr>
        <w:t>From this perspective</w:t>
      </w:r>
      <w:r>
        <w:rPr>
          <w:rFonts w:ascii="Times New Roman" w:hAnsi="Times New Roman" w:eastAsia="Times New Roman" w:cs="Times New Roman"/>
        </w:rPr>
        <w:t xml:space="preserve">, </w:t>
      </w:r>
      <w:r>
        <w:rPr>
          <w:rFonts w:ascii="Calibri" w:hAnsi="Calibri" w:eastAsia="Calibri" w:cs="Calibri"/>
          <w:u w:val="single"/>
        </w:rPr>
        <w:t xml:space="preserve">the ultimate expression of sover- eignty is </w:t>
      </w:r>
      <w:r>
        <w:rPr>
          <w:rFonts w:ascii="Calibri" w:hAnsi="Calibri" w:eastAsia="Calibri" w:cs="Calibri"/>
          <w:b/>
          <w:u w:val="single"/>
        </w:rPr>
        <w:t>the production of general norms by a body</w:t>
      </w:r>
      <w:r>
        <w:rPr>
          <w:rFonts w:ascii="Calibri" w:hAnsi="Calibri" w:eastAsia="Calibri" w:cs="Calibri"/>
          <w:u w:val="single"/>
        </w:rPr>
        <w:t xml:space="preserve"> (the demos) made up of </w:t>
      </w:r>
      <w:r>
        <w:rPr>
          <w:rFonts w:ascii="Calibri" w:hAnsi="Calibri" w:eastAsia="Calibri" w:cs="Calibri"/>
          <w:b/>
          <w:u w:val="single"/>
        </w:rPr>
        <w:t>free and equal men and women</w:t>
      </w:r>
      <w:r>
        <w:rPr>
          <w:rFonts w:ascii="Calibri" w:hAnsi="Calibri" w:eastAsia="Calibri" w:cs="Calibri"/>
          <w:u w:val="single"/>
        </w:rPr>
        <w:t>. These men and women are posited as full subjects capable of self-understanding, self-consciousness, and self-representation. Poli- tics,</w:t>
      </w:r>
      <w:r>
        <w:rPr>
          <w:rFonts w:ascii="Times New Roman" w:hAnsi="Times New Roman" w:eastAsia="Times New Roman" w:cs="Times New Roman"/>
        </w:rPr>
        <w:t xml:space="preserve"> </w:t>
      </w:r>
      <w:r>
        <w:rPr>
          <w:rFonts w:ascii="Calibri" w:hAnsi="Calibri" w:eastAsia="Calibri" w:cs="Calibri"/>
          <w:sz w:val="16"/>
          <w:szCs w:val="16"/>
        </w:rPr>
        <w:t>therefore</w:t>
      </w:r>
      <w:r>
        <w:rPr>
          <w:rFonts w:ascii="Times New Roman" w:hAnsi="Times New Roman" w:eastAsia="Times New Roman" w:cs="Times New Roman"/>
        </w:rPr>
        <w:t xml:space="preserve">, </w:t>
      </w:r>
      <w:r>
        <w:rPr>
          <w:rFonts w:ascii="Calibri" w:hAnsi="Calibri" w:eastAsia="Calibri" w:cs="Calibri"/>
          <w:u w:val="single"/>
        </w:rPr>
        <w:t xml:space="preserve">is defined as </w:t>
      </w:r>
      <w:r>
        <w:rPr>
          <w:rFonts w:ascii="Calibri" w:hAnsi="Calibri" w:eastAsia="Calibri" w:cs="Calibri"/>
          <w:sz w:val="16"/>
          <w:szCs w:val="16"/>
        </w:rPr>
        <w:t>twofold</w:t>
      </w:r>
      <w:r>
        <w:rPr>
          <w:rFonts w:ascii="Times New Roman" w:hAnsi="Times New Roman" w:eastAsia="Times New Roman" w:cs="Times New Roman"/>
        </w:rPr>
        <w:t xml:space="preserve">: </w:t>
      </w:r>
      <w:r>
        <w:rPr>
          <w:rFonts w:ascii="Calibri" w:hAnsi="Calibri" w:eastAsia="Calibri" w:cs="Calibri"/>
          <w:u w:val="single"/>
        </w:rPr>
        <w:t xml:space="preserve">a project of autonomy and the achieving of agreement among a collectivity through communication and recognition. This, we are told, is what differentiates it from </w:t>
      </w:r>
      <w:r>
        <w:rPr>
          <w:rFonts w:ascii="Calibri" w:hAnsi="Calibri" w:eastAsia="Calibri" w:cs="Calibri"/>
          <w:b/>
          <w:u w:val="single"/>
        </w:rPr>
        <w:t>war</w:t>
      </w:r>
      <w:r>
        <w:rPr>
          <w:rFonts w:ascii="Times New Roman" w:hAnsi="Times New Roman" w:eastAsia="Times New Roman" w:cs="Times New Roman"/>
        </w:rPr>
        <w:t>.</w:t>
      </w:r>
      <w:r>
        <w:rPr>
          <w:rFonts w:ascii="Calibri" w:hAnsi="Calibri" w:eastAsia="Calibri" w:cs="Calibri"/>
        </w:rPr>
        <w:t xml:space="preserve">8 </w:t>
      </w:r>
      <w:r>
        <w:rPr>
          <w:rFonts w:ascii="Calibri" w:hAnsi="Calibri" w:eastAsia="Calibri" w:cs="Calibri"/>
          <w:sz w:val="16"/>
          <w:szCs w:val="16"/>
        </w:rPr>
        <w:t>In other words,</w:t>
      </w:r>
      <w:r>
        <w:rPr>
          <w:rFonts w:ascii="Times New Roman" w:hAnsi="Times New Roman" w:eastAsia="Times New Roman" w:cs="Times New Roman"/>
        </w:rPr>
        <w:t xml:space="preserve"> </w:t>
      </w:r>
      <w:r>
        <w:rPr>
          <w:rFonts w:ascii="Calibri" w:hAnsi="Calibri" w:eastAsia="Calibri" w:cs="Calibri"/>
          <w:u w:val="single"/>
        </w:rPr>
        <w:t xml:space="preserve">it is on the basis of a </w:t>
      </w:r>
      <w:r>
        <w:rPr>
          <w:rFonts w:ascii="Calibri" w:hAnsi="Calibri" w:eastAsia="Calibri" w:cs="Calibri"/>
          <w:b/>
          <w:u w:val="single"/>
        </w:rPr>
        <w:t>distinction between reason and unreason</w:t>
      </w:r>
      <w:r>
        <w:rPr>
          <w:rFonts w:ascii="Calibri" w:hAnsi="Calibri" w:eastAsia="Calibri" w:cs="Calibri"/>
          <w:u w:val="single"/>
        </w:rPr>
        <w:t xml:space="preserve"> (passion, fantasy) that late-modern criticism has been able to articulate a certain idea of </w:t>
      </w:r>
      <w:r>
        <w:rPr>
          <w:rFonts w:ascii="Calibri" w:hAnsi="Calibri" w:eastAsia="Calibri" w:cs="Calibri"/>
          <w:b/>
          <w:u w:val="single"/>
        </w:rPr>
        <w:t>the political, the community, the subject</w:t>
      </w:r>
      <w:r>
        <w:rPr>
          <w:rFonts w:ascii="Calibri" w:hAnsi="Calibri" w:eastAsia="Calibri" w:cs="Calibri"/>
          <w:u w:val="single"/>
        </w:rPr>
        <w:t>—or</w:t>
      </w:r>
      <w:r>
        <w:rPr>
          <w:rFonts w:ascii="Times New Roman" w:hAnsi="Times New Roman" w:eastAsia="Times New Roman" w:cs="Times New Roman"/>
        </w:rPr>
        <w:t xml:space="preserve">, </w:t>
      </w:r>
      <w:r>
        <w:rPr>
          <w:rFonts w:ascii="Calibri" w:hAnsi="Calibri" w:eastAsia="Calibri" w:cs="Calibri"/>
          <w:sz w:val="16"/>
          <w:szCs w:val="16"/>
        </w:rPr>
        <w:t>more fundamentally</w:t>
      </w:r>
      <w:r>
        <w:rPr>
          <w:rFonts w:ascii="Times New Roman" w:hAnsi="Times New Roman" w:eastAsia="Times New Roman" w:cs="Times New Roman"/>
        </w:rPr>
        <w:t xml:space="preserve">, </w:t>
      </w:r>
      <w:r>
        <w:rPr>
          <w:rFonts w:ascii="Calibri" w:hAnsi="Calibri" w:eastAsia="Calibri" w:cs="Calibri"/>
          <w:u w:val="single"/>
        </w:rPr>
        <w:t>of what the good life is all about, how to achieve it, and, in the process, to become a fully moral agent.</w:t>
      </w:r>
      <w:r>
        <w:rPr>
          <w:rFonts w:ascii="Times New Roman" w:hAnsi="Times New Roman" w:eastAsia="Times New Roman" w:cs="Times New Roman"/>
        </w:rPr>
        <w:t xml:space="preserve"> </w:t>
      </w:r>
      <w:r>
        <w:rPr>
          <w:rFonts w:ascii="Calibri" w:hAnsi="Calibri" w:eastAsia="Calibri" w:cs="Calibri"/>
          <w:sz w:val="16"/>
          <w:szCs w:val="16"/>
        </w:rPr>
        <w:t>Within this paradigm,</w:t>
      </w:r>
      <w:r>
        <w:rPr>
          <w:rFonts w:ascii="Times New Roman" w:hAnsi="Times New Roman" w:eastAsia="Times New Roman" w:cs="Times New Roman"/>
        </w:rPr>
        <w:t xml:space="preserve"> </w:t>
      </w:r>
      <w:r>
        <w:rPr>
          <w:rFonts w:ascii="Calibri" w:hAnsi="Calibri" w:eastAsia="Calibri" w:cs="Calibri"/>
          <w:u w:val="single"/>
        </w:rPr>
        <w:t xml:space="preserve">reason is the truth of the subject and pol- itics is the exercise of reason in the public sphere. The exercise of reason is tan- </w:t>
      </w:r>
      <w:r>
        <w:rPr>
          <w:rFonts w:ascii="Calibri" w:hAnsi="Calibri" w:eastAsia="Calibri" w:cs="Calibri"/>
          <w:u w:val="single"/>
        </w:rPr>
        <w:lastRenderedPageBreak/>
        <w:t>tamount to the exercise of freedom, a key element for individual autonomy. The romance of sovereignty</w:t>
      </w:r>
      <w:r>
        <w:rPr>
          <w:rFonts w:ascii="Times New Roman" w:hAnsi="Times New Roman" w:eastAsia="Times New Roman" w:cs="Times New Roman"/>
        </w:rPr>
        <w:t xml:space="preserve">, </w:t>
      </w:r>
      <w:r>
        <w:rPr>
          <w:rFonts w:ascii="Calibri" w:hAnsi="Calibri" w:eastAsia="Calibri" w:cs="Calibri"/>
          <w:sz w:val="16"/>
          <w:szCs w:val="16"/>
        </w:rPr>
        <w:t>in this case,</w:t>
      </w:r>
      <w:r>
        <w:rPr>
          <w:rFonts w:ascii="Times New Roman" w:hAnsi="Times New Roman" w:eastAsia="Times New Roman" w:cs="Times New Roman"/>
        </w:rPr>
        <w:t xml:space="preserve"> </w:t>
      </w:r>
      <w:r>
        <w:rPr>
          <w:rFonts w:ascii="Calibri" w:hAnsi="Calibri" w:eastAsia="Calibri" w:cs="Calibri"/>
          <w:u w:val="single"/>
        </w:rPr>
        <w:t>rests on the belief that the subject is the master and the controlling author of his or her own meaning. Sovereignty is</w:t>
      </w:r>
      <w:r>
        <w:rPr>
          <w:rFonts w:ascii="Times New Roman" w:hAnsi="Times New Roman" w:eastAsia="Times New Roman" w:cs="Times New Roman"/>
        </w:rPr>
        <w:t xml:space="preserve"> </w:t>
      </w:r>
      <w:r>
        <w:rPr>
          <w:rFonts w:ascii="Calibri" w:hAnsi="Calibri" w:eastAsia="Calibri" w:cs="Calibri"/>
          <w:sz w:val="16"/>
          <w:szCs w:val="16"/>
        </w:rPr>
        <w:t>therefore</w:t>
      </w:r>
      <w:r>
        <w:rPr>
          <w:rFonts w:ascii="Times New Roman" w:hAnsi="Times New Roman" w:eastAsia="Times New Roman" w:cs="Times New Roman"/>
        </w:rPr>
        <w:t xml:space="preserve"> </w:t>
      </w:r>
      <w:r>
        <w:rPr>
          <w:rFonts w:ascii="Calibri" w:hAnsi="Calibri" w:eastAsia="Calibri" w:cs="Calibri"/>
          <w:u w:val="single"/>
        </w:rPr>
        <w:t>defined as a</w:t>
      </w:r>
      <w:r>
        <w:rPr>
          <w:rFonts w:ascii="Times New Roman" w:hAnsi="Times New Roman" w:eastAsia="Times New Roman" w:cs="Times New Roman"/>
        </w:rPr>
        <w:t xml:space="preserve"> </w:t>
      </w:r>
      <w:r>
        <w:rPr>
          <w:rFonts w:ascii="Calibri" w:hAnsi="Calibri" w:eastAsia="Calibri" w:cs="Calibri"/>
          <w:sz w:val="16"/>
          <w:szCs w:val="16"/>
        </w:rPr>
        <w:t>twofold</w:t>
      </w:r>
      <w:r>
        <w:rPr>
          <w:rFonts w:ascii="Times New Roman" w:hAnsi="Times New Roman" w:eastAsia="Times New Roman" w:cs="Times New Roman"/>
        </w:rPr>
        <w:t xml:space="preserve"> </w:t>
      </w:r>
      <w:r>
        <w:rPr>
          <w:rFonts w:ascii="Calibri" w:hAnsi="Calibri" w:eastAsia="Calibri" w:cs="Calibri"/>
          <w:u w:val="single"/>
        </w:rPr>
        <w:t xml:space="preserve">process of </w:t>
      </w:r>
      <w:r>
        <w:rPr>
          <w:rFonts w:ascii="Calibri" w:hAnsi="Calibri" w:eastAsia="Calibri" w:cs="Calibri"/>
          <w:i/>
          <w:u w:val="single"/>
        </w:rPr>
        <w:t xml:space="preserve">self-institution </w:t>
      </w:r>
      <w:r>
        <w:rPr>
          <w:rFonts w:ascii="Calibri" w:hAnsi="Calibri" w:eastAsia="Calibri" w:cs="Calibri"/>
          <w:u w:val="single"/>
        </w:rPr>
        <w:t xml:space="preserve">and </w:t>
      </w:r>
      <w:r>
        <w:rPr>
          <w:rFonts w:ascii="Calibri" w:hAnsi="Calibri" w:eastAsia="Calibri" w:cs="Calibri"/>
          <w:i/>
          <w:u w:val="single"/>
        </w:rPr>
        <w:t>self-limitation</w:t>
      </w:r>
      <w:r>
        <w:rPr>
          <w:rFonts w:ascii="Times New Roman" w:hAnsi="Times New Roman" w:eastAsia="Times New Roman" w:cs="Times New Roman"/>
          <w:i/>
        </w:rPr>
        <w:t xml:space="preserve"> </w:t>
      </w:r>
      <w:r>
        <w:rPr>
          <w:rFonts w:ascii="Calibri" w:hAnsi="Calibri" w:eastAsia="Calibri" w:cs="Calibri"/>
          <w:sz w:val="16"/>
          <w:szCs w:val="16"/>
        </w:rPr>
        <w:t>(fix- ing one’s own limits for oneself). The exercise of</w:t>
      </w:r>
      <w:r>
        <w:rPr>
          <w:rFonts w:ascii="Times New Roman" w:hAnsi="Times New Roman" w:eastAsia="Times New Roman" w:cs="Times New Roman"/>
        </w:rPr>
        <w:t xml:space="preserve"> </w:t>
      </w:r>
      <w:r>
        <w:rPr>
          <w:rFonts w:ascii="Calibri" w:hAnsi="Calibri" w:eastAsia="Calibri" w:cs="Calibri"/>
          <w:u w:val="single"/>
        </w:rPr>
        <w:t>sovereignty</w:t>
      </w:r>
      <w:r>
        <w:rPr>
          <w:rFonts w:ascii="Times New Roman" w:hAnsi="Times New Roman" w:eastAsia="Times New Roman" w:cs="Times New Roman"/>
        </w:rPr>
        <w:t xml:space="preserve">, </w:t>
      </w:r>
      <w:r>
        <w:rPr>
          <w:rFonts w:ascii="Calibri" w:hAnsi="Calibri" w:eastAsia="Calibri" w:cs="Calibri"/>
          <w:sz w:val="16"/>
          <w:szCs w:val="16"/>
        </w:rPr>
        <w:t>in turn,</w:t>
      </w:r>
      <w:r>
        <w:rPr>
          <w:rFonts w:ascii="Times New Roman" w:hAnsi="Times New Roman" w:eastAsia="Times New Roman" w:cs="Times New Roman"/>
        </w:rPr>
        <w:t xml:space="preserve"> </w:t>
      </w:r>
      <w:r>
        <w:rPr>
          <w:rFonts w:ascii="Calibri" w:hAnsi="Calibri" w:eastAsia="Calibri" w:cs="Calibri"/>
          <w:u w:val="single"/>
        </w:rPr>
        <w:t>consists in society’s capacity for self-creation through recourse to institutions inspired by specific social and imaginary significations.9 This</w:t>
      </w:r>
      <w:r>
        <w:rPr>
          <w:rFonts w:ascii="Times New Roman" w:hAnsi="Times New Roman" w:eastAsia="Times New Roman" w:cs="Times New Roman"/>
        </w:rPr>
        <w:t xml:space="preserve"> </w:t>
      </w:r>
      <w:r>
        <w:rPr>
          <w:rFonts w:ascii="Calibri" w:hAnsi="Calibri" w:eastAsia="Calibri" w:cs="Calibri"/>
          <w:sz w:val="16"/>
          <w:szCs w:val="16"/>
        </w:rPr>
        <w:t>strongly</w:t>
      </w:r>
      <w:r>
        <w:rPr>
          <w:rFonts w:ascii="Times New Roman" w:hAnsi="Times New Roman" w:eastAsia="Times New Roman" w:cs="Times New Roman"/>
        </w:rPr>
        <w:t xml:space="preserve"> </w:t>
      </w:r>
      <w:r>
        <w:rPr>
          <w:rFonts w:ascii="Calibri" w:hAnsi="Calibri" w:eastAsia="Calibri" w:cs="Calibri"/>
          <w:u w:val="single"/>
        </w:rPr>
        <w:t>normative reading of the politics of sovereignty has been the object of numerous critiques</w:t>
      </w:r>
      <w:r>
        <w:t xml:space="preserve">, </w:t>
      </w:r>
      <w:r>
        <w:rPr>
          <w:rFonts w:ascii="Calibri" w:hAnsi="Calibri" w:eastAsia="Calibri" w:cs="Calibri"/>
          <w:sz w:val="16"/>
          <w:szCs w:val="16"/>
        </w:rPr>
        <w:t>which I will not rehearse here.10</w:t>
      </w:r>
      <w:r>
        <w:t xml:space="preserve"> </w:t>
      </w:r>
      <w:r>
        <w:rPr>
          <w:rFonts w:ascii="Calibri" w:hAnsi="Calibri" w:eastAsia="Calibri" w:cs="Calibri"/>
          <w:u w:val="single"/>
        </w:rPr>
        <w:t>My concern is</w:t>
      </w:r>
      <w:r>
        <w:t xml:space="preserve"> </w:t>
      </w:r>
      <w:r>
        <w:rPr>
          <w:rFonts w:ascii="Calibri" w:hAnsi="Calibri" w:eastAsia="Calibri" w:cs="Calibri"/>
          <w:sz w:val="16"/>
          <w:szCs w:val="16"/>
        </w:rPr>
        <w:t>those</w:t>
      </w:r>
      <w:r>
        <w:t xml:space="preserve"> </w:t>
      </w:r>
      <w:r>
        <w:rPr>
          <w:rFonts w:ascii="Calibri" w:hAnsi="Calibri" w:eastAsia="Calibri" w:cs="Calibri"/>
          <w:u w:val="single"/>
        </w:rPr>
        <w:t>figures of sovereignty whose central project is</w:t>
      </w:r>
      <w:r>
        <w:t xml:space="preserve"> </w:t>
      </w:r>
      <w:r>
        <w:rPr>
          <w:rFonts w:ascii="Calibri" w:hAnsi="Calibri" w:eastAsia="Calibri" w:cs="Calibri"/>
          <w:sz w:val="16"/>
          <w:szCs w:val="16"/>
        </w:rPr>
        <w:t>not the struggle for auton- omy but</w:t>
      </w:r>
      <w:r>
        <w:t xml:space="preserve"> </w:t>
      </w:r>
      <w:r>
        <w:rPr>
          <w:rFonts w:ascii="Calibri" w:hAnsi="Calibri" w:eastAsia="Calibri" w:cs="Calibri"/>
          <w:i/>
          <w:u w:val="single"/>
        </w:rPr>
        <w:t>the generalized instrumentalization of human existence and the material destruction of human bodies and populations</w:t>
      </w:r>
      <w:r>
        <w:rPr>
          <w:rFonts w:ascii="Calibri" w:hAnsi="Calibri" w:eastAsia="Calibri" w:cs="Calibri"/>
          <w:u w:val="single"/>
        </w:rPr>
        <w:t>. Such figures of sovereignty are far from a piece of prodigious insanity or an expression of a rupture between the impulses and interests of the body and those of the mind</w:t>
      </w:r>
      <w:r>
        <w:t xml:space="preserve">. </w:t>
      </w:r>
      <w:r>
        <w:rPr>
          <w:rFonts w:ascii="Calibri" w:hAnsi="Calibri" w:eastAsia="Calibri" w:cs="Calibri"/>
          <w:sz w:val="16"/>
          <w:szCs w:val="16"/>
        </w:rPr>
        <w:t>Indeed</w:t>
      </w:r>
      <w:r>
        <w:t xml:space="preserve">, </w:t>
      </w:r>
      <w:r>
        <w:rPr>
          <w:rFonts w:ascii="Calibri" w:hAnsi="Calibri" w:eastAsia="Calibri" w:cs="Calibri"/>
          <w:u w:val="single"/>
        </w:rPr>
        <w:t>they, like the death camps</w:t>
      </w:r>
      <w:r>
        <w:t xml:space="preserve">, </w:t>
      </w:r>
      <w:r>
        <w:rPr>
          <w:rFonts w:ascii="Calibri" w:hAnsi="Calibri" w:eastAsia="Calibri" w:cs="Calibri"/>
          <w:sz w:val="16"/>
          <w:szCs w:val="16"/>
        </w:rPr>
        <w:t>are what</w:t>
      </w:r>
      <w:r>
        <w:t xml:space="preserve"> </w:t>
      </w:r>
      <w:r>
        <w:rPr>
          <w:rFonts w:ascii="Calibri" w:hAnsi="Calibri" w:eastAsia="Calibri" w:cs="Calibri"/>
          <w:u w:val="single"/>
        </w:rPr>
        <w:t xml:space="preserve">constitute the </w:t>
      </w:r>
      <w:r>
        <w:rPr>
          <w:rFonts w:ascii="Calibri" w:hAnsi="Calibri" w:eastAsia="Calibri" w:cs="Calibri"/>
          <w:i/>
          <w:u w:val="single"/>
        </w:rPr>
        <w:t xml:space="preserve">nomos </w:t>
      </w:r>
      <w:r>
        <w:rPr>
          <w:rFonts w:ascii="Calibri" w:hAnsi="Calibri" w:eastAsia="Calibri" w:cs="Calibri"/>
          <w:u w:val="single"/>
        </w:rPr>
        <w:t>of the political space in which we still live</w:t>
      </w:r>
      <w:r>
        <w:t xml:space="preserve">. </w:t>
      </w:r>
      <w:r>
        <w:rPr>
          <w:rFonts w:ascii="Calibri" w:hAnsi="Calibri" w:eastAsia="Calibri" w:cs="Calibri"/>
          <w:sz w:val="16"/>
          <w:szCs w:val="16"/>
        </w:rPr>
        <w:t>Furthermore,</w:t>
      </w:r>
      <w:r>
        <w:t xml:space="preserve"> </w:t>
      </w:r>
      <w:r>
        <w:rPr>
          <w:rFonts w:ascii="Calibri" w:hAnsi="Calibri" w:eastAsia="Calibri" w:cs="Calibri"/>
          <w:u w:val="single"/>
        </w:rPr>
        <w:t>contemporary experiences of human destruction suggest that it is possible to develop a reading of politics, sovereignty, and the subject dif- ferent from the one we inherited from</w:t>
      </w:r>
      <w:r>
        <w:t xml:space="preserve"> </w:t>
      </w:r>
      <w:r>
        <w:rPr>
          <w:rFonts w:ascii="Calibri" w:hAnsi="Calibri" w:eastAsia="Calibri" w:cs="Calibri"/>
          <w:sz w:val="16"/>
          <w:szCs w:val="16"/>
        </w:rPr>
        <w:t>the philosophical discourse of</w:t>
      </w:r>
      <w:r>
        <w:t xml:space="preserve"> </w:t>
      </w:r>
      <w:r>
        <w:rPr>
          <w:rFonts w:ascii="Calibri" w:hAnsi="Calibri" w:eastAsia="Calibri" w:cs="Calibri"/>
          <w:u w:val="single"/>
        </w:rPr>
        <w:t>modernity. Instead of considering reason as the truth of the subject, we can look to other foundational categories that are less abstract and more tactile, such as life and death</w:t>
      </w:r>
      <w:r>
        <w:t xml:space="preserve">. </w:t>
      </w:r>
      <w:r>
        <w:rPr>
          <w:rFonts w:ascii="Calibri" w:hAnsi="Calibri" w:eastAsia="Calibri" w:cs="Calibri"/>
          <w:sz w:val="16"/>
          <w:szCs w:val="16"/>
        </w:rPr>
        <w:t>Significant for such a project is Hegel’s discussion of</w:t>
      </w:r>
      <w:r>
        <w:t xml:space="preserve"> </w:t>
      </w:r>
      <w:r>
        <w:rPr>
          <w:rFonts w:ascii="Calibri" w:hAnsi="Calibri" w:eastAsia="Calibri" w:cs="Calibri"/>
          <w:u w:val="single"/>
        </w:rPr>
        <w:t>the relation between death and the “becoming subject</w:t>
      </w:r>
      <w:r>
        <w:t xml:space="preserve">.” </w:t>
      </w:r>
      <w:r>
        <w:rPr>
          <w:rFonts w:ascii="Calibri" w:hAnsi="Calibri" w:eastAsia="Calibri" w:cs="Calibri"/>
          <w:sz w:val="16"/>
          <w:szCs w:val="16"/>
        </w:rPr>
        <w:t>Hegel’s account of death centers on a bipartite concept of negativity. First,</w:t>
      </w:r>
      <w:r>
        <w:t xml:space="preserve"> </w:t>
      </w:r>
      <w:r>
        <w:rPr>
          <w:rFonts w:ascii="Calibri" w:hAnsi="Calibri" w:eastAsia="Calibri" w:cs="Calibri"/>
          <w:u w:val="single"/>
        </w:rPr>
        <w:t>the human negates nature</w:t>
      </w:r>
      <w:r>
        <w:t xml:space="preserve"> </w:t>
      </w:r>
      <w:r>
        <w:rPr>
          <w:rFonts w:ascii="Calibri" w:hAnsi="Calibri" w:eastAsia="Calibri" w:cs="Calibri"/>
          <w:sz w:val="16"/>
          <w:szCs w:val="16"/>
        </w:rPr>
        <w:t>(a negation exteriorized in the human’s effort to reduce nature to his or her own needs); and second,</w:t>
      </w:r>
      <w:r>
        <w:t xml:space="preserve"> </w:t>
      </w:r>
      <w:r>
        <w:rPr>
          <w:rFonts w:ascii="Calibri" w:hAnsi="Calibri" w:eastAsia="Calibri" w:cs="Calibri"/>
          <w:u w:val="single"/>
        </w:rPr>
        <w:t>he or she transforms the negated element through work and struggle. In transforming nature, the human being creates a world; but in the process, he or she also is exposed to his or her own negativity</w:t>
      </w:r>
      <w:r>
        <w:t xml:space="preserve">. </w:t>
      </w:r>
      <w:r>
        <w:rPr>
          <w:rFonts w:ascii="Calibri" w:hAnsi="Calibri" w:eastAsia="Calibri" w:cs="Calibri"/>
          <w:sz w:val="16"/>
          <w:szCs w:val="16"/>
        </w:rPr>
        <w:t>Within the Hegelian paradigm,</w:t>
      </w:r>
      <w:r>
        <w:t xml:space="preserve"> </w:t>
      </w:r>
      <w:r>
        <w:rPr>
          <w:rFonts w:ascii="Calibri" w:hAnsi="Calibri" w:eastAsia="Calibri" w:cs="Calibri"/>
          <w:b/>
          <w:u w:val="single"/>
        </w:rPr>
        <w:t>human death is essentially voluntary</w:t>
      </w:r>
      <w:r>
        <w:rPr>
          <w:rFonts w:ascii="Calibri" w:hAnsi="Calibri" w:eastAsia="Calibri" w:cs="Calibri"/>
          <w:u w:val="single"/>
        </w:rPr>
        <w:t>. It is the result of risks consciously assumed by the subject.</w:t>
      </w:r>
      <w:r>
        <w:t xml:space="preserve"> </w:t>
      </w:r>
      <w:r>
        <w:rPr>
          <w:rFonts w:ascii="Calibri" w:hAnsi="Calibri" w:eastAsia="Calibri" w:cs="Calibri"/>
          <w:sz w:val="16"/>
          <w:szCs w:val="16"/>
        </w:rPr>
        <w:t>According to Hegel</w:t>
      </w:r>
      <w:r>
        <w:t xml:space="preserve">, </w:t>
      </w:r>
      <w:r>
        <w:rPr>
          <w:rFonts w:ascii="Calibri" w:hAnsi="Calibri" w:eastAsia="Calibri" w:cs="Calibri"/>
          <w:u w:val="single"/>
        </w:rPr>
        <w:t xml:space="preserve">in these risks the “animal” that constitutes the human subject’s natural being is defeated. </w:t>
      </w:r>
      <w:r>
        <w:rPr>
          <w:rFonts w:ascii="Calibri" w:hAnsi="Calibri" w:eastAsia="Calibri" w:cs="Calibri"/>
          <w:sz w:val="16"/>
          <w:szCs w:val="16"/>
        </w:rPr>
        <w:t>In other words,</w:t>
      </w:r>
      <w:r>
        <w:t xml:space="preserve"> </w:t>
      </w:r>
      <w:r>
        <w:rPr>
          <w:rFonts w:ascii="Calibri" w:hAnsi="Calibri" w:eastAsia="Calibri" w:cs="Calibri"/>
          <w:u w:val="single"/>
        </w:rPr>
        <w:t xml:space="preserve">the human being truly </w:t>
      </w:r>
      <w:r>
        <w:rPr>
          <w:rFonts w:ascii="Calibri" w:hAnsi="Calibri" w:eastAsia="Calibri" w:cs="Calibri"/>
          <w:i/>
          <w:u w:val="single"/>
        </w:rPr>
        <w:t>becomes a subject</w:t>
      </w:r>
      <w:r>
        <w:rPr>
          <w:rFonts w:ascii="Calibri" w:hAnsi="Calibri" w:eastAsia="Calibri" w:cs="Calibri"/>
          <w:u w:val="single"/>
        </w:rPr>
        <w:t>—that is, separated from the animal—in the struggle and the work through which he or she con- fronts death</w:t>
      </w:r>
      <w:r>
        <w:t xml:space="preserve"> </w:t>
      </w:r>
      <w:r>
        <w:rPr>
          <w:rFonts w:ascii="Calibri" w:hAnsi="Calibri" w:eastAsia="Calibri" w:cs="Calibri"/>
          <w:sz w:val="16"/>
          <w:szCs w:val="16"/>
        </w:rPr>
        <w:t>(understood as the violence of negativity). It is through this con- frontation with death that</w:t>
      </w:r>
      <w:r>
        <w:t xml:space="preserve"> </w:t>
      </w:r>
      <w:r>
        <w:rPr>
          <w:rFonts w:ascii="Calibri" w:hAnsi="Calibri" w:eastAsia="Calibri" w:cs="Calibri"/>
          <w:u w:val="single"/>
        </w:rPr>
        <w:t>he or she is cast into the incessant movement of history.</w:t>
      </w:r>
      <w:r>
        <w:t xml:space="preserve"> </w:t>
      </w:r>
      <w:r>
        <w:rPr>
          <w:rFonts w:ascii="Calibri" w:hAnsi="Calibri" w:eastAsia="Calibri" w:cs="Calibri"/>
          <w:u w:val="single"/>
        </w:rPr>
        <w:t>Becoming subject</w:t>
      </w:r>
      <w:r>
        <w:t xml:space="preserve"> </w:t>
      </w:r>
      <w:r>
        <w:rPr>
          <w:rFonts w:ascii="Calibri" w:hAnsi="Calibri" w:eastAsia="Calibri" w:cs="Calibri"/>
          <w:sz w:val="16"/>
          <w:szCs w:val="16"/>
        </w:rPr>
        <w:t>therefore</w:t>
      </w:r>
      <w:r>
        <w:t xml:space="preserve"> </w:t>
      </w:r>
      <w:r>
        <w:rPr>
          <w:rFonts w:ascii="Calibri" w:hAnsi="Calibri" w:eastAsia="Calibri" w:cs="Calibri"/>
          <w:u w:val="single"/>
        </w:rPr>
        <w:t>supposes upholding the work of death. To uphold the work of death is</w:t>
      </w:r>
      <w:r>
        <w:t xml:space="preserve"> </w:t>
      </w:r>
      <w:r>
        <w:rPr>
          <w:rFonts w:ascii="Calibri" w:hAnsi="Calibri" w:eastAsia="Calibri" w:cs="Calibri"/>
          <w:sz w:val="16"/>
          <w:szCs w:val="16"/>
        </w:rPr>
        <w:t>precisely how Hegel defines</w:t>
      </w:r>
      <w:r>
        <w:t xml:space="preserve"> </w:t>
      </w:r>
      <w:r>
        <w:rPr>
          <w:rFonts w:ascii="Calibri" w:hAnsi="Calibri" w:eastAsia="Calibri" w:cs="Calibri"/>
          <w:u w:val="single"/>
        </w:rPr>
        <w:t>the life of the Spirit. The life of the Spirit</w:t>
      </w:r>
      <w:r>
        <w:t xml:space="preserve">, </w:t>
      </w:r>
      <w:r>
        <w:rPr>
          <w:rFonts w:ascii="Calibri" w:hAnsi="Calibri" w:eastAsia="Calibri" w:cs="Calibri"/>
          <w:sz w:val="16"/>
          <w:szCs w:val="16"/>
        </w:rPr>
        <w:t>he says,</w:t>
      </w:r>
      <w:r>
        <w:t xml:space="preserve"> </w:t>
      </w:r>
      <w:r>
        <w:rPr>
          <w:rFonts w:ascii="Calibri" w:hAnsi="Calibri" w:eastAsia="Calibri" w:cs="Calibri"/>
          <w:u w:val="single"/>
        </w:rPr>
        <w:t xml:space="preserve">is not that life which is frightened of death, and spares itself destruction, but that life which assumes death and lives with it. </w:t>
      </w:r>
      <w:r>
        <w:rPr>
          <w:rFonts w:ascii="Calibri" w:hAnsi="Calibri" w:eastAsia="Calibri" w:cs="Calibri"/>
          <w:b/>
          <w:u w:val="single"/>
        </w:rPr>
        <w:t>Spirit attains its truth only by finding itself in absolute dismemberment</w:t>
      </w:r>
      <w:r>
        <w:rPr>
          <w:rFonts w:ascii="Calibri" w:hAnsi="Calibri" w:eastAsia="Calibri" w:cs="Calibri"/>
        </w:rPr>
        <w:t xml:space="preserve">.11 </w:t>
      </w:r>
      <w:r>
        <w:rPr>
          <w:rFonts w:ascii="Calibri" w:hAnsi="Calibri" w:eastAsia="Calibri" w:cs="Calibri"/>
          <w:b/>
          <w:u w:val="single"/>
        </w:rPr>
        <w:t xml:space="preserve">Politics is therefore death that lives a human life. Such, too, is the definition of absolute knowledge and sovereignty: risking the entirety of one’s life. </w:t>
      </w:r>
      <w:r>
        <w:rPr>
          <w:rFonts w:ascii="Calibri" w:hAnsi="Calibri" w:eastAsia="Calibri" w:cs="Calibri"/>
        </w:rPr>
        <w:t xml:space="preserve"> </w:t>
      </w:r>
    </w:p>
    <w:p xmlns:wp14="http://schemas.microsoft.com/office/word/2010/wordml" w:rsidR="00507555" w:rsidP="00507555" w:rsidRDefault="00507555" w14:paraId="44690661" wp14:textId="77777777"/>
    <w:p xmlns:wp14="http://schemas.microsoft.com/office/word/2010/wordml" w:rsidR="00507555" w:rsidP="00507555" w:rsidRDefault="00507555" w14:paraId="07092C13" wp14:textId="77777777">
      <w:pPr>
        <w:pStyle w:val="Heading4"/>
        <w:rPr>
          <w:rFonts w:eastAsia="Calibri"/>
        </w:rPr>
      </w:pPr>
      <w:r>
        <w:rPr>
          <w:rFonts w:eastAsia="Calibri"/>
        </w:rPr>
        <w:t xml:space="preserve">Necropolitics reduces entire populations to a disposable status, which organizes bodies within an economy of death  </w:t>
      </w:r>
    </w:p>
    <w:p xmlns:wp14="http://schemas.microsoft.com/office/word/2010/wordml" w:rsidR="00507555" w:rsidP="00507555" w:rsidRDefault="00507555" w14:paraId="5F4B98E0" wp14:textId="77777777">
      <w:pPr>
        <w:rPr>
          <w:rFonts w:ascii="Calibri" w:hAnsi="Calibri" w:eastAsia="Calibri" w:cs="Calibri"/>
        </w:rPr>
      </w:pPr>
      <w:r w:rsidRPr="00C75B75">
        <w:rPr>
          <w:rStyle w:val="Style13ptBold"/>
        </w:rPr>
        <w:t>Thobani 14</w:t>
      </w:r>
      <w:r>
        <w:rPr>
          <w:rFonts w:ascii="Calibri" w:hAnsi="Calibri" w:eastAsia="Calibri" w:cs="Calibri"/>
        </w:rPr>
        <w:t xml:space="preserve"> (Sunera; associate professor in the Institute for Gender, Race, Sexuality and Social Justice at the University of British Columbia, </w:t>
      </w:r>
      <w:r>
        <w:rPr>
          <w:rFonts w:ascii="Calibri" w:hAnsi="Calibri" w:eastAsia="Calibri" w:cs="Calibri"/>
          <w:i/>
        </w:rPr>
        <w:t>Queer Necropolitics</w:t>
      </w:r>
      <w:r>
        <w:rPr>
          <w:rFonts w:ascii="Calibri" w:hAnsi="Calibri" w:eastAsia="Calibri" w:cs="Calibri"/>
        </w:rPr>
        <w:t xml:space="preserve">, pgs. xv-xviii) </w:t>
      </w:r>
    </w:p>
    <w:p xmlns:wp14="http://schemas.microsoft.com/office/word/2010/wordml" w:rsidR="00507555" w:rsidP="00507555" w:rsidRDefault="00507555" w14:paraId="6849316E" wp14:textId="77777777">
      <w:pPr>
        <w:rPr>
          <w:rFonts w:ascii="Calibri" w:hAnsi="Calibri" w:eastAsia="Calibri" w:cs="Calibri"/>
        </w:rPr>
      </w:pPr>
      <w:r>
        <w:rPr>
          <w:rFonts w:ascii="Calibri" w:hAnsi="Calibri" w:eastAsia="Calibri" w:cs="Calibri"/>
          <w:u w:val="single"/>
        </w:rPr>
        <w:t xml:space="preserve">The Empire of Terror offers a stark choice to its objects of power: </w:t>
      </w:r>
      <w:r>
        <w:rPr>
          <w:rFonts w:ascii="Calibri" w:hAnsi="Calibri" w:eastAsia="Calibri" w:cs="Calibri"/>
          <w:b/>
          <w:u w:val="single"/>
        </w:rPr>
        <w:t>incorporation or extermination</w:t>
      </w:r>
      <w:r>
        <w:rPr>
          <w:rFonts w:ascii="Calibri" w:hAnsi="Calibri" w:eastAsia="Calibri" w:cs="Calibri"/>
          <w:u w:val="single"/>
        </w:rPr>
        <w:t xml:space="preserve">. Its forms of sovereignty intend the taking of no survivors: loyalty or death. </w:t>
      </w:r>
      <w:r>
        <w:rPr>
          <w:rFonts w:ascii="Calibri" w:hAnsi="Calibri" w:eastAsia="Calibri" w:cs="Calibri"/>
          <w:b/>
          <w:u w:val="single"/>
        </w:rPr>
        <w:t>Violence</w:t>
      </w:r>
      <w:r>
        <w:rPr>
          <w:rFonts w:ascii="Calibri" w:hAnsi="Calibri" w:eastAsia="Calibri" w:cs="Calibri"/>
          <w:u w:val="single"/>
        </w:rPr>
        <w:t xml:space="preserve"> and </w:t>
      </w:r>
      <w:r>
        <w:rPr>
          <w:rFonts w:ascii="Calibri" w:hAnsi="Calibri" w:eastAsia="Calibri" w:cs="Calibri"/>
          <w:b/>
          <w:u w:val="single"/>
        </w:rPr>
        <w:t>whiteness</w:t>
      </w:r>
      <w:r>
        <w:rPr>
          <w:rFonts w:ascii="Calibri" w:hAnsi="Calibri" w:eastAsia="Calibri" w:cs="Calibri"/>
          <w:u w:val="single"/>
        </w:rPr>
        <w:t xml:space="preserve"> constitute the </w:t>
      </w:r>
      <w:r>
        <w:rPr>
          <w:rFonts w:ascii="Calibri" w:hAnsi="Calibri" w:eastAsia="Calibri" w:cs="Calibri"/>
          <w:b/>
          <w:u w:val="single"/>
        </w:rPr>
        <w:t>intractable foundation</w:t>
      </w:r>
      <w:r>
        <w:rPr>
          <w:rFonts w:ascii="Calibri" w:hAnsi="Calibri" w:eastAsia="Calibri" w:cs="Calibri"/>
          <w:u w:val="single"/>
        </w:rPr>
        <w:t xml:space="preserve"> of colonial sovereignty and its processes of subjection</w:t>
      </w:r>
      <w:r>
        <w:rPr>
          <w:rFonts w:ascii="Calibri" w:hAnsi="Calibri" w:eastAsia="Calibri" w:cs="Calibri"/>
        </w:rPr>
        <w:t xml:space="preserve">, argued Fanon (1961) in his radical anti- colonial praxis. Drawing on Fanon’s insights, Mbembe (2001) points out that </w:t>
      </w:r>
      <w:r>
        <w:rPr>
          <w:rFonts w:ascii="Calibri" w:hAnsi="Calibri" w:eastAsia="Calibri" w:cs="Calibri"/>
          <w:u w:val="single"/>
        </w:rPr>
        <w:t xml:space="preserve">in the </w:t>
      </w:r>
      <w:r>
        <w:rPr>
          <w:rFonts w:ascii="Calibri" w:hAnsi="Calibri" w:eastAsia="Calibri" w:cs="Calibri"/>
          <w:b/>
          <w:u w:val="single"/>
        </w:rPr>
        <w:t>‘terror formation’</w:t>
      </w:r>
      <w:r>
        <w:rPr>
          <w:rFonts w:ascii="Calibri" w:hAnsi="Calibri" w:eastAsia="Calibri" w:cs="Calibri"/>
          <w:u w:val="single"/>
        </w:rPr>
        <w:t xml:space="preserve"> that is the colony, power takes the form of </w:t>
      </w:r>
      <w:r>
        <w:rPr>
          <w:rFonts w:ascii="Calibri" w:hAnsi="Calibri" w:eastAsia="Calibri" w:cs="Calibri"/>
          <w:b/>
          <w:u w:val="single"/>
        </w:rPr>
        <w:t>commandment</w:t>
      </w:r>
      <w:r>
        <w:rPr>
          <w:rFonts w:ascii="Calibri" w:hAnsi="Calibri" w:eastAsia="Calibri" w:cs="Calibri"/>
          <w:u w:val="single"/>
        </w:rPr>
        <w:t xml:space="preserve"> as it </w:t>
      </w:r>
      <w:r>
        <w:rPr>
          <w:rFonts w:ascii="Calibri" w:hAnsi="Calibri" w:eastAsia="Calibri" w:cs="Calibri"/>
          <w:b/>
          <w:u w:val="single"/>
        </w:rPr>
        <w:t>incorporates colonizing subjects</w:t>
      </w:r>
      <w:r>
        <w:rPr>
          <w:rFonts w:ascii="Calibri" w:hAnsi="Calibri" w:eastAsia="Calibri" w:cs="Calibri"/>
          <w:u w:val="single"/>
        </w:rPr>
        <w:t xml:space="preserve"> into its </w:t>
      </w:r>
      <w:r>
        <w:rPr>
          <w:rFonts w:ascii="Calibri" w:hAnsi="Calibri" w:eastAsia="Calibri" w:cs="Calibri"/>
          <w:b/>
          <w:u w:val="single"/>
        </w:rPr>
        <w:t>murderous projects</w:t>
      </w:r>
      <w:r>
        <w:rPr>
          <w:rFonts w:ascii="Calibri" w:hAnsi="Calibri" w:eastAsia="Calibri" w:cs="Calibri"/>
          <w:u w:val="single"/>
        </w:rPr>
        <w:t xml:space="preserve"> of conquest</w:t>
      </w:r>
      <w:r>
        <w:rPr>
          <w:rFonts w:ascii="Calibri" w:hAnsi="Calibri" w:eastAsia="Calibri" w:cs="Calibri"/>
        </w:rPr>
        <w:t xml:space="preserve">. Embedded in the depths of such stubbornly brutal terrain, </w:t>
      </w:r>
      <w:r>
        <w:rPr>
          <w:rFonts w:ascii="Calibri" w:hAnsi="Calibri" w:eastAsia="Calibri" w:cs="Calibri"/>
          <w:u w:val="single"/>
        </w:rPr>
        <w:t xml:space="preserve">power in the postcolony assumes the form of </w:t>
      </w:r>
      <w:r>
        <w:rPr>
          <w:rFonts w:ascii="Calibri" w:hAnsi="Calibri" w:eastAsia="Calibri" w:cs="Calibri"/>
          <w:b/>
          <w:u w:val="single"/>
        </w:rPr>
        <w:t>necropolitics</w:t>
      </w:r>
      <w:r>
        <w:rPr>
          <w:rFonts w:ascii="Calibri" w:hAnsi="Calibri" w:eastAsia="Calibri" w:cs="Calibri"/>
          <w:u w:val="single"/>
        </w:rPr>
        <w:t xml:space="preserve"> as ‘it makes </w:t>
      </w:r>
      <w:r>
        <w:rPr>
          <w:rFonts w:ascii="Calibri" w:hAnsi="Calibri" w:eastAsia="Calibri" w:cs="Calibri"/>
          <w:u w:val="single"/>
        </w:rPr>
        <w:lastRenderedPageBreak/>
        <w:t xml:space="preserve">the </w:t>
      </w:r>
      <w:r>
        <w:rPr>
          <w:rFonts w:ascii="Calibri" w:hAnsi="Calibri" w:eastAsia="Calibri" w:cs="Calibri"/>
          <w:b/>
          <w:u w:val="single"/>
        </w:rPr>
        <w:t>murder</w:t>
      </w:r>
      <w:r>
        <w:rPr>
          <w:rFonts w:ascii="Calibri" w:hAnsi="Calibri" w:eastAsia="Calibri" w:cs="Calibri"/>
          <w:u w:val="single"/>
        </w:rPr>
        <w:t xml:space="preserve"> of the </w:t>
      </w:r>
      <w:r>
        <w:rPr>
          <w:rFonts w:ascii="Calibri" w:hAnsi="Calibri" w:eastAsia="Calibri" w:cs="Calibri"/>
          <w:b/>
          <w:u w:val="single"/>
        </w:rPr>
        <w:t>enemy</w:t>
      </w:r>
      <w:r>
        <w:rPr>
          <w:rFonts w:ascii="Calibri" w:hAnsi="Calibri" w:eastAsia="Calibri" w:cs="Calibri"/>
          <w:u w:val="single"/>
        </w:rPr>
        <w:t xml:space="preserve"> its </w:t>
      </w:r>
      <w:r>
        <w:rPr>
          <w:rFonts w:ascii="Calibri" w:hAnsi="Calibri" w:eastAsia="Calibri" w:cs="Calibri"/>
          <w:b/>
          <w:u w:val="single"/>
        </w:rPr>
        <w:t>primary</w:t>
      </w:r>
      <w:r>
        <w:rPr>
          <w:rFonts w:ascii="Calibri" w:hAnsi="Calibri" w:eastAsia="Calibri" w:cs="Calibri"/>
          <w:u w:val="single"/>
        </w:rPr>
        <w:t xml:space="preserve"> and </w:t>
      </w:r>
      <w:r>
        <w:rPr>
          <w:rFonts w:ascii="Calibri" w:hAnsi="Calibri" w:eastAsia="Calibri" w:cs="Calibri"/>
          <w:b/>
          <w:u w:val="single"/>
        </w:rPr>
        <w:t>absolute objective’</w:t>
      </w:r>
      <w:r>
        <w:rPr>
          <w:rFonts w:ascii="Calibri" w:hAnsi="Calibri" w:eastAsia="Calibri" w:cs="Calibri"/>
        </w:rPr>
        <w:t xml:space="preserve"> (Mbembe 2003: 12). </w:t>
      </w:r>
      <w:r>
        <w:rPr>
          <w:rFonts w:ascii="Calibri" w:hAnsi="Calibri" w:eastAsia="Calibri" w:cs="Calibri"/>
          <w:u w:val="single"/>
        </w:rPr>
        <w:t>In the</w:t>
      </w:r>
      <w:r>
        <w:rPr>
          <w:rFonts w:ascii="Calibri" w:hAnsi="Calibri" w:eastAsia="Calibri" w:cs="Calibri"/>
        </w:rPr>
        <w:t xml:space="preserve"> 21st-century post/colonial formation that is the ‘</w:t>
      </w:r>
      <w:r>
        <w:rPr>
          <w:rFonts w:ascii="Calibri" w:hAnsi="Calibri" w:eastAsia="Calibri" w:cs="Calibri"/>
          <w:u w:val="single"/>
        </w:rPr>
        <w:t xml:space="preserve">war on terror’, the simultaneous constitution of the West and its many rests </w:t>
      </w:r>
      <w:r>
        <w:rPr>
          <w:rFonts w:ascii="Calibri" w:hAnsi="Calibri" w:eastAsia="Calibri" w:cs="Calibri"/>
          <w:b/>
          <w:u w:val="single"/>
        </w:rPr>
        <w:t>relies no less</w:t>
      </w:r>
      <w:r>
        <w:rPr>
          <w:rFonts w:ascii="Calibri" w:hAnsi="Calibri" w:eastAsia="Calibri" w:cs="Calibri"/>
          <w:u w:val="single"/>
        </w:rPr>
        <w:t xml:space="preserve"> on </w:t>
      </w:r>
      <w:r>
        <w:rPr>
          <w:rFonts w:ascii="Calibri" w:hAnsi="Calibri" w:eastAsia="Calibri" w:cs="Calibri"/>
          <w:b/>
          <w:u w:val="single"/>
        </w:rPr>
        <w:t>occupation</w:t>
      </w:r>
      <w:r>
        <w:rPr>
          <w:rFonts w:ascii="Calibri" w:hAnsi="Calibri" w:eastAsia="Calibri" w:cs="Calibri"/>
          <w:u w:val="single"/>
        </w:rPr>
        <w:t xml:space="preserve">, </w:t>
      </w:r>
      <w:r>
        <w:rPr>
          <w:rFonts w:ascii="Calibri" w:hAnsi="Calibri" w:eastAsia="Calibri" w:cs="Calibri"/>
          <w:b/>
          <w:u w:val="single"/>
        </w:rPr>
        <w:t>invasion</w:t>
      </w:r>
      <w:r>
        <w:rPr>
          <w:rFonts w:ascii="Calibri" w:hAnsi="Calibri" w:eastAsia="Calibri" w:cs="Calibri"/>
          <w:u w:val="single"/>
        </w:rPr>
        <w:t xml:space="preserve"> and </w:t>
      </w:r>
      <w:r>
        <w:rPr>
          <w:rFonts w:ascii="Calibri" w:hAnsi="Calibri" w:eastAsia="Calibri" w:cs="Calibri"/>
          <w:b/>
          <w:u w:val="single"/>
        </w:rPr>
        <w:t>genocide</w:t>
      </w:r>
      <w:r>
        <w:rPr>
          <w:rFonts w:ascii="Calibri" w:hAnsi="Calibri" w:eastAsia="Calibri" w:cs="Calibri"/>
        </w:rPr>
        <w:t xml:space="preserve">, albeit in changing configurations and with emergent practices enacted by differentially positioned subjects. For, as Mbembe has astutely noted, ‘modernity was at the origin of multiple concepts of sovereignty’ (2003: 13). In other words, </w:t>
      </w:r>
      <w:r>
        <w:rPr>
          <w:rFonts w:ascii="Calibri" w:hAnsi="Calibri" w:eastAsia="Calibri" w:cs="Calibri"/>
          <w:u w:val="single"/>
        </w:rPr>
        <w:t xml:space="preserve">while liberal democracy </w:t>
      </w:r>
      <w:r>
        <w:rPr>
          <w:rFonts w:ascii="Calibri" w:hAnsi="Calibri" w:eastAsia="Calibri" w:cs="Calibri"/>
          <w:b/>
          <w:u w:val="single"/>
        </w:rPr>
        <w:t>celebrates its citizen-subjects</w:t>
      </w:r>
      <w:r>
        <w:rPr>
          <w:rFonts w:ascii="Calibri" w:hAnsi="Calibri" w:eastAsia="Calibri" w:cs="Calibri"/>
          <w:u w:val="single"/>
        </w:rPr>
        <w:t xml:space="preserve">, the </w:t>
      </w:r>
      <w:r>
        <w:rPr>
          <w:rFonts w:ascii="Calibri" w:hAnsi="Calibri" w:eastAsia="Calibri" w:cs="Calibri"/>
          <w:b/>
          <w:u w:val="single"/>
        </w:rPr>
        <w:t>mark of extermination</w:t>
      </w:r>
      <w:r>
        <w:rPr>
          <w:rFonts w:ascii="Calibri" w:hAnsi="Calibri" w:eastAsia="Calibri" w:cs="Calibri"/>
          <w:u w:val="single"/>
        </w:rPr>
        <w:t xml:space="preserve"> that </w:t>
      </w:r>
      <w:r>
        <w:rPr>
          <w:rFonts w:ascii="Calibri" w:hAnsi="Calibri" w:eastAsia="Calibri" w:cs="Calibri"/>
          <w:b/>
          <w:u w:val="single"/>
        </w:rPr>
        <w:t>infuses</w:t>
      </w:r>
      <w:r>
        <w:rPr>
          <w:rFonts w:ascii="Calibri" w:hAnsi="Calibri" w:eastAsia="Calibri" w:cs="Calibri"/>
          <w:u w:val="single"/>
        </w:rPr>
        <w:t xml:space="preserve"> its </w:t>
      </w:r>
      <w:r>
        <w:rPr>
          <w:rFonts w:ascii="Calibri" w:hAnsi="Calibri" w:eastAsia="Calibri" w:cs="Calibri"/>
          <w:b/>
          <w:u w:val="single"/>
        </w:rPr>
        <w:t>racial logic</w:t>
      </w:r>
      <w:r>
        <w:rPr>
          <w:rFonts w:ascii="Calibri" w:hAnsi="Calibri" w:eastAsia="Calibri" w:cs="Calibri"/>
          <w:u w:val="single"/>
        </w:rPr>
        <w:t xml:space="preserve"> of power gives rise to </w:t>
      </w:r>
      <w:r>
        <w:rPr>
          <w:rFonts w:ascii="Calibri" w:hAnsi="Calibri" w:eastAsia="Calibri" w:cs="Calibri"/>
          <w:b/>
          <w:u w:val="single"/>
        </w:rPr>
        <w:t>the ‘Indian’ reserve</w:t>
      </w:r>
      <w:r>
        <w:rPr>
          <w:rFonts w:ascii="Calibri" w:hAnsi="Calibri" w:eastAsia="Calibri" w:cs="Calibri"/>
          <w:u w:val="single"/>
        </w:rPr>
        <w:t xml:space="preserve">, the </w:t>
      </w:r>
      <w:r>
        <w:rPr>
          <w:rFonts w:ascii="Calibri" w:hAnsi="Calibri" w:eastAsia="Calibri" w:cs="Calibri"/>
          <w:b/>
          <w:u w:val="single"/>
        </w:rPr>
        <w:t>slave plantation</w:t>
      </w:r>
      <w:r>
        <w:rPr>
          <w:rFonts w:ascii="Calibri" w:hAnsi="Calibri" w:eastAsia="Calibri" w:cs="Calibri"/>
          <w:u w:val="single"/>
        </w:rPr>
        <w:t xml:space="preserve">, the </w:t>
      </w:r>
      <w:r>
        <w:rPr>
          <w:rFonts w:ascii="Calibri" w:hAnsi="Calibri" w:eastAsia="Calibri" w:cs="Calibri"/>
          <w:b/>
          <w:u w:val="single"/>
        </w:rPr>
        <w:t>native quarter</w:t>
      </w:r>
      <w:r>
        <w:rPr>
          <w:rFonts w:ascii="Calibri" w:hAnsi="Calibri" w:eastAsia="Calibri" w:cs="Calibri"/>
          <w:u w:val="single"/>
        </w:rPr>
        <w:t xml:space="preserve">, the </w:t>
      </w:r>
      <w:r>
        <w:rPr>
          <w:rFonts w:ascii="Calibri" w:hAnsi="Calibri" w:eastAsia="Calibri" w:cs="Calibri"/>
          <w:b/>
          <w:u w:val="single"/>
        </w:rPr>
        <w:t>Bantustan</w:t>
      </w:r>
      <w:r>
        <w:rPr>
          <w:rFonts w:ascii="Calibri" w:hAnsi="Calibri" w:eastAsia="Calibri" w:cs="Calibri"/>
          <w:u w:val="single"/>
        </w:rPr>
        <w:t xml:space="preserve">, the </w:t>
      </w:r>
      <w:r>
        <w:rPr>
          <w:rFonts w:ascii="Calibri" w:hAnsi="Calibri" w:eastAsia="Calibri" w:cs="Calibri"/>
          <w:b/>
          <w:u w:val="single"/>
        </w:rPr>
        <w:t>Nazi camp</w:t>
      </w:r>
      <w:r>
        <w:rPr>
          <w:rFonts w:ascii="Calibri" w:hAnsi="Calibri" w:eastAsia="Calibri" w:cs="Calibri"/>
          <w:u w:val="single"/>
        </w:rPr>
        <w:t xml:space="preserve">, as well as the </w:t>
      </w:r>
      <w:r>
        <w:rPr>
          <w:rFonts w:ascii="Calibri" w:hAnsi="Calibri" w:eastAsia="Calibri" w:cs="Calibri"/>
          <w:b/>
          <w:u w:val="single"/>
        </w:rPr>
        <w:t>slums</w:t>
      </w:r>
      <w:r>
        <w:rPr>
          <w:rFonts w:ascii="Calibri" w:hAnsi="Calibri" w:eastAsia="Calibri" w:cs="Calibri"/>
          <w:u w:val="single"/>
        </w:rPr>
        <w:t xml:space="preserve">, </w:t>
      </w:r>
      <w:r>
        <w:rPr>
          <w:rFonts w:ascii="Calibri" w:hAnsi="Calibri" w:eastAsia="Calibri" w:cs="Calibri"/>
          <w:b/>
          <w:u w:val="single"/>
        </w:rPr>
        <w:t>prisons</w:t>
      </w:r>
      <w:r>
        <w:rPr>
          <w:rFonts w:ascii="Calibri" w:hAnsi="Calibri" w:eastAsia="Calibri" w:cs="Calibri"/>
          <w:u w:val="single"/>
        </w:rPr>
        <w:t xml:space="preserve"> and </w:t>
      </w:r>
      <w:r>
        <w:rPr>
          <w:rFonts w:ascii="Calibri" w:hAnsi="Calibri" w:eastAsia="Calibri" w:cs="Calibri"/>
          <w:b/>
          <w:u w:val="single"/>
        </w:rPr>
        <w:t>refugee camps</w:t>
      </w:r>
      <w:r>
        <w:rPr>
          <w:rFonts w:ascii="Calibri" w:hAnsi="Calibri" w:eastAsia="Calibri" w:cs="Calibri"/>
          <w:u w:val="single"/>
        </w:rPr>
        <w:t xml:space="preserve"> proliferating around the world</w:t>
      </w:r>
      <w:r>
        <w:rPr>
          <w:rFonts w:ascii="Calibri" w:hAnsi="Calibri" w:eastAsia="Calibri" w:cs="Calibri"/>
        </w:rPr>
        <w:t xml:space="preserve"> (Thobani 2012). </w:t>
      </w:r>
      <w:r>
        <w:rPr>
          <w:rFonts w:ascii="Calibri" w:hAnsi="Calibri" w:eastAsia="Calibri" w:cs="Calibri"/>
          <w:u w:val="single"/>
        </w:rPr>
        <w:t xml:space="preserve">Western militarized states, their nationals and private mercenaries now </w:t>
      </w:r>
      <w:r>
        <w:rPr>
          <w:rFonts w:ascii="Calibri" w:hAnsi="Calibri" w:eastAsia="Calibri" w:cs="Calibri"/>
          <w:b/>
          <w:u w:val="single"/>
        </w:rPr>
        <w:t>form willing coalitions as readily as they organize death squads</w:t>
      </w:r>
      <w:r>
        <w:rPr>
          <w:rFonts w:ascii="Calibri" w:hAnsi="Calibri" w:eastAsia="Calibri" w:cs="Calibri"/>
          <w:u w:val="single"/>
        </w:rPr>
        <w:t>; Western feminists recalibrate their alignments with their states as they set out to rescue Muslim women or to protect themselves from their narcissistically construed forms of precariousnesses; and Muslim women and men supplicants to the West speak in the name of feminism and liberal democracy to indict Islam, along with their families and communities, providing vital alibis for torture and collective punishment</w:t>
      </w:r>
      <w:r>
        <w:rPr>
          <w:rFonts w:ascii="Calibri" w:hAnsi="Calibri" w:eastAsia="Calibri" w:cs="Calibri"/>
        </w:rPr>
        <w:t xml:space="preserve">. All the while, Muslim men around the world arc demonized as misogynist homophobes even as they are incarcerated, deported, raped, tortured and targeted for assassination; Muslim women and queers are raped, killed, bombed and compelled to surrender unconditionally to Western gender regimes if they are to survive. As </w:t>
      </w:r>
      <w:r>
        <w:rPr>
          <w:rFonts w:ascii="Calibri" w:hAnsi="Calibri" w:eastAsia="Calibri" w:cs="Calibri"/>
          <w:u w:val="single"/>
        </w:rPr>
        <w:t xml:space="preserve">for the Muslims killed in the hundreds of thousands by bombs, </w:t>
      </w:r>
      <w:r>
        <w:rPr>
          <w:rFonts w:ascii="Calibri" w:hAnsi="Calibri" w:eastAsia="Calibri" w:cs="Calibri"/>
          <w:b/>
          <w:u w:val="single"/>
        </w:rPr>
        <w:t>drones</w:t>
      </w:r>
      <w:r>
        <w:rPr>
          <w:rFonts w:ascii="Calibri" w:hAnsi="Calibri" w:eastAsia="Calibri" w:cs="Calibri"/>
          <w:u w:val="single"/>
        </w:rPr>
        <w:t xml:space="preserve"> and militias, they </w:t>
      </w:r>
      <w:r>
        <w:rPr>
          <w:rFonts w:ascii="Calibri" w:hAnsi="Calibri" w:eastAsia="Calibri" w:cs="Calibri"/>
          <w:b/>
          <w:u w:val="single"/>
        </w:rPr>
        <w:t>do not even appear</w:t>
      </w:r>
      <w:r>
        <w:rPr>
          <w:rFonts w:ascii="Calibri" w:hAnsi="Calibri" w:eastAsia="Calibri" w:cs="Calibri"/>
          <w:u w:val="single"/>
        </w:rPr>
        <w:t xml:space="preserve"> as </w:t>
      </w:r>
      <w:r>
        <w:rPr>
          <w:rFonts w:ascii="Calibri" w:hAnsi="Calibri" w:eastAsia="Calibri" w:cs="Calibri"/>
          <w:b/>
          <w:u w:val="single"/>
        </w:rPr>
        <w:t>human</w:t>
      </w:r>
      <w:r>
        <w:rPr>
          <w:rFonts w:ascii="Calibri" w:hAnsi="Calibri" w:eastAsia="Calibri" w:cs="Calibri"/>
          <w:u w:val="single"/>
        </w:rPr>
        <w:t xml:space="preserve"> in the register of the war, featuring </w:t>
      </w:r>
      <w:r>
        <w:rPr>
          <w:rFonts w:ascii="Calibri" w:hAnsi="Calibri" w:eastAsia="Calibri" w:cs="Calibri"/>
          <w:b/>
          <w:u w:val="single"/>
        </w:rPr>
        <w:t>only as collateral damage</w:t>
      </w:r>
      <w:r>
        <w:rPr>
          <w:rFonts w:ascii="Calibri" w:hAnsi="Calibri" w:eastAsia="Calibri" w:cs="Calibri"/>
          <w:u w:val="single"/>
        </w:rPr>
        <w:t xml:space="preserve"> - if at all. Islamophobia has thus </w:t>
      </w:r>
      <w:r>
        <w:rPr>
          <w:rFonts w:ascii="Calibri" w:hAnsi="Calibri" w:eastAsia="Calibri" w:cs="Calibri"/>
          <w:b/>
          <w:u w:val="single"/>
        </w:rPr>
        <w:t>become the lingua franca</w:t>
      </w:r>
      <w:r>
        <w:rPr>
          <w:rFonts w:ascii="Calibri" w:hAnsi="Calibri" w:eastAsia="Calibri" w:cs="Calibri"/>
          <w:u w:val="single"/>
        </w:rPr>
        <w:t xml:space="preserve"> that </w:t>
      </w:r>
      <w:r>
        <w:rPr>
          <w:rFonts w:ascii="Calibri" w:hAnsi="Calibri" w:eastAsia="Calibri" w:cs="Calibri"/>
          <w:b/>
          <w:u w:val="single"/>
        </w:rPr>
        <w:t>enables trans/national allegiances</w:t>
      </w:r>
      <w:r>
        <w:rPr>
          <w:rFonts w:ascii="Calibri" w:hAnsi="Calibri" w:eastAsia="Calibri" w:cs="Calibri"/>
          <w:u w:val="single"/>
        </w:rPr>
        <w:t xml:space="preserve"> to be remade</w:t>
      </w:r>
      <w:r>
        <w:rPr>
          <w:rFonts w:ascii="Calibri" w:hAnsi="Calibri" w:eastAsia="Calibri" w:cs="Calibri"/>
        </w:rPr>
        <w:t xml:space="preserve">, </w:t>
      </w:r>
      <w:r>
        <w:rPr>
          <w:rFonts w:ascii="Calibri" w:hAnsi="Calibri" w:eastAsia="Calibri" w:cs="Calibri"/>
          <w:u w:val="single"/>
        </w:rPr>
        <w:t xml:space="preserve">international </w:t>
      </w:r>
      <w:r>
        <w:rPr>
          <w:rFonts w:ascii="Calibri" w:hAnsi="Calibri" w:eastAsia="Calibri" w:cs="Calibri"/>
          <w:b/>
          <w:u w:val="single"/>
        </w:rPr>
        <w:t>accords</w:t>
      </w:r>
      <w:r>
        <w:rPr>
          <w:rFonts w:ascii="Calibri" w:hAnsi="Calibri" w:eastAsia="Calibri" w:cs="Calibri"/>
          <w:u w:val="single"/>
        </w:rPr>
        <w:t xml:space="preserve"> to be signed</w:t>
      </w:r>
      <w:r>
        <w:rPr>
          <w:rFonts w:ascii="Calibri" w:hAnsi="Calibri" w:eastAsia="Calibri" w:cs="Calibri"/>
        </w:rPr>
        <w:t xml:space="preserve">, </w:t>
      </w:r>
      <w:r>
        <w:rPr>
          <w:rFonts w:ascii="Calibri" w:hAnsi="Calibri" w:eastAsia="Calibri" w:cs="Calibri"/>
          <w:b/>
          <w:u w:val="single"/>
        </w:rPr>
        <w:t>aid negotiations</w:t>
      </w:r>
      <w:r>
        <w:rPr>
          <w:rFonts w:ascii="Calibri" w:hAnsi="Calibri" w:eastAsia="Calibri" w:cs="Calibri"/>
          <w:u w:val="single"/>
        </w:rPr>
        <w:t xml:space="preserve"> to be consolidated</w:t>
      </w:r>
      <w:r>
        <w:rPr>
          <w:rFonts w:ascii="Calibri" w:hAnsi="Calibri" w:eastAsia="Calibri" w:cs="Calibri"/>
        </w:rPr>
        <w:t xml:space="preserve">, </w:t>
      </w:r>
      <w:r>
        <w:rPr>
          <w:rFonts w:ascii="Calibri" w:hAnsi="Calibri" w:eastAsia="Calibri" w:cs="Calibri"/>
          <w:u w:val="single"/>
        </w:rPr>
        <w:t xml:space="preserve">intelligence, security and border control agreements to be implemented, and </w:t>
      </w:r>
      <w:r>
        <w:rPr>
          <w:rFonts w:ascii="Calibri" w:hAnsi="Calibri" w:eastAsia="Calibri" w:cs="Calibri"/>
          <w:b/>
          <w:u w:val="single"/>
        </w:rPr>
        <w:t>assassination squads</w:t>
      </w:r>
      <w:r>
        <w:rPr>
          <w:rFonts w:ascii="Calibri" w:hAnsi="Calibri" w:eastAsia="Calibri" w:cs="Calibri"/>
          <w:u w:val="single"/>
        </w:rPr>
        <w:t xml:space="preserve"> to be </w:t>
      </w:r>
      <w:r>
        <w:rPr>
          <w:rFonts w:ascii="Calibri" w:hAnsi="Calibri" w:eastAsia="Calibri" w:cs="Calibri"/>
          <w:b/>
          <w:u w:val="single"/>
        </w:rPr>
        <w:t>deployed across the planet</w:t>
      </w:r>
      <w:r>
        <w:rPr>
          <w:rFonts w:ascii="Calibri" w:hAnsi="Calibri" w:eastAsia="Calibri" w:cs="Calibri"/>
        </w:rPr>
        <w:t xml:space="preserve">. </w:t>
      </w:r>
      <w:r>
        <w:rPr>
          <w:rFonts w:ascii="Calibri" w:hAnsi="Calibri" w:eastAsia="Calibri" w:cs="Calibri"/>
          <w:u w:val="single"/>
        </w:rPr>
        <w:t xml:space="preserve">Such is the moment that </w:t>
      </w:r>
      <w:r>
        <w:rPr>
          <w:rFonts w:ascii="Calibri" w:hAnsi="Calibri" w:eastAsia="Calibri" w:cs="Calibri"/>
          <w:b/>
          <w:u w:val="single"/>
        </w:rPr>
        <w:t>marks the (re)birth</w:t>
      </w:r>
      <w:r>
        <w:rPr>
          <w:rFonts w:ascii="Calibri" w:hAnsi="Calibri" w:eastAsia="Calibri" w:cs="Calibri"/>
          <w:u w:val="single"/>
        </w:rPr>
        <w:t xml:space="preserve"> of the </w:t>
      </w:r>
      <w:r>
        <w:rPr>
          <w:rFonts w:ascii="Calibri" w:hAnsi="Calibri" w:eastAsia="Calibri" w:cs="Calibri"/>
          <w:b/>
          <w:u w:val="single"/>
        </w:rPr>
        <w:t>West</w:t>
      </w:r>
      <w:r>
        <w:rPr>
          <w:rFonts w:ascii="Calibri" w:hAnsi="Calibri" w:eastAsia="Calibri" w:cs="Calibri"/>
          <w:u w:val="single"/>
        </w:rPr>
        <w:t xml:space="preserve"> as the </w:t>
      </w:r>
      <w:r>
        <w:rPr>
          <w:rFonts w:ascii="Calibri" w:hAnsi="Calibri" w:eastAsia="Calibri" w:cs="Calibri"/>
          <w:b/>
          <w:u w:val="single"/>
        </w:rPr>
        <w:t>singular model for futurity</w:t>
      </w:r>
      <w:r>
        <w:rPr>
          <w:rFonts w:ascii="Calibri" w:hAnsi="Calibri" w:eastAsia="Calibri" w:cs="Calibri"/>
          <w:u w:val="single"/>
        </w:rPr>
        <w:t xml:space="preserve"> after the age of independence</w:t>
      </w:r>
      <w:r>
        <w:rPr>
          <w:rFonts w:ascii="Calibri" w:hAnsi="Calibri" w:eastAsia="Calibri" w:cs="Calibri"/>
        </w:rPr>
        <w:t xml:space="preserve">. What avenues, then, for contestation? How to strengthen the forces committed to ending the violence that characterizes the contemporary geopolitical moment? What possibilities for the politics of radical transformation? For justice? Queer Necropolitics makes a particularly timely and critically engaged intervention. Mapping out how deployments of sexuality, gender, race and desire inform the self-constituting practices of unlikely imperialist subjects — queer, feminist, left, and yes, even critical theorists and philosophers - as they simultaneously advance the reach of the Western empire, the authors of this book highlight how </w:t>
      </w:r>
      <w:r>
        <w:rPr>
          <w:rFonts w:ascii="Calibri" w:hAnsi="Calibri" w:eastAsia="Calibri" w:cs="Calibri"/>
          <w:u w:val="single"/>
        </w:rPr>
        <w:t>these practices also mark out entire ‘queerly racialized populations’ for occupation, subjugation or elimination</w:t>
      </w:r>
      <w:r>
        <w:rPr>
          <w:rFonts w:ascii="Calibri" w:hAnsi="Calibri" w:eastAsia="Calibri" w:cs="Calibri"/>
        </w:rPr>
        <w:t xml:space="preserve"> (Puar 2007). </w:t>
      </w:r>
      <w:r>
        <w:rPr>
          <w:rFonts w:ascii="Calibri" w:hAnsi="Calibri" w:eastAsia="Calibri" w:cs="Calibri"/>
          <w:b/>
          <w:u w:val="single"/>
        </w:rPr>
        <w:t>Examining the particularities</w:t>
      </w:r>
      <w:r>
        <w:rPr>
          <w:rFonts w:ascii="Calibri" w:hAnsi="Calibri" w:eastAsia="Calibri" w:cs="Calibri"/>
          <w:u w:val="single"/>
        </w:rPr>
        <w:t xml:space="preserve"> of the instances where ‘</w:t>
      </w:r>
      <w:r>
        <w:rPr>
          <w:rFonts w:ascii="Calibri" w:hAnsi="Calibri" w:eastAsia="Calibri" w:cs="Calibri"/>
          <w:b/>
          <w:u w:val="single"/>
        </w:rPr>
        <w:t>queer vitalities</w:t>
      </w:r>
      <w:r>
        <w:rPr>
          <w:rFonts w:ascii="Calibri" w:hAnsi="Calibri" w:eastAsia="Calibri" w:cs="Calibri"/>
          <w:u w:val="single"/>
        </w:rPr>
        <w:t xml:space="preserve"> become </w:t>
      </w:r>
      <w:r>
        <w:rPr>
          <w:rFonts w:ascii="Calibri" w:hAnsi="Calibri" w:eastAsia="Calibri" w:cs="Calibri"/>
          <w:b/>
          <w:u w:val="single"/>
        </w:rPr>
        <w:t>cannibalistic</w:t>
      </w:r>
      <w:r>
        <w:rPr>
          <w:rFonts w:ascii="Calibri" w:hAnsi="Calibri" w:eastAsia="Calibri" w:cs="Calibri"/>
          <w:u w:val="single"/>
        </w:rPr>
        <w:t xml:space="preserve"> on the </w:t>
      </w:r>
      <w:r>
        <w:rPr>
          <w:rFonts w:ascii="Calibri" w:hAnsi="Calibri" w:eastAsia="Calibri" w:cs="Calibri"/>
          <w:b/>
          <w:u w:val="single"/>
        </w:rPr>
        <w:t>disposing and abandonment</w:t>
      </w:r>
      <w:r>
        <w:rPr>
          <w:rFonts w:ascii="Calibri" w:hAnsi="Calibri" w:eastAsia="Calibri" w:cs="Calibri"/>
          <w:u w:val="single"/>
        </w:rPr>
        <w:t xml:space="preserve"> of others’, the authors help to </w:t>
      </w:r>
      <w:r>
        <w:rPr>
          <w:rFonts w:ascii="Calibri" w:hAnsi="Calibri" w:eastAsia="Calibri" w:cs="Calibri"/>
          <w:b/>
          <w:u w:val="single"/>
        </w:rPr>
        <w:t>disrupt a critical axis</w:t>
      </w:r>
      <w:r>
        <w:rPr>
          <w:rFonts w:ascii="Calibri" w:hAnsi="Calibri" w:eastAsia="Calibri" w:cs="Calibri"/>
          <w:u w:val="single"/>
        </w:rPr>
        <w:t xml:space="preserve"> on which </w:t>
      </w:r>
      <w:r>
        <w:rPr>
          <w:rFonts w:ascii="Calibri" w:hAnsi="Calibri" w:eastAsia="Calibri" w:cs="Calibri"/>
          <w:b/>
          <w:u w:val="single"/>
        </w:rPr>
        <w:t>pivot</w:t>
      </w:r>
      <w:r>
        <w:rPr>
          <w:rFonts w:ascii="Calibri" w:hAnsi="Calibri" w:eastAsia="Calibri" w:cs="Calibri"/>
          <w:u w:val="single"/>
        </w:rPr>
        <w:t xml:space="preserve"> the imperial </w:t>
      </w:r>
      <w:r>
        <w:rPr>
          <w:rFonts w:ascii="Calibri" w:hAnsi="Calibri" w:eastAsia="Calibri" w:cs="Calibri"/>
          <w:b/>
          <w:u w:val="single"/>
        </w:rPr>
        <w:t>heteronormative</w:t>
      </w:r>
      <w:r>
        <w:rPr>
          <w:rFonts w:ascii="Calibri" w:hAnsi="Calibri" w:eastAsia="Calibri" w:cs="Calibri"/>
          <w:u w:val="single"/>
        </w:rPr>
        <w:t xml:space="preserve">, </w:t>
      </w:r>
      <w:r>
        <w:rPr>
          <w:rFonts w:ascii="Calibri" w:hAnsi="Calibri" w:eastAsia="Calibri" w:cs="Calibri"/>
          <w:b/>
          <w:u w:val="single"/>
        </w:rPr>
        <w:t>homonormative</w:t>
      </w:r>
      <w:r>
        <w:rPr>
          <w:rFonts w:ascii="Calibri" w:hAnsi="Calibri" w:eastAsia="Calibri" w:cs="Calibri"/>
          <w:u w:val="single"/>
        </w:rPr>
        <w:t xml:space="preserve"> and </w:t>
      </w:r>
      <w:r>
        <w:rPr>
          <w:rFonts w:ascii="Calibri" w:hAnsi="Calibri" w:eastAsia="Calibri" w:cs="Calibri"/>
          <w:b/>
          <w:u w:val="single"/>
        </w:rPr>
        <w:t>transnormative politics</w:t>
      </w:r>
      <w:r>
        <w:rPr>
          <w:rFonts w:ascii="Calibri" w:hAnsi="Calibri" w:eastAsia="Calibri" w:cs="Calibri"/>
          <w:u w:val="single"/>
        </w:rPr>
        <w:t xml:space="preserve"> of violence and pleasure</w:t>
      </w:r>
      <w:r>
        <w:rPr>
          <w:rFonts w:ascii="Calibri" w:hAnsi="Calibri" w:eastAsia="Calibri" w:cs="Calibri"/>
        </w:rPr>
        <w:t xml:space="preserve"> (Introduction: p. 2). What comes into view when </w:t>
      </w:r>
      <w:r>
        <w:rPr>
          <w:rFonts w:ascii="Calibri" w:hAnsi="Calibri" w:eastAsia="Calibri" w:cs="Calibri"/>
          <w:b/>
          <w:u w:val="single"/>
        </w:rPr>
        <w:t>homonationalism is named homoracism</w:t>
      </w:r>
      <w:r>
        <w:rPr>
          <w:rFonts w:ascii="Calibri" w:hAnsi="Calibri" w:eastAsia="Calibri" w:cs="Calibri"/>
        </w:rPr>
        <w:t xml:space="preserve">? When feminism is defined as imperialist? When human rights arc conceived of as recolonization? When queer and trans politics are identified as parasitic? </w:t>
      </w:r>
      <w:r>
        <w:rPr>
          <w:rFonts w:ascii="Calibri" w:hAnsi="Calibri" w:eastAsia="Calibri" w:cs="Calibri"/>
          <w:u w:val="single"/>
        </w:rPr>
        <w:t xml:space="preserve">The power of whiteness comes into </w:t>
      </w:r>
      <w:r>
        <w:rPr>
          <w:rFonts w:ascii="Calibri" w:hAnsi="Calibri" w:eastAsia="Calibri" w:cs="Calibri"/>
          <w:b/>
          <w:u w:val="single"/>
        </w:rPr>
        <w:t>sharp focus</w:t>
      </w:r>
      <w:r>
        <w:rPr>
          <w:rFonts w:ascii="Calibri" w:hAnsi="Calibri" w:eastAsia="Calibri" w:cs="Calibri"/>
          <w:u w:val="single"/>
        </w:rPr>
        <w:t xml:space="preserve">, the </w:t>
      </w:r>
      <w:r>
        <w:rPr>
          <w:rFonts w:ascii="Calibri" w:hAnsi="Calibri" w:eastAsia="Calibri" w:cs="Calibri"/>
          <w:b/>
          <w:u w:val="single"/>
        </w:rPr>
        <w:t>everydayness of the institution</w:t>
      </w:r>
      <w:r>
        <w:rPr>
          <w:rFonts w:ascii="Calibri" w:hAnsi="Calibri" w:eastAsia="Calibri" w:cs="Calibri"/>
          <w:u w:val="single"/>
        </w:rPr>
        <w:t xml:space="preserve"> of </w:t>
      </w:r>
      <w:r>
        <w:rPr>
          <w:rFonts w:ascii="Calibri" w:hAnsi="Calibri" w:eastAsia="Calibri" w:cs="Calibri"/>
          <w:b/>
          <w:u w:val="single"/>
        </w:rPr>
        <w:t>white supremacy</w:t>
      </w:r>
      <w:r>
        <w:rPr>
          <w:rFonts w:ascii="Calibri" w:hAnsi="Calibri" w:eastAsia="Calibri" w:cs="Calibri"/>
          <w:u w:val="single"/>
        </w:rPr>
        <w:t xml:space="preserve"> is </w:t>
      </w:r>
      <w:r>
        <w:rPr>
          <w:rFonts w:ascii="Calibri" w:hAnsi="Calibri" w:eastAsia="Calibri" w:cs="Calibri"/>
          <w:b/>
          <w:u w:val="single"/>
        </w:rPr>
        <w:t>exposed</w:t>
      </w:r>
      <w:r>
        <w:rPr>
          <w:rFonts w:ascii="Calibri" w:hAnsi="Calibri" w:eastAsia="Calibri" w:cs="Calibri"/>
          <w:u w:val="single"/>
        </w:rPr>
        <w:t xml:space="preserve"> in all its </w:t>
      </w:r>
      <w:r>
        <w:rPr>
          <w:rFonts w:ascii="Calibri" w:hAnsi="Calibri" w:eastAsia="Calibri" w:cs="Calibri"/>
          <w:b/>
          <w:u w:val="single"/>
        </w:rPr>
        <w:t>stark (in)visibilities</w:t>
      </w:r>
      <w:r>
        <w:rPr>
          <w:rFonts w:ascii="Calibri" w:hAnsi="Calibri" w:eastAsia="Calibri" w:cs="Calibri"/>
        </w:rPr>
        <w:t xml:space="preserve">. The authors of </w:t>
      </w:r>
      <w:r>
        <w:rPr>
          <w:rFonts w:ascii="Calibri" w:hAnsi="Calibri" w:eastAsia="Calibri" w:cs="Calibri"/>
          <w:u w:val="single"/>
        </w:rPr>
        <w:t xml:space="preserve">Queer Necropolitics provide the </w:t>
      </w:r>
      <w:r>
        <w:rPr>
          <w:rFonts w:ascii="Calibri" w:hAnsi="Calibri" w:eastAsia="Calibri" w:cs="Calibri"/>
          <w:b/>
          <w:u w:val="single"/>
        </w:rPr>
        <w:t>conceptual</w:t>
      </w:r>
      <w:r>
        <w:rPr>
          <w:rFonts w:ascii="Calibri" w:hAnsi="Calibri" w:eastAsia="Calibri" w:cs="Calibri"/>
          <w:u w:val="single"/>
        </w:rPr>
        <w:t xml:space="preserve"> and </w:t>
      </w:r>
      <w:r>
        <w:rPr>
          <w:rFonts w:ascii="Calibri" w:hAnsi="Calibri" w:eastAsia="Calibri" w:cs="Calibri"/>
          <w:b/>
          <w:u w:val="single"/>
        </w:rPr>
        <w:t>analytical tools vital</w:t>
      </w:r>
      <w:r>
        <w:rPr>
          <w:rFonts w:ascii="Calibri" w:hAnsi="Calibri" w:eastAsia="Calibri" w:cs="Calibri"/>
          <w:u w:val="single"/>
        </w:rPr>
        <w:t xml:space="preserve"> to the </w:t>
      </w:r>
      <w:r>
        <w:rPr>
          <w:rFonts w:ascii="Calibri" w:hAnsi="Calibri" w:eastAsia="Calibri" w:cs="Calibri"/>
          <w:b/>
          <w:u w:val="single"/>
        </w:rPr>
        <w:t>politics of resistance</w:t>
      </w:r>
      <w:r>
        <w:rPr>
          <w:rFonts w:ascii="Calibri" w:hAnsi="Calibri" w:eastAsia="Calibri" w:cs="Calibri"/>
          <w:u w:val="single"/>
        </w:rPr>
        <w:t xml:space="preserve"> against the </w:t>
      </w:r>
      <w:r>
        <w:rPr>
          <w:rFonts w:ascii="Calibri" w:hAnsi="Calibri" w:eastAsia="Calibri" w:cs="Calibri"/>
          <w:b/>
          <w:u w:val="single"/>
        </w:rPr>
        <w:t>deathly trajectories of power</w:t>
      </w:r>
      <w:r>
        <w:rPr>
          <w:rFonts w:ascii="Calibri" w:hAnsi="Calibri" w:eastAsia="Calibri" w:cs="Calibri"/>
          <w:u w:val="single"/>
        </w:rPr>
        <w:t xml:space="preserve"> that mark these times</w:t>
      </w:r>
      <w:r>
        <w:rPr>
          <w:rFonts w:ascii="Calibri" w:hAnsi="Calibri" w:eastAsia="Calibri" w:cs="Calibri"/>
        </w:rPr>
        <w:t xml:space="preserve">. Jin Haritaworn, Adi Kuntsman and Silvia Posocco point to the ‘worrying tendency to dismiss queer and trans of colour critiques in particular as identitarian, pre-theoretical and inferior’ (Introduction: p. 4). They are absolutely right to draw attention to such dismissal, for the displacing of radical critical race theory - with all its complexities - in the name of identity politics has become a habitual practice of the Western theoretico-political tradition, including its feminisms, left activisms and </w:t>
      </w:r>
      <w:r>
        <w:rPr>
          <w:rFonts w:ascii="Calibri" w:hAnsi="Calibri" w:eastAsia="Calibri" w:cs="Calibri"/>
        </w:rPr>
        <w:lastRenderedPageBreak/>
        <w:t xml:space="preserve">LBGTQ, movements. </w:t>
      </w:r>
      <w:r>
        <w:rPr>
          <w:rFonts w:ascii="Calibri" w:hAnsi="Calibri" w:eastAsia="Calibri" w:cs="Calibri"/>
          <w:u w:val="single"/>
        </w:rPr>
        <w:t>Refusing to acknowledge the violence of the imperial practices that incarcerate subjugated populations in their suffocatingly codified identities or to recognize the forms of violence they themselves enact as they further the universalization of their own identities in the name of humanism, these intransigent theorists and activists secure their access to white superiority by such dismissal</w:t>
      </w:r>
      <w:r>
        <w:rPr>
          <w:rFonts w:ascii="Calibri" w:hAnsi="Calibri" w:eastAsia="Calibri" w:cs="Calibri"/>
        </w:rPr>
        <w:t xml:space="preserve">. </w:t>
      </w:r>
      <w:r>
        <w:rPr>
          <w:rFonts w:ascii="Calibri" w:hAnsi="Calibri" w:eastAsia="Calibri" w:cs="Calibri"/>
          <w:u w:val="single"/>
        </w:rPr>
        <w:t xml:space="preserve">Trapped between </w:t>
      </w:r>
      <w:r>
        <w:rPr>
          <w:rFonts w:ascii="Calibri" w:hAnsi="Calibri" w:eastAsia="Calibri" w:cs="Calibri"/>
          <w:b/>
          <w:u w:val="single"/>
        </w:rPr>
        <w:t>humanism</w:t>
      </w:r>
      <w:r>
        <w:rPr>
          <w:rFonts w:ascii="Calibri" w:hAnsi="Calibri" w:eastAsia="Calibri" w:cs="Calibri"/>
          <w:u w:val="single"/>
        </w:rPr>
        <w:t xml:space="preserve"> and its </w:t>
      </w:r>
      <w:r>
        <w:rPr>
          <w:rFonts w:ascii="Calibri" w:hAnsi="Calibri" w:eastAsia="Calibri" w:cs="Calibri"/>
          <w:b/>
          <w:u w:val="single"/>
        </w:rPr>
        <w:t>rigidly enforced politics of identities</w:t>
      </w:r>
      <w:r>
        <w:rPr>
          <w:rFonts w:ascii="Calibri" w:hAnsi="Calibri" w:eastAsia="Calibri" w:cs="Calibri"/>
          <w:u w:val="single"/>
        </w:rPr>
        <w:t xml:space="preserve">. </w:t>
      </w:r>
      <w:r>
        <w:rPr>
          <w:rFonts w:ascii="Calibri" w:hAnsi="Calibri" w:eastAsia="Calibri" w:cs="Calibri"/>
          <w:b/>
          <w:u w:val="single"/>
        </w:rPr>
        <w:t xml:space="preserve">Where to turn? </w:t>
      </w:r>
      <w:r>
        <w:rPr>
          <w:rFonts w:ascii="Calibri" w:hAnsi="Calibri" w:eastAsia="Calibri" w:cs="Calibri"/>
        </w:rPr>
        <w:t xml:space="preserve">It should not be forgotten that </w:t>
      </w:r>
      <w:r>
        <w:rPr>
          <w:rFonts w:ascii="Calibri" w:hAnsi="Calibri" w:eastAsia="Calibri" w:cs="Calibri"/>
          <w:u w:val="single"/>
        </w:rPr>
        <w:t>the chief architects of this ‘war on terror’ are the settler colonial societies established by Euro-America</w:t>
      </w:r>
      <w:r>
        <w:rPr>
          <w:rFonts w:ascii="Calibri" w:hAnsi="Calibri" w:eastAsia="Calibri" w:cs="Calibri"/>
        </w:rPr>
        <w:t xml:space="preserve">, namely, </w:t>
      </w:r>
      <w:r>
        <w:rPr>
          <w:rFonts w:ascii="Calibri" w:hAnsi="Calibri" w:eastAsia="Calibri" w:cs="Calibri"/>
          <w:u w:val="single"/>
        </w:rPr>
        <w:t>US, Canada, Israel, Australia</w:t>
      </w:r>
      <w:r>
        <w:rPr>
          <w:rFonts w:ascii="Calibri" w:hAnsi="Calibri" w:eastAsia="Calibri" w:cs="Calibri"/>
        </w:rPr>
        <w:t xml:space="preserve">, along with those seasoned imperialists, </w:t>
      </w:r>
      <w:r>
        <w:rPr>
          <w:rFonts w:ascii="Calibri" w:hAnsi="Calibri" w:eastAsia="Calibri" w:cs="Calibri"/>
          <w:u w:val="single"/>
        </w:rPr>
        <w:t>the British, the French and the Germans</w:t>
      </w:r>
      <w:r>
        <w:rPr>
          <w:rFonts w:ascii="Calibri" w:hAnsi="Calibri" w:eastAsia="Calibri" w:cs="Calibri"/>
        </w:rPr>
        <w:t xml:space="preserve">. The massive public support among their nationals for killing ‘terrorists’ wherever they are to be found, for racial profiling wherever the state deems it necessary and for ripping off Muslim women’s veils whenever possible extends Islamophobia into homes, schools, workplaces, cinemas, shopping malls, social service agencies and, yes, in hearts and minds. </w:t>
      </w:r>
      <w:r>
        <w:rPr>
          <w:rFonts w:ascii="Calibri" w:hAnsi="Calibri" w:eastAsia="Calibri" w:cs="Calibri"/>
          <w:u w:val="single"/>
        </w:rPr>
        <w:t xml:space="preserve">The </w:t>
      </w:r>
      <w:r>
        <w:rPr>
          <w:rFonts w:ascii="Calibri" w:hAnsi="Calibri" w:eastAsia="Calibri" w:cs="Calibri"/>
          <w:b/>
          <w:u w:val="single"/>
        </w:rPr>
        <w:t>public valorization</w:t>
      </w:r>
      <w:r>
        <w:rPr>
          <w:rFonts w:ascii="Calibri" w:hAnsi="Calibri" w:eastAsia="Calibri" w:cs="Calibri"/>
          <w:u w:val="single"/>
        </w:rPr>
        <w:t xml:space="preserve"> of the </w:t>
      </w:r>
      <w:r>
        <w:rPr>
          <w:rFonts w:ascii="Calibri" w:hAnsi="Calibri" w:eastAsia="Calibri" w:cs="Calibri"/>
          <w:b/>
          <w:u w:val="single"/>
        </w:rPr>
        <w:t>statesmen</w:t>
      </w:r>
      <w:r>
        <w:rPr>
          <w:rFonts w:ascii="Calibri" w:hAnsi="Calibri" w:eastAsia="Calibri" w:cs="Calibri"/>
          <w:u w:val="single"/>
        </w:rPr>
        <w:t xml:space="preserve"> and </w:t>
      </w:r>
      <w:r>
        <w:rPr>
          <w:rFonts w:ascii="Calibri" w:hAnsi="Calibri" w:eastAsia="Calibri" w:cs="Calibri"/>
          <w:b/>
          <w:u w:val="single"/>
        </w:rPr>
        <w:t>stateswomen</w:t>
      </w:r>
      <w:r>
        <w:rPr>
          <w:rFonts w:ascii="Calibri" w:hAnsi="Calibri" w:eastAsia="Calibri" w:cs="Calibri"/>
          <w:u w:val="single"/>
        </w:rPr>
        <w:t xml:space="preserve">, the generals and soldiers, the corporations and journalists who </w:t>
      </w:r>
      <w:r>
        <w:rPr>
          <w:rFonts w:ascii="Calibri" w:hAnsi="Calibri" w:eastAsia="Calibri" w:cs="Calibri"/>
          <w:b/>
          <w:u w:val="single"/>
        </w:rPr>
        <w:t>plan</w:t>
      </w:r>
      <w:r>
        <w:rPr>
          <w:rFonts w:ascii="Calibri" w:hAnsi="Calibri" w:eastAsia="Calibri" w:cs="Calibri"/>
          <w:u w:val="single"/>
        </w:rPr>
        <w:t xml:space="preserve">, </w:t>
      </w:r>
      <w:r>
        <w:rPr>
          <w:rFonts w:ascii="Calibri" w:hAnsi="Calibri" w:eastAsia="Calibri" w:cs="Calibri"/>
          <w:b/>
          <w:u w:val="single"/>
        </w:rPr>
        <w:t>execute</w:t>
      </w:r>
      <w:r>
        <w:rPr>
          <w:rFonts w:ascii="Calibri" w:hAnsi="Calibri" w:eastAsia="Calibri" w:cs="Calibri"/>
          <w:u w:val="single"/>
        </w:rPr>
        <w:t xml:space="preserve"> and </w:t>
      </w:r>
      <w:r>
        <w:rPr>
          <w:rFonts w:ascii="Calibri" w:hAnsi="Calibri" w:eastAsia="Calibri" w:cs="Calibri"/>
          <w:b/>
          <w:u w:val="single"/>
        </w:rPr>
        <w:t>legitimize</w:t>
      </w:r>
      <w:r>
        <w:rPr>
          <w:rFonts w:ascii="Calibri" w:hAnsi="Calibri" w:eastAsia="Calibri" w:cs="Calibri"/>
          <w:u w:val="single"/>
        </w:rPr>
        <w:t xml:space="preserve"> the </w:t>
      </w:r>
      <w:r>
        <w:rPr>
          <w:rFonts w:ascii="Calibri" w:hAnsi="Calibri" w:eastAsia="Calibri" w:cs="Calibri"/>
          <w:b/>
          <w:u w:val="single"/>
        </w:rPr>
        <w:t>new wars of the 21st century</w:t>
      </w:r>
      <w:r>
        <w:rPr>
          <w:rFonts w:ascii="Calibri" w:hAnsi="Calibri" w:eastAsia="Calibri" w:cs="Calibri"/>
          <w:u w:val="single"/>
        </w:rPr>
        <w:t xml:space="preserve"> chillingly echo the public celebration of </w:t>
      </w:r>
      <w:r>
        <w:rPr>
          <w:rFonts w:ascii="Calibri" w:hAnsi="Calibri" w:eastAsia="Calibri" w:cs="Calibri"/>
          <w:b/>
          <w:u w:val="single"/>
        </w:rPr>
        <w:t>‘Indian hunters’</w:t>
      </w:r>
      <w:r>
        <w:rPr>
          <w:rFonts w:ascii="Calibri" w:hAnsi="Calibri" w:eastAsia="Calibri" w:cs="Calibri"/>
          <w:u w:val="single"/>
        </w:rPr>
        <w:t xml:space="preserve">, pioneering heroes of an earlier age of US empire and nation-building, as well as of the </w:t>
      </w:r>
      <w:r>
        <w:rPr>
          <w:rFonts w:ascii="Calibri" w:hAnsi="Calibri" w:eastAsia="Calibri" w:cs="Calibri"/>
          <w:b/>
          <w:u w:val="single"/>
        </w:rPr>
        <w:t>white lynch mobs</w:t>
      </w:r>
      <w:r>
        <w:rPr>
          <w:rFonts w:ascii="Calibri" w:hAnsi="Calibri" w:eastAsia="Calibri" w:cs="Calibri"/>
          <w:u w:val="single"/>
        </w:rPr>
        <w:t xml:space="preserve"> who ‘hunted’ black men and boys in the name of defending the virtue of white women</w:t>
      </w:r>
      <w:r>
        <w:rPr>
          <w:rFonts w:ascii="Calibri" w:hAnsi="Calibri" w:eastAsia="Calibri" w:cs="Calibri"/>
        </w:rPr>
        <w:t xml:space="preserve">. Indeed, the continuities in such racial violence cannot but be recognized even by the perpetrators themselves, whether by design or otherwise. US and other allied soldiers regularly refer to Afghanistan and Iraq as ‘Injun country’ and to the black and brown bodies of Muslims as ‘Injuns’; mercenaries working for the US state in Somalia define local Somali men as ‘savages’;1 ‘Project Lawrence’ is launched to develop ‘cultural proficiencies’ among elite US forces working in secret military operations;2 and the codename ‘Geronimo’ is assigned to the mission to kill Bin Laden. </w:t>
      </w:r>
      <w:r>
        <w:rPr>
          <w:rFonts w:ascii="Calibri" w:hAnsi="Calibri" w:eastAsia="Calibri" w:cs="Calibri"/>
          <w:u w:val="single"/>
        </w:rPr>
        <w:t xml:space="preserve">As Western nation-states </w:t>
      </w:r>
      <w:r>
        <w:rPr>
          <w:rFonts w:ascii="Calibri" w:hAnsi="Calibri" w:eastAsia="Calibri" w:cs="Calibri"/>
          <w:b/>
          <w:u w:val="single"/>
        </w:rPr>
        <w:t>fortify</w:t>
      </w:r>
      <w:r>
        <w:rPr>
          <w:rFonts w:ascii="Calibri" w:hAnsi="Calibri" w:eastAsia="Calibri" w:cs="Calibri"/>
          <w:u w:val="single"/>
        </w:rPr>
        <w:t xml:space="preserve"> their various forms of </w:t>
      </w:r>
      <w:r>
        <w:rPr>
          <w:rFonts w:ascii="Calibri" w:hAnsi="Calibri" w:eastAsia="Calibri" w:cs="Calibri"/>
          <w:b/>
          <w:u w:val="single"/>
        </w:rPr>
        <w:t>security</w:t>
      </w:r>
      <w:r>
        <w:rPr>
          <w:rFonts w:ascii="Calibri" w:hAnsi="Calibri" w:eastAsia="Calibri" w:cs="Calibri"/>
          <w:u w:val="single"/>
        </w:rPr>
        <w:t xml:space="preserve"> - </w:t>
      </w:r>
      <w:r>
        <w:rPr>
          <w:rFonts w:ascii="Calibri" w:hAnsi="Calibri" w:eastAsia="Calibri" w:cs="Calibri"/>
          <w:b/>
          <w:u w:val="single"/>
        </w:rPr>
        <w:t>military</w:t>
      </w:r>
      <w:r>
        <w:rPr>
          <w:rFonts w:ascii="Calibri" w:hAnsi="Calibri" w:eastAsia="Calibri" w:cs="Calibri"/>
          <w:u w:val="single"/>
        </w:rPr>
        <w:t xml:space="preserve">, </w:t>
      </w:r>
      <w:r>
        <w:rPr>
          <w:rFonts w:ascii="Calibri" w:hAnsi="Calibri" w:eastAsia="Calibri" w:cs="Calibri"/>
          <w:b/>
          <w:u w:val="single"/>
        </w:rPr>
        <w:t>national</w:t>
      </w:r>
      <w:r>
        <w:rPr>
          <w:rFonts w:ascii="Calibri" w:hAnsi="Calibri" w:eastAsia="Calibri" w:cs="Calibri"/>
          <w:u w:val="single"/>
        </w:rPr>
        <w:t xml:space="preserve"> and </w:t>
      </w:r>
      <w:r>
        <w:rPr>
          <w:rFonts w:ascii="Calibri" w:hAnsi="Calibri" w:eastAsia="Calibri" w:cs="Calibri"/>
          <w:b/>
          <w:u w:val="single"/>
        </w:rPr>
        <w:t>psychic</w:t>
      </w:r>
      <w:r>
        <w:rPr>
          <w:rFonts w:ascii="Calibri" w:hAnsi="Calibri" w:eastAsia="Calibri" w:cs="Calibri"/>
          <w:u w:val="single"/>
        </w:rPr>
        <w:t xml:space="preserve"> - </w:t>
      </w:r>
      <w:r>
        <w:rPr>
          <w:rFonts w:ascii="Calibri" w:hAnsi="Calibri" w:eastAsia="Calibri" w:cs="Calibri"/>
          <w:b/>
          <w:u w:val="single"/>
        </w:rPr>
        <w:t>neoliberalism morphs</w:t>
      </w:r>
      <w:r>
        <w:rPr>
          <w:rFonts w:ascii="Calibri" w:hAnsi="Calibri" w:eastAsia="Calibri" w:cs="Calibri"/>
          <w:u w:val="single"/>
        </w:rPr>
        <w:t xml:space="preserve"> into its </w:t>
      </w:r>
      <w:r>
        <w:rPr>
          <w:rFonts w:ascii="Calibri" w:hAnsi="Calibri" w:eastAsia="Calibri" w:cs="Calibri"/>
          <w:b/>
          <w:u w:val="single"/>
        </w:rPr>
        <w:t>audaciously murderous phase</w:t>
      </w:r>
      <w:r>
        <w:rPr>
          <w:rFonts w:ascii="Calibri" w:hAnsi="Calibri" w:eastAsia="Calibri" w:cs="Calibri"/>
          <w:u w:val="single"/>
        </w:rPr>
        <w:t xml:space="preserve">, overtly so now; global capitalism acquires a </w:t>
      </w:r>
      <w:r>
        <w:rPr>
          <w:rFonts w:ascii="Calibri" w:hAnsi="Calibri" w:eastAsia="Calibri" w:cs="Calibri"/>
          <w:b/>
          <w:u w:val="single"/>
        </w:rPr>
        <w:t>robust new energy</w:t>
      </w:r>
      <w:r>
        <w:rPr>
          <w:rFonts w:ascii="Calibri" w:hAnsi="Calibri" w:eastAsia="Calibri" w:cs="Calibri"/>
          <w:u w:val="single"/>
        </w:rPr>
        <w:t xml:space="preserve"> in the </w:t>
      </w:r>
      <w:r>
        <w:rPr>
          <w:rFonts w:ascii="Calibri" w:hAnsi="Calibri" w:eastAsia="Calibri" w:cs="Calibri"/>
          <w:b/>
          <w:u w:val="single"/>
        </w:rPr>
        <w:t>privatization</w:t>
      </w:r>
      <w:r>
        <w:rPr>
          <w:rFonts w:ascii="Calibri" w:hAnsi="Calibri" w:eastAsia="Calibri" w:cs="Calibri"/>
          <w:u w:val="single"/>
        </w:rPr>
        <w:t xml:space="preserve"> of the state’s </w:t>
      </w:r>
      <w:r>
        <w:rPr>
          <w:rFonts w:ascii="Calibri" w:hAnsi="Calibri" w:eastAsia="Calibri" w:cs="Calibri"/>
          <w:b/>
          <w:u w:val="single"/>
        </w:rPr>
        <w:t>machinery of death</w:t>
      </w:r>
      <w:r>
        <w:rPr>
          <w:rFonts w:ascii="Calibri" w:hAnsi="Calibri" w:eastAsia="Calibri" w:cs="Calibri"/>
          <w:u w:val="single"/>
        </w:rPr>
        <w:t xml:space="preserve">; new technologies of </w:t>
      </w:r>
      <w:r>
        <w:rPr>
          <w:rFonts w:ascii="Calibri" w:hAnsi="Calibri" w:eastAsia="Calibri" w:cs="Calibri"/>
          <w:b/>
          <w:u w:val="single"/>
        </w:rPr>
        <w:t>surveillance</w:t>
      </w:r>
      <w:r>
        <w:rPr>
          <w:rFonts w:ascii="Calibri" w:hAnsi="Calibri" w:eastAsia="Calibri" w:cs="Calibri"/>
          <w:u w:val="single"/>
        </w:rPr>
        <w:t xml:space="preserve"> and </w:t>
      </w:r>
      <w:r>
        <w:rPr>
          <w:rFonts w:ascii="Calibri" w:hAnsi="Calibri" w:eastAsia="Calibri" w:cs="Calibri"/>
          <w:b/>
          <w:u w:val="single"/>
        </w:rPr>
        <w:t>communication</w:t>
      </w:r>
      <w:r>
        <w:rPr>
          <w:rFonts w:ascii="Calibri" w:hAnsi="Calibri" w:eastAsia="Calibri" w:cs="Calibri"/>
          <w:u w:val="single"/>
        </w:rPr>
        <w:t xml:space="preserve"> are invented and enthusiastically consumed. The West is </w:t>
      </w:r>
      <w:r>
        <w:rPr>
          <w:rFonts w:ascii="Calibri" w:hAnsi="Calibri" w:eastAsia="Calibri" w:cs="Calibri"/>
          <w:b/>
          <w:u w:val="single"/>
        </w:rPr>
        <w:t>resurgent</w:t>
      </w:r>
      <w:r>
        <w:rPr>
          <w:rFonts w:ascii="Calibri" w:hAnsi="Calibri" w:eastAsia="Calibri" w:cs="Calibri"/>
          <w:u w:val="single"/>
        </w:rPr>
        <w:t xml:space="preserve"> again and ... all this </w:t>
      </w:r>
      <w:r>
        <w:rPr>
          <w:rFonts w:ascii="Calibri" w:hAnsi="Calibri" w:eastAsia="Calibri" w:cs="Calibri"/>
          <w:b/>
          <w:u w:val="single"/>
        </w:rPr>
        <w:t>whiteness</w:t>
      </w:r>
      <w:r>
        <w:rPr>
          <w:rFonts w:ascii="Calibri" w:hAnsi="Calibri" w:eastAsia="Calibri" w:cs="Calibri"/>
          <w:u w:val="single"/>
        </w:rPr>
        <w:t xml:space="preserve">. .. ‘(a)ll this </w:t>
      </w:r>
      <w:r>
        <w:rPr>
          <w:rFonts w:ascii="Calibri" w:hAnsi="Calibri" w:eastAsia="Calibri" w:cs="Calibri"/>
          <w:b/>
          <w:u w:val="single"/>
        </w:rPr>
        <w:t>whiteness that bums'</w:t>
      </w:r>
      <w:r>
        <w:rPr>
          <w:rFonts w:ascii="Calibri" w:hAnsi="Calibri" w:eastAsia="Calibri" w:cs="Calibri"/>
        </w:rPr>
        <w:t xml:space="preserve"> (Fanon 2008: 86, emphasis added). It is wise to remember that </w:t>
      </w:r>
      <w:r>
        <w:rPr>
          <w:rFonts w:ascii="Calibri" w:hAnsi="Calibri" w:eastAsia="Calibri" w:cs="Calibri"/>
          <w:u w:val="single"/>
        </w:rPr>
        <w:t>sovereignty is not abstract</w:t>
      </w:r>
      <w:r>
        <w:rPr>
          <w:rFonts w:ascii="Calibri" w:hAnsi="Calibri" w:eastAsia="Calibri" w:cs="Calibri"/>
        </w:rPr>
        <w:t xml:space="preserve">. </w:t>
      </w:r>
      <w:r>
        <w:rPr>
          <w:rFonts w:ascii="Calibri" w:hAnsi="Calibri" w:eastAsia="Calibri" w:cs="Calibri"/>
          <w:u w:val="single"/>
        </w:rPr>
        <w:t>It has a particular name, a face, an address, a geographical coordinate. Its face is white, it remains housed in white bodies, it is located in Westernity</w:t>
      </w:r>
      <w:r>
        <w:rPr>
          <w:rFonts w:ascii="Calibri" w:hAnsi="Calibri" w:eastAsia="Calibri" w:cs="Calibri"/>
        </w:rPr>
        <w:t xml:space="preserve">. </w:t>
      </w:r>
      <w:r>
        <w:rPr>
          <w:rFonts w:ascii="Calibri" w:hAnsi="Calibri" w:eastAsia="Calibri" w:cs="Calibri"/>
          <w:u w:val="single"/>
        </w:rPr>
        <w:t xml:space="preserve">Queer Necropolitics does the very important work of teaching its readers how to </w:t>
      </w:r>
      <w:r>
        <w:rPr>
          <w:rFonts w:ascii="Calibri" w:hAnsi="Calibri" w:eastAsia="Calibri" w:cs="Calibri"/>
          <w:b/>
          <w:u w:val="single"/>
        </w:rPr>
        <w:t>recognize the deadly workings of power</w:t>
      </w:r>
      <w:r>
        <w:rPr>
          <w:rFonts w:ascii="Calibri" w:hAnsi="Calibri" w:eastAsia="Calibri" w:cs="Calibri"/>
        </w:rPr>
        <w:t>. We would do well to learn from this book’s passionately principled</w:t>
      </w:r>
      <w:r>
        <w:rPr>
          <w:rFonts w:ascii="Times New Roman" w:hAnsi="Times New Roman" w:eastAsia="Times New Roman" w:cs="Times New Roman"/>
          <w:sz w:val="26"/>
          <w:szCs w:val="26"/>
        </w:rPr>
        <w:t xml:space="preserve"> </w:t>
      </w:r>
      <w:r>
        <w:rPr>
          <w:rFonts w:ascii="Calibri" w:hAnsi="Calibri" w:eastAsia="Calibri" w:cs="Calibri"/>
        </w:rPr>
        <w:t xml:space="preserve">outrage at the order of things.  </w:t>
      </w:r>
    </w:p>
    <w:p xmlns:wp14="http://schemas.microsoft.com/office/word/2010/wordml" w:rsidR="00507555" w:rsidP="00507555" w:rsidRDefault="00507555" w14:paraId="74539910" wp14:textId="77777777"/>
    <w:p xmlns:wp14="http://schemas.microsoft.com/office/word/2010/wordml" w:rsidR="00507555" w:rsidP="00507555" w:rsidRDefault="00507555" w14:paraId="72F4713D" wp14:textId="77777777">
      <w:pPr>
        <w:pStyle w:val="Heading3"/>
      </w:pPr>
      <w:r>
        <w:lastRenderedPageBreak/>
        <w:t>I: Citizenship--Racism</w:t>
      </w:r>
    </w:p>
    <w:p xmlns:wp14="http://schemas.microsoft.com/office/word/2010/wordml" w:rsidR="00507555" w:rsidP="00507555" w:rsidRDefault="00507555" w14:paraId="5A7E0CF2" wp14:textId="77777777">
      <w:pPr>
        <w:jc w:val="center"/>
      </w:pPr>
    </w:p>
    <w:p xmlns:wp14="http://schemas.microsoft.com/office/word/2010/wordml" w:rsidRPr="007B1494" w:rsidR="00507555" w:rsidP="00507555" w:rsidRDefault="00507555" w14:paraId="6B8884A3" wp14:textId="77777777">
      <w:pPr>
        <w:pStyle w:val="Heading4"/>
      </w:pPr>
      <w:r w:rsidRPr="007B1494">
        <w:t xml:space="preserve">Law is used as a tool to reify and perpetuate hyperbolic racial profiling inducing a state where the dichotomy between “citizen” and “alien,” rather than legality, determines one’s being and status within the state </w:t>
      </w:r>
    </w:p>
    <w:p xmlns:wp14="http://schemas.microsoft.com/office/word/2010/wordml" w:rsidRPr="00D91B24" w:rsidR="00507555" w:rsidP="00507555" w:rsidRDefault="00507555" w14:paraId="2827D892" wp14:textId="77777777">
      <w:pPr>
        <w:rPr>
          <w:rFonts w:ascii="Calibri" w:hAnsi="Calibri" w:eastAsia="Calibri" w:cs="Calibri"/>
          <w:sz w:val="16"/>
        </w:rPr>
      </w:pPr>
      <w:r w:rsidRPr="007B1494">
        <w:rPr>
          <w:rStyle w:val="Style13ptBold"/>
        </w:rPr>
        <w:t>Cisneros 14</w:t>
      </w:r>
      <w:r w:rsidRPr="00D91B24">
        <w:rPr>
          <w:rFonts w:ascii="Calibri" w:hAnsi="Calibri" w:eastAsia="Calibri" w:cs="Calibri"/>
          <w:sz w:val="16"/>
        </w:rPr>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 </w:t>
      </w:r>
    </w:p>
    <w:p xmlns:wp14="http://schemas.microsoft.com/office/word/2010/wordml" w:rsidR="00507555" w:rsidP="00507555" w:rsidRDefault="00507555" w14:paraId="2D4945C9" wp14:textId="77777777">
      <w:pPr>
        <w:rPr>
          <w:rFonts w:ascii="Calibri" w:hAnsi="Calibri" w:eastAsia="Calibri" w:cs="Calibri"/>
          <w:sz w:val="16"/>
          <w:szCs w:val="16"/>
        </w:rPr>
      </w:pPr>
      <w:r>
        <w:rPr>
          <w:rFonts w:ascii="Calibri" w:hAnsi="Calibri" w:eastAsia="Calibri" w:cs="Calibri"/>
          <w:sz w:val="16"/>
          <w:szCs w:val="16"/>
        </w:rPr>
        <w:t>If the immigrant marches of 2006 can be understood as organizing multiple constituencies in opposition to restrictive immigration legislation, as argued in the last chapter, then the more recent mobilizations—from protests in Arizona to student movements for the DREAM Act—are in many ways extensions or continuations of the immigrant activism of 2006. Just as La Gran Marcha spurred a nationwide wave of social protests by Latina/os and immigrants (protests asserting citizenship and rebuffing restrictive bordering practices), demonstrations and boycotts again spread throughout the country in 2010 involving Latina/os, immigrants, and other stake. Mobilization was once more ignited in the most immediate sense by the passage of restrictive, nativist immigration legislation—Arizona’s SB 1070. This now-infamous legislation was signed by Arizona governor Jan Brewer on April 23, 2010, after heightened scrutiny and national media attention. Capitalizing on several federal programs encouraging state and local border enforcement, the Arizona</w:t>
      </w:r>
      <w:r>
        <w:rPr>
          <w:rFonts w:ascii="Calibri" w:hAnsi="Calibri" w:eastAsia="Calibri" w:cs="Calibri"/>
          <w:b/>
          <w:u w:val="single"/>
        </w:rPr>
        <w:t xml:space="preserve"> law created a state crime of illegal immigration with stricter penalties than equivalent federal crimes, and it escalated the surveillance and persecution of suspected immigrants by state and local police</w:t>
      </w:r>
      <w:r>
        <w:rPr>
          <w:rFonts w:ascii="Calibri" w:hAnsi="Calibri" w:eastAsia="Calibri" w:cs="Calibri"/>
          <w:sz w:val="16"/>
          <w:szCs w:val="16"/>
        </w:rPr>
        <w:t xml:space="preserve">. In the broadest sense, SB 1070 </w:t>
      </w:r>
      <w:r>
        <w:rPr>
          <w:rFonts w:ascii="Calibri" w:hAnsi="Calibri" w:eastAsia="Calibri" w:cs="Calibri"/>
          <w:b/>
          <w:u w:val="single"/>
        </w:rPr>
        <w:t>made undocumented immigrants doubly illegal and twice prosecuted</w:t>
      </w:r>
      <w:r>
        <w:rPr>
          <w:rFonts w:ascii="Calibri" w:hAnsi="Calibri" w:eastAsia="Calibri" w:cs="Calibri"/>
          <w:u w:val="single"/>
        </w:rPr>
        <w:t>: not only under federal law and by federal immigration officers but also at the state and local level.</w:t>
      </w:r>
      <w:r>
        <w:rPr>
          <w:rFonts w:ascii="Calibri" w:hAnsi="Calibri" w:eastAsia="Calibri" w:cs="Calibri"/>
          <w:sz w:val="16"/>
          <w:szCs w:val="16"/>
        </w:rPr>
        <w:t xml:space="preserve"> The most controversial elements of SB 1070 concerned the further criminalization of work, hiring, and transporting of undocumented immigrants; police power of surveillance and detention of suspected immigrants; and the power of civil suit to force strict immigration enforcement. In the area of work, hiring, and transportation, for example, SB 1070</w:t>
      </w:r>
      <w:r>
        <w:rPr>
          <w:rFonts w:ascii="Calibri" w:hAnsi="Calibri" w:eastAsia="Calibri" w:cs="Calibri"/>
          <w:b/>
          <w:u w:val="single"/>
        </w:rPr>
        <w:t xml:space="preserve"> criminalized the “unlawful transporting, moving, concealing, harboring, or shielding of unlawful aliens,”</w:t>
      </w:r>
      <w:r>
        <w:rPr>
          <w:rFonts w:ascii="Calibri" w:hAnsi="Calibri" w:eastAsia="Calibri" w:cs="Calibri"/>
          <w:sz w:val="16"/>
          <w:szCs w:val="16"/>
        </w:rPr>
        <w:t xml:space="preserve"> </w:t>
      </w:r>
      <w:r>
        <w:rPr>
          <w:rFonts w:ascii="Calibri" w:hAnsi="Calibri" w:eastAsia="Calibri" w:cs="Calibri"/>
          <w:u w:val="single"/>
        </w:rPr>
        <w:t>even by humanitarian organization</w:t>
      </w:r>
      <w:r>
        <w:rPr>
          <w:rFonts w:ascii="Calibri" w:hAnsi="Calibri" w:eastAsia="Calibri" w:cs="Calibri"/>
          <w:sz w:val="16"/>
          <w:szCs w:val="16"/>
        </w:rPr>
        <w:t>s or so-called Good Samaritans. SB 1070 also proposed to expand police power to profile suspected immigrants and verify their legal status by mandating that “for any lawful stop, detention or arrest . . . where reasonable suspicion exists that the person is an alien and is unlawfully present in the United States, a reasonable attempt shall be made, when practicable, to determine the immigration status of the person, except if the determination may hinder or obstruct an investigation.”5 Thus SB 1070</w:t>
      </w:r>
      <w:r>
        <w:rPr>
          <w:rFonts w:ascii="Calibri" w:hAnsi="Calibri" w:eastAsia="Calibri" w:cs="Calibri"/>
          <w:b/>
          <w:u w:val="single"/>
        </w:rPr>
        <w:t xml:space="preserve"> not only expanded powers of surveillance and prosecution, but it also targeted “illegal” immigrants in a roundabout way by criminalizing their livelihood</w:t>
      </w:r>
      <w:r>
        <w:rPr>
          <w:rFonts w:ascii="Calibri" w:hAnsi="Calibri" w:eastAsia="Calibri" w:cs="Calibri"/>
          <w:sz w:val="16"/>
          <w:szCs w:val="16"/>
        </w:rPr>
        <w:t xml:space="preserve">. In the opinion of many legal scholars, such as Kevin R. Johnson, SB 1070 </w:t>
      </w:r>
      <w:r>
        <w:rPr>
          <w:rFonts w:ascii="Calibri" w:hAnsi="Calibri" w:eastAsia="Calibri" w:cs="Calibri"/>
          <w:b/>
          <w:u w:val="single"/>
        </w:rPr>
        <w:t>strengthened already unspoken and “crude racial profiles” in immigration enforcement</w:t>
      </w:r>
      <w:r>
        <w:rPr>
          <w:rFonts w:ascii="Calibri" w:hAnsi="Calibri" w:eastAsia="Calibri" w:cs="Calibri"/>
          <w:sz w:val="16"/>
          <w:szCs w:val="16"/>
        </w:rPr>
        <w:t>.6 Its most controversial element, the provision concerning police surveillance, sanctioned state and local police to judge a subject’s (il)legality (“immigration status”) based on a “reasonable suspicion” drawn from factors such as the person’s language, dress, demeanor, or presence in an area “</w:t>
      </w:r>
      <w:r>
        <w:rPr>
          <w:rFonts w:ascii="Calibri" w:hAnsi="Calibri" w:eastAsia="Calibri" w:cs="Calibri"/>
          <w:b/>
          <w:u w:val="single"/>
        </w:rPr>
        <w:t>where unlawfully present aliens are known to congregate</w:t>
      </w:r>
      <w:r>
        <w:rPr>
          <w:rFonts w:ascii="Calibri" w:hAnsi="Calibri" w:eastAsia="Calibri" w:cs="Calibri"/>
          <w:sz w:val="16"/>
          <w:szCs w:val="16"/>
        </w:rPr>
        <w:t>.”7 These measures, I have argued elsewhere, meant that, under SB 1070</w:t>
      </w:r>
      <w:r>
        <w:rPr>
          <w:rFonts w:ascii="Calibri" w:hAnsi="Calibri" w:eastAsia="Calibri" w:cs="Calibri"/>
          <w:b/>
          <w:sz w:val="24"/>
          <w:szCs w:val="24"/>
          <w:u w:val="single"/>
        </w:rPr>
        <w:t>, citizenship became a “performative affect defined only by difference,” an affect (of difference) read and judged by state and local police on the bodies and in the performances of suspected immigrant “others.</w:t>
      </w:r>
      <w:r>
        <w:rPr>
          <w:rFonts w:ascii="Calibri" w:hAnsi="Calibri" w:eastAsia="Calibri" w:cs="Calibri"/>
          <w:sz w:val="16"/>
          <w:szCs w:val="16"/>
        </w:rPr>
        <w:t xml:space="preserve">”8 In other words, police became critics of behaviors and demeanors, judging who performed citizenship (who seemed like they belonged) and whose performance communicated an affect of “alienness.” According to the law, those suspects who gave police a “reasonable suspicion” they did not belong were presumed to be undocumented.  </w:t>
      </w:r>
    </w:p>
    <w:p xmlns:wp14="http://schemas.microsoft.com/office/word/2010/wordml" w:rsidR="00507555" w:rsidP="00507555" w:rsidRDefault="00507555" w14:paraId="60FA6563" wp14:textId="77777777"/>
    <w:p xmlns:wp14="http://schemas.microsoft.com/office/word/2010/wordml" w:rsidR="00507555" w:rsidP="00507555" w:rsidRDefault="00507555" w14:paraId="6B68A587" wp14:textId="77777777">
      <w:pPr>
        <w:pStyle w:val="Heading3"/>
      </w:pPr>
      <w:r>
        <w:lastRenderedPageBreak/>
        <w:t>I: Saviorism/Gender exceptionalism</w:t>
      </w:r>
    </w:p>
    <w:p xmlns:wp14="http://schemas.microsoft.com/office/word/2010/wordml" w:rsidR="00507555" w:rsidP="00507555" w:rsidRDefault="00507555" w14:paraId="55736497" wp14:textId="77777777">
      <w:pPr>
        <w:pStyle w:val="Heading4"/>
        <w:rPr>
          <w:rFonts w:eastAsia="Calibri"/>
        </w:rPr>
      </w:pPr>
      <w:r>
        <w:rPr>
          <w:rFonts w:eastAsia="Calibri"/>
        </w:rPr>
        <w:t xml:space="preserve">Their desire to be the western saviors of the foreign oppressed women reinforces gender exceptionalism, obscuring abuses within the U.S. and posing Muslim women as the unsavable other. </w:t>
      </w:r>
    </w:p>
    <w:p xmlns:wp14="http://schemas.microsoft.com/office/word/2010/wordml" w:rsidR="00507555" w:rsidP="00507555" w:rsidRDefault="00507555" w14:paraId="725D0005" wp14:textId="77777777">
      <w:pPr>
        <w:rPr>
          <w:rFonts w:ascii="Calibri" w:hAnsi="Calibri" w:eastAsia="Calibri" w:cs="Calibri"/>
        </w:rPr>
      </w:pPr>
      <w:r w:rsidRPr="003D790C">
        <w:rPr>
          <w:rStyle w:val="Style13ptBold"/>
        </w:rPr>
        <w:t>Puar 7</w:t>
      </w:r>
      <w:r>
        <w:rPr>
          <w:rFonts w:ascii="Calibri" w:hAnsi="Calibri" w:eastAsia="Calibri" w:cs="Calibri"/>
        </w:rPr>
        <w:t xml:space="preserve"> [Jasbir Puar, professor of women’s and gender studies at Rutgers University, </w:t>
      </w:r>
      <w:r>
        <w:rPr>
          <w:rFonts w:ascii="Calibri" w:hAnsi="Calibri" w:eastAsia="Calibri" w:cs="Calibri"/>
          <w:i/>
        </w:rPr>
        <w:t xml:space="preserve">Terrorist Assemblages: Homonationalism in Queer Times </w:t>
      </w:r>
      <w:r>
        <w:rPr>
          <w:rFonts w:ascii="Calibri" w:hAnsi="Calibri" w:eastAsia="Calibri" w:cs="Calibri"/>
        </w:rPr>
        <w:t xml:space="preserve">Duke University Press: Durham, NC and London, UK, October 26, 2007 pg. 5]//KI </w:t>
      </w:r>
    </w:p>
    <w:p xmlns:wp14="http://schemas.microsoft.com/office/word/2010/wordml" w:rsidR="00507555" w:rsidP="00507555" w:rsidRDefault="00507555" w14:paraId="5B3A28D6" wp14:textId="77777777">
      <w:pPr>
        <w:rPr>
          <w:rFonts w:ascii="Calibri" w:hAnsi="Calibri" w:eastAsia="Calibri" w:cs="Calibri"/>
        </w:rPr>
      </w:pPr>
      <w:r>
        <w:rPr>
          <w:rFonts w:ascii="Calibri" w:hAnsi="Calibri" w:eastAsia="Calibri" w:cs="Calibri"/>
          <w:sz w:val="16"/>
          <w:szCs w:val="16"/>
        </w:rPr>
        <w:t xml:space="preserve">Inderpal </w:t>
      </w:r>
      <w:r>
        <w:rPr>
          <w:rFonts w:ascii="Calibri" w:hAnsi="Calibri" w:eastAsia="Calibri" w:cs="Calibri"/>
          <w:u w:val="single"/>
        </w:rPr>
        <w:t>Grewal</w:t>
      </w:r>
      <w:r>
        <w:rPr>
          <w:rFonts w:ascii="Calibri" w:hAnsi="Calibri" w:eastAsia="Calibri" w:cs="Calibri"/>
          <w:sz w:val="16"/>
          <w:szCs w:val="16"/>
        </w:rPr>
        <w:t xml:space="preserve">, for example, </w:t>
      </w:r>
      <w:r>
        <w:rPr>
          <w:rFonts w:ascii="Calibri" w:hAnsi="Calibri" w:eastAsia="Calibri" w:cs="Calibri"/>
          <w:u w:val="single"/>
        </w:rPr>
        <w:t>argues against the naturalization of hu- man rights frames by feminists</w:t>
      </w:r>
      <w:r>
        <w:rPr>
          <w:rFonts w:ascii="Calibri" w:hAnsi="Calibri" w:eastAsia="Calibri" w:cs="Calibri"/>
          <w:sz w:val="16"/>
          <w:szCs w:val="16"/>
        </w:rPr>
        <w:t xml:space="preserve">, noting that </w:t>
      </w:r>
      <w:r>
        <w:rPr>
          <w:rFonts w:ascii="Calibri" w:hAnsi="Calibri" w:eastAsia="Calibri" w:cs="Calibri"/>
          <w:u w:val="single"/>
        </w:rPr>
        <w:t>the United States routinely positions itself ‘‘as the site for authoritative condemnation’’ of human rights abuses elsewhere, ignoring such abuses within its borders</w:t>
      </w:r>
      <w:r>
        <w:rPr>
          <w:rFonts w:ascii="Calibri" w:hAnsi="Calibri" w:eastAsia="Calibri" w:cs="Calibri"/>
          <w:sz w:val="16"/>
          <w:szCs w:val="16"/>
        </w:rPr>
        <w:t xml:space="preserve">. Grewal alludes to the </w:t>
      </w:r>
      <w:r>
        <w:rPr>
          <w:rFonts w:ascii="Calibri" w:hAnsi="Calibri" w:eastAsia="Calibri" w:cs="Calibri"/>
          <w:u w:val="single"/>
        </w:rPr>
        <w:t>American exceptionalism</w:t>
      </w:r>
      <w:r>
        <w:rPr>
          <w:rFonts w:ascii="Calibri" w:hAnsi="Calibri" w:eastAsia="Calibri" w:cs="Calibri"/>
          <w:sz w:val="16"/>
          <w:szCs w:val="16"/>
        </w:rPr>
        <w:t xml:space="preserve"> that </w:t>
      </w:r>
      <w:r>
        <w:rPr>
          <w:rFonts w:ascii="Calibri" w:hAnsi="Calibri" w:eastAsia="Calibri" w:cs="Calibri"/>
          <w:u w:val="single"/>
        </w:rPr>
        <w:t xml:space="preserve">is now requisite common sense for many feminisms within U.S. public cultures: ‘‘Moral superiority has become part of emergent global feminism, constructing </w:t>
      </w:r>
      <w:r>
        <w:rPr>
          <w:rFonts w:ascii="Calibri" w:hAnsi="Calibri" w:eastAsia="Calibri" w:cs="Calibri"/>
          <w:b/>
          <w:u w:val="single"/>
        </w:rPr>
        <w:t>American women as saviors and rescuers of the ‘oppressed women</w:t>
      </w:r>
      <w:r>
        <w:rPr>
          <w:rFonts w:ascii="Calibri" w:hAnsi="Calibri" w:eastAsia="Calibri" w:cs="Calibri"/>
          <w:u w:val="single"/>
        </w:rPr>
        <w:t>.’ ’’ The recent embrace of the case of</w:t>
      </w:r>
      <w:r>
        <w:rPr>
          <w:rFonts w:ascii="Calibri" w:hAnsi="Calibri" w:eastAsia="Calibri" w:cs="Calibri"/>
          <w:sz w:val="16"/>
          <w:szCs w:val="16"/>
        </w:rPr>
        <w:t xml:space="preserve"> Afghani and Iraqi women and </w:t>
      </w:r>
      <w:r>
        <w:rPr>
          <w:rFonts w:ascii="Calibri" w:hAnsi="Calibri" w:eastAsia="Calibri" w:cs="Calibri"/>
          <w:u w:val="single"/>
        </w:rPr>
        <w:t xml:space="preserve">Muslim women in general by western feminists has generated many forms of U.S. gender exceptionalism. </w:t>
      </w:r>
      <w:r>
        <w:rPr>
          <w:rFonts w:ascii="Calibri" w:hAnsi="Calibri" w:eastAsia="Calibri" w:cs="Calibri"/>
          <w:b/>
          <w:u w:val="single"/>
        </w:rPr>
        <w:t>Gender exceptionalism works as a missionary discourse to rescue Muslim women</w:t>
      </w:r>
      <w:r>
        <w:rPr>
          <w:rFonts w:ascii="Calibri" w:hAnsi="Calibri" w:eastAsia="Calibri" w:cs="Calibri"/>
          <w:u w:val="single"/>
        </w:rPr>
        <w:t xml:space="preserve"> from their oppressive male counterparts. It also works to suggest that, in contrast to women in the United States, Muslim women are</w:t>
      </w:r>
      <w:r>
        <w:rPr>
          <w:rFonts w:ascii="Calibri" w:hAnsi="Calibri" w:eastAsia="Calibri" w:cs="Calibri"/>
          <w:sz w:val="16"/>
          <w:szCs w:val="16"/>
        </w:rPr>
        <w:t>, at the end of the day,</w:t>
      </w:r>
      <w:r>
        <w:rPr>
          <w:rFonts w:ascii="Times New Roman" w:hAnsi="Times New Roman" w:eastAsia="Times New Roman" w:cs="Times New Roman"/>
          <w:u w:val="single"/>
        </w:rPr>
        <w:t xml:space="preserve"> </w:t>
      </w:r>
      <w:r>
        <w:rPr>
          <w:rFonts w:ascii="Calibri" w:hAnsi="Calibri" w:eastAsia="Calibri" w:cs="Calibri"/>
          <w:b/>
          <w:u w:val="single"/>
        </w:rPr>
        <w:t>unsavable</w:t>
      </w:r>
      <w:r>
        <w:rPr>
          <w:rFonts w:ascii="Calibri" w:hAnsi="Calibri" w:eastAsia="Calibri" w:cs="Calibri"/>
          <w:sz w:val="16"/>
          <w:szCs w:val="16"/>
        </w:rPr>
        <w:t xml:space="preserve">. More insidiously, </w:t>
      </w:r>
      <w:r>
        <w:rPr>
          <w:rFonts w:ascii="Calibri" w:hAnsi="Calibri" w:eastAsia="Calibri" w:cs="Calibri"/>
          <w:u w:val="single"/>
        </w:rPr>
        <w:t>these discourses of exceptional- ism allude to the unsalvageable nature of Muslim women even by their own feminists, positioning the American feminist as the feminist subject par excellence.</w:t>
      </w:r>
      <w:r>
        <w:rPr>
          <w:rFonts w:ascii="Calibri" w:hAnsi="Calibri" w:eastAsia="Calibri" w:cs="Calibri"/>
        </w:rPr>
        <w:t xml:space="preserve"> </w:t>
      </w:r>
    </w:p>
    <w:p xmlns:wp14="http://schemas.microsoft.com/office/word/2010/wordml" w:rsidR="00507555" w:rsidP="00507555" w:rsidRDefault="00507555" w14:paraId="1AC5CDBE" wp14:textId="77777777"/>
    <w:p xmlns:wp14="http://schemas.microsoft.com/office/word/2010/wordml" w:rsidR="00507555" w:rsidP="00507555" w:rsidRDefault="00507555" w14:paraId="18CA48EE" wp14:textId="77777777">
      <w:pPr>
        <w:pStyle w:val="Heading3"/>
      </w:pPr>
      <w:r>
        <w:lastRenderedPageBreak/>
        <w:t>A: Interrogation</w:t>
      </w:r>
    </w:p>
    <w:p xmlns:wp14="http://schemas.microsoft.com/office/word/2010/wordml" w:rsidR="00507555" w:rsidP="00507555" w:rsidRDefault="00507555" w14:paraId="342D4C27" wp14:textId="77777777">
      <w:pPr>
        <w:jc w:val="center"/>
      </w:pPr>
    </w:p>
    <w:p xmlns:wp14="http://schemas.microsoft.com/office/word/2010/wordml" w:rsidRPr="009D171C" w:rsidR="00507555" w:rsidP="00507555" w:rsidRDefault="00507555" w14:paraId="0FC7E42B" wp14:textId="77777777">
      <w:pPr>
        <w:pStyle w:val="Heading4"/>
      </w:pPr>
      <w:r w:rsidRPr="009D171C">
        <w:t xml:space="preserve">Vote neg to interrogate the category of the human – you should prioritize combating the inclusion/exclusion dyad that human rights discourses produce </w:t>
      </w:r>
    </w:p>
    <w:p xmlns:wp14="http://schemas.microsoft.com/office/word/2010/wordml" w:rsidRPr="009D171C" w:rsidR="00507555" w:rsidP="00507555" w:rsidRDefault="00507555" w14:paraId="22536011" wp14:textId="77777777">
      <w:pPr>
        <w:rPr>
          <w:rFonts w:ascii="Calibri" w:hAnsi="Calibri" w:eastAsia="Calibri" w:cs="Calibri"/>
          <w:sz w:val="16"/>
        </w:rPr>
      </w:pPr>
      <w:r w:rsidRPr="009D171C">
        <w:rPr>
          <w:rStyle w:val="Style13ptBold"/>
        </w:rPr>
        <w:t>Limbu 09</w:t>
      </w:r>
      <w:r w:rsidRPr="009D171C">
        <w:rPr>
          <w:rFonts w:ascii="Calibri" w:hAnsi="Calibri" w:eastAsia="Calibri" w:cs="Calibri"/>
          <w:b/>
          <w:sz w:val="16"/>
          <w:szCs w:val="26"/>
        </w:rPr>
        <w:t xml:space="preserve"> </w:t>
      </w:r>
      <w:r w:rsidRPr="009D171C">
        <w:rPr>
          <w:rFonts w:ascii="Calibri" w:hAnsi="Calibri" w:eastAsia="Calibri" w:cs="Calibri"/>
          <w:sz w:val="16"/>
        </w:rPr>
        <w:t xml:space="preserve">[Limbu, Bishupal, Associate Professor at Portland State University, “Illegible Humanity: The Refugee, Human Rights, and the Question of Representation,” Journal of Refugee Studies Vol. 22, No. 3, Oxford University Press, 2009, Pp. 257-258]//KI </w:t>
      </w:r>
    </w:p>
    <w:p xmlns:wp14="http://schemas.microsoft.com/office/word/2010/wordml" w:rsidR="00507555" w:rsidP="00507555" w:rsidRDefault="00507555" w14:paraId="763540FC" wp14:textId="77777777">
      <w:pPr>
        <w:rPr>
          <w:rFonts w:ascii="Calibri" w:hAnsi="Calibri" w:eastAsia="Calibri" w:cs="Calibri"/>
          <w:sz w:val="16"/>
          <w:szCs w:val="16"/>
        </w:rPr>
      </w:pPr>
      <w:r>
        <w:rPr>
          <w:rFonts w:ascii="Calibri" w:hAnsi="Calibri" w:eastAsia="Calibri" w:cs="Calibri"/>
          <w:u w:val="single"/>
        </w:rPr>
        <w:t xml:space="preserve">If she is human, then </w:t>
      </w:r>
      <w:r>
        <w:rPr>
          <w:rFonts w:ascii="Calibri" w:hAnsi="Calibri" w:eastAsia="Calibri" w:cs="Calibri"/>
          <w:b/>
          <w:u w:val="single"/>
        </w:rPr>
        <w:t>the human has entered into catachresis</w:t>
      </w:r>
      <w:r>
        <w:rPr>
          <w:rFonts w:ascii="Calibri" w:hAnsi="Calibri" w:eastAsia="Calibri" w:cs="Calibri"/>
          <w:sz w:val="16"/>
          <w:szCs w:val="16"/>
        </w:rPr>
        <w:t>: we no longer know its proper usage.</w:t>
      </w:r>
      <w:r>
        <w:rPr>
          <w:rFonts w:ascii="Times New Roman" w:hAnsi="Times New Roman" w:eastAsia="Times New Roman" w:cs="Times New Roman"/>
          <w:sz w:val="20"/>
          <w:szCs w:val="20"/>
        </w:rPr>
        <w:t xml:space="preserve"> </w:t>
      </w:r>
      <w:r>
        <w:rPr>
          <w:rFonts w:ascii="Calibri" w:hAnsi="Calibri" w:eastAsia="Calibri" w:cs="Calibri"/>
          <w:sz w:val="16"/>
          <w:szCs w:val="16"/>
        </w:rPr>
        <w:t>Judith Butler, Antigone’s Claim</w:t>
      </w:r>
      <w:r>
        <w:rPr>
          <w:rFonts w:ascii="Times New Roman" w:hAnsi="Times New Roman" w:eastAsia="Times New Roman" w:cs="Times New Roman"/>
          <w:sz w:val="20"/>
          <w:szCs w:val="20"/>
        </w:rPr>
        <w:t xml:space="preserve"> </w:t>
      </w:r>
      <w:r>
        <w:rPr>
          <w:rFonts w:ascii="Calibri" w:hAnsi="Calibri" w:eastAsia="Calibri" w:cs="Calibri"/>
          <w:u w:val="single"/>
        </w:rPr>
        <w:t>If every discussion of politics or aesthetics must take up</w:t>
      </w:r>
      <w:r>
        <w:rPr>
          <w:rFonts w:ascii="Calibri" w:hAnsi="Calibri" w:eastAsia="Calibri" w:cs="Calibri"/>
          <w:sz w:val="16"/>
          <w:szCs w:val="16"/>
        </w:rPr>
        <w:t xml:space="preserve"> at some point the question of</w:t>
      </w:r>
      <w:r>
        <w:rPr>
          <w:rFonts w:ascii="Calibri" w:hAnsi="Calibri" w:eastAsia="Calibri" w:cs="Calibri"/>
          <w:u w:val="single"/>
        </w:rPr>
        <w:t xml:space="preserve"> representation, it must also contend with the fact that every representation involves a limit</w:t>
      </w:r>
      <w:r>
        <w:rPr>
          <w:rFonts w:ascii="Calibri" w:hAnsi="Calibri" w:eastAsia="Calibri" w:cs="Calibri"/>
          <w:sz w:val="16"/>
          <w:szCs w:val="16"/>
        </w:rPr>
        <w:t xml:space="preserve"> and </w:t>
      </w:r>
      <w:r>
        <w:rPr>
          <w:rFonts w:ascii="Calibri" w:hAnsi="Calibri" w:eastAsia="Calibri" w:cs="Calibri"/>
          <w:u w:val="single"/>
        </w:rPr>
        <w:t>that</w:t>
      </w:r>
      <w:r>
        <w:rPr>
          <w:rFonts w:ascii="Calibri" w:hAnsi="Calibri" w:eastAsia="Calibri" w:cs="Calibri"/>
          <w:sz w:val="16"/>
          <w:szCs w:val="16"/>
        </w:rPr>
        <w:t xml:space="preserve"> this limit </w:t>
      </w:r>
      <w:r>
        <w:rPr>
          <w:rFonts w:ascii="Calibri" w:hAnsi="Calibri" w:eastAsia="Calibri" w:cs="Calibri"/>
          <w:u w:val="single"/>
        </w:rPr>
        <w:t>provides the very founda- tion of representation even as it marks the point at which representation breaks down.</w:t>
      </w:r>
      <w:r>
        <w:rPr>
          <w:rFonts w:ascii="Calibri" w:hAnsi="Calibri" w:eastAsia="Calibri" w:cs="Calibri"/>
          <w:sz w:val="16"/>
          <w:szCs w:val="16"/>
        </w:rPr>
        <w:t xml:space="preserve"> Perhaps </w:t>
      </w:r>
      <w:r>
        <w:rPr>
          <w:rFonts w:ascii="Calibri" w:hAnsi="Calibri" w:eastAsia="Calibri" w:cs="Calibri"/>
          <w:u w:val="single"/>
        </w:rPr>
        <w:t xml:space="preserve">nowhere is this consideration more important than in examining the structure of representation that informs the notion of the human, since this notion, too often accepted uncritically, lies at the heart of so many of our ethical and political concerns: human person, human nature, human dignity, </w:t>
      </w:r>
      <w:r>
        <w:rPr>
          <w:rFonts w:ascii="Calibri" w:hAnsi="Calibri" w:eastAsia="Calibri" w:cs="Calibri"/>
          <w:b/>
          <w:u w:val="single"/>
        </w:rPr>
        <w:t>human rights.</w:t>
      </w:r>
      <w:r>
        <w:rPr>
          <w:rFonts w:ascii="Calibri" w:hAnsi="Calibri" w:eastAsia="Calibri" w:cs="Calibri"/>
          <w:sz w:val="16"/>
          <w:szCs w:val="16"/>
        </w:rPr>
        <w:t xml:space="preserve"> Where lie the limits of the human? Asking such a question perhaps gives the impression that one already knows what the human entails, what it represents, and of what it is representative. As we shall see, however, </w:t>
      </w:r>
      <w:r>
        <w:rPr>
          <w:rFonts w:ascii="Calibri" w:hAnsi="Calibri" w:eastAsia="Calibri" w:cs="Calibri"/>
          <w:b/>
          <w:u w:val="single"/>
        </w:rPr>
        <w:t xml:space="preserve">the transparency and self-evidence of the human is precisely what needs to be interrogated. </w:t>
      </w:r>
      <w:r>
        <w:rPr>
          <w:rFonts w:ascii="Calibri" w:hAnsi="Calibri" w:eastAsia="Calibri" w:cs="Calibri"/>
          <w:sz w:val="16"/>
          <w:szCs w:val="16"/>
        </w:rPr>
        <w:t>In this article, I undertake this interrogation by using the figure of the refugee as an analytical lever with which to pry open the category of the human, exposing not only its limits but also the political possibilities that unfold when the breaking points and contingencies of foundational premises are revealed.</w:t>
      </w:r>
      <w:r>
        <w:rPr>
          <w:rFonts w:ascii="Times New Roman" w:hAnsi="Times New Roman" w:eastAsia="Times New Roman" w:cs="Times New Roman"/>
          <w:sz w:val="20"/>
          <w:szCs w:val="20"/>
        </w:rPr>
        <w:t xml:space="preserve"> </w:t>
      </w:r>
      <w:r>
        <w:rPr>
          <w:rFonts w:ascii="Calibri" w:hAnsi="Calibri" w:eastAsia="Calibri" w:cs="Calibri"/>
          <w:sz w:val="16"/>
          <w:szCs w:val="16"/>
        </w:rPr>
        <w:t xml:space="preserve">I will situate my argument for another vision of ethics and responsibility by examining the recent turn to the vocabulary of cosmopolitanism and hospi- tality in arguments concerning global justice, reading these developments against the backdrop of the philosophical foundations elaborated by Kant in his essay, Toward Perpetual Peace. Even Kant’s broad ethical vision, I will argue, </w:t>
      </w:r>
      <w:r>
        <w:rPr>
          <w:rFonts w:ascii="Calibri" w:hAnsi="Calibri" w:eastAsia="Calibri" w:cs="Calibri"/>
          <w:u w:val="single"/>
        </w:rPr>
        <w:t xml:space="preserve">is disrupted by the refugee, a figure that challenges cosmopolitan norms in its role as that which remains </w:t>
      </w:r>
      <w:r>
        <w:rPr>
          <w:rFonts w:ascii="Calibri" w:hAnsi="Calibri" w:eastAsia="Calibri" w:cs="Calibri"/>
          <w:b/>
          <w:u w:val="single"/>
        </w:rPr>
        <w:t>uncapturable and nonfigurable in the discourse of human rights</w:t>
      </w:r>
      <w:r>
        <w:rPr>
          <w:rFonts w:ascii="Calibri" w:hAnsi="Calibri" w:eastAsia="Calibri" w:cs="Calibri"/>
          <w:sz w:val="16"/>
          <w:szCs w:val="16"/>
        </w:rPr>
        <w:t xml:space="preserve">. Questioning the presuppositional norms that provide for us the idea of the human, I will investigate the schemes of representation that allow a being to be perceived as worthy of recognition in the ethical and political sphere. </w:t>
      </w:r>
      <w:r>
        <w:rPr>
          <w:rFonts w:ascii="Calibri" w:hAnsi="Calibri" w:eastAsia="Calibri" w:cs="Calibri"/>
          <w:u w:val="single"/>
        </w:rPr>
        <w:t xml:space="preserve">If ‘human rights’ has become shorthand for </w:t>
      </w:r>
      <w:r>
        <w:rPr>
          <w:rFonts w:ascii="Calibri" w:hAnsi="Calibri" w:eastAsia="Calibri" w:cs="Calibri"/>
          <w:sz w:val="16"/>
          <w:szCs w:val="16"/>
        </w:rPr>
        <w:t>this kind of</w:t>
      </w:r>
      <w:r>
        <w:rPr>
          <w:rFonts w:ascii="Calibri" w:hAnsi="Calibri" w:eastAsia="Calibri" w:cs="Calibri"/>
          <w:u w:val="single"/>
        </w:rPr>
        <w:t xml:space="preserve"> recognition, it is necessary first of all to ask </w:t>
      </w:r>
      <w:r>
        <w:rPr>
          <w:rFonts w:ascii="Calibri" w:hAnsi="Calibri" w:eastAsia="Calibri" w:cs="Calibri"/>
          <w:b/>
          <w:u w:val="single"/>
        </w:rPr>
        <w:t>who is included in the human</w:t>
      </w:r>
      <w:r>
        <w:rPr>
          <w:rFonts w:ascii="Times New Roman" w:hAnsi="Times New Roman" w:eastAsia="Times New Roman" w:cs="Times New Roman"/>
          <w:u w:val="single"/>
        </w:rPr>
        <w:t xml:space="preserve">. </w:t>
      </w:r>
      <w:r>
        <w:rPr>
          <w:rFonts w:ascii="Calibri" w:hAnsi="Calibri" w:eastAsia="Calibri" w:cs="Calibri"/>
          <w:sz w:val="16"/>
          <w:szCs w:val="16"/>
        </w:rPr>
        <w:t>As I will argue,</w:t>
      </w:r>
      <w:r>
        <w:rPr>
          <w:rFonts w:ascii="Calibri" w:hAnsi="Calibri" w:eastAsia="Calibri" w:cs="Calibri"/>
          <w:u w:val="single"/>
        </w:rPr>
        <w:t xml:space="preserve"> the phrase ‘human rights’ has never been trans- parent, although it has always been assumed to be so</w:t>
      </w:r>
      <w:r>
        <w:rPr>
          <w:rFonts w:ascii="Calibri" w:hAnsi="Calibri" w:eastAsia="Calibri" w:cs="Calibri"/>
          <w:sz w:val="16"/>
          <w:szCs w:val="16"/>
        </w:rPr>
        <w:t>. Hannah Arendt’s expression, ‘</w:t>
      </w:r>
      <w:r>
        <w:rPr>
          <w:rFonts w:ascii="Calibri" w:hAnsi="Calibri" w:eastAsia="Calibri" w:cs="Calibri"/>
          <w:u w:val="single"/>
        </w:rPr>
        <w:t>the right to have rights,’ only becomes comprehensible when situated in this context.</w:t>
      </w:r>
      <w:r>
        <w:rPr>
          <w:rFonts w:ascii="Calibri" w:hAnsi="Calibri" w:eastAsia="Calibri" w:cs="Calibri"/>
          <w:sz w:val="16"/>
          <w:szCs w:val="16"/>
        </w:rPr>
        <w:t xml:space="preserve"> The problem of representation—its pitfalls and limits—occupies the next section and the article ends with a discussion of a novel by the Palestinian writer, Ghassan Kanafani, which raises the ques- tion of new political possibilities through an imaginative restructuring of the notion of community.</w:t>
      </w:r>
      <w:r>
        <w:rPr>
          <w:rFonts w:ascii="Times New Roman" w:hAnsi="Times New Roman" w:eastAsia="Times New Roman" w:cs="Times New Roman"/>
          <w:sz w:val="20"/>
          <w:szCs w:val="20"/>
        </w:rPr>
        <w:t xml:space="preserve"> </w:t>
      </w:r>
      <w:r>
        <w:rPr>
          <w:rFonts w:ascii="Calibri" w:hAnsi="Calibri" w:eastAsia="Calibri" w:cs="Calibri"/>
          <w:sz w:val="16"/>
          <w:szCs w:val="16"/>
        </w:rPr>
        <w:t xml:space="preserve">Each turn in my argument tracks </w:t>
      </w:r>
      <w:r>
        <w:rPr>
          <w:rFonts w:ascii="Calibri" w:hAnsi="Calibri" w:eastAsia="Calibri" w:cs="Calibri"/>
          <w:u w:val="single"/>
        </w:rPr>
        <w:t>an effort to change the frame of reference in considerations of justice and responsibility.</w:t>
      </w:r>
      <w:r>
        <w:rPr>
          <w:rFonts w:ascii="Calibri" w:hAnsi="Calibri" w:eastAsia="Calibri" w:cs="Calibri"/>
          <w:sz w:val="16"/>
          <w:szCs w:val="16"/>
        </w:rPr>
        <w:t xml:space="preserve"> Derrida (2001) has written that </w:t>
      </w:r>
      <w:r>
        <w:rPr>
          <w:rFonts w:ascii="Calibri" w:hAnsi="Calibri" w:eastAsia="Calibri" w:cs="Calibri"/>
          <w:u w:val="single"/>
        </w:rPr>
        <w:t>justice is undeconstructible and remains as a horizon that the law tries to approach but can never fully attain</w:t>
      </w:r>
      <w:r>
        <w:rPr>
          <w:rFonts w:ascii="Calibri" w:hAnsi="Calibri" w:eastAsia="Calibri" w:cs="Calibri"/>
          <w:sz w:val="16"/>
          <w:szCs w:val="16"/>
        </w:rPr>
        <w:t xml:space="preserve">. This suggests that </w:t>
      </w:r>
      <w:r>
        <w:rPr>
          <w:rFonts w:ascii="Calibri" w:hAnsi="Calibri" w:eastAsia="Calibri" w:cs="Calibri"/>
          <w:u w:val="single"/>
        </w:rPr>
        <w:t>all discussions of justice necessarily occur within a particular frame of reference and that this frame makes certain claims possible while excluding others. One of my objec- tives</w:t>
      </w:r>
      <w:r>
        <w:rPr>
          <w:rFonts w:ascii="Calibri" w:hAnsi="Calibri" w:eastAsia="Calibri" w:cs="Calibri"/>
          <w:sz w:val="16"/>
          <w:szCs w:val="16"/>
        </w:rPr>
        <w:t xml:space="preserve"> in this article </w:t>
      </w:r>
      <w:r>
        <w:rPr>
          <w:rFonts w:ascii="Calibri" w:hAnsi="Calibri" w:eastAsia="Calibri" w:cs="Calibri"/>
          <w:u w:val="single"/>
        </w:rPr>
        <w:t>is to examine the borders between inclusion and exclusion</w:t>
      </w:r>
      <w:r>
        <w:rPr>
          <w:rFonts w:ascii="Calibri" w:hAnsi="Calibri" w:eastAsia="Calibri" w:cs="Calibri"/>
          <w:sz w:val="16"/>
          <w:szCs w:val="16"/>
        </w:rPr>
        <w:t xml:space="preserve">. What counts as a legitimate claim? Who can make such claims and from what space? Is it possible to challenge the boundaries of a given frame and if so, what are the discursive strategies and sacrifices involved? </w:t>
      </w:r>
    </w:p>
    <w:p xmlns:wp14="http://schemas.microsoft.com/office/word/2010/wordml" w:rsidR="00507555" w:rsidP="00507555" w:rsidRDefault="00507555" w14:paraId="3572E399" wp14:textId="77777777">
      <w:pPr>
        <w:jc w:val="center"/>
      </w:pPr>
    </w:p>
    <w:p xmlns:wp14="http://schemas.microsoft.com/office/word/2010/wordml" w:rsidR="00507555" w:rsidP="00507555" w:rsidRDefault="00507555" w14:paraId="274EF05A" wp14:textId="77777777">
      <w:pPr>
        <w:pStyle w:val="Heading4"/>
        <w:rPr>
          <w:rFonts w:eastAsia="Calibri"/>
        </w:rPr>
      </w:pPr>
      <w:r>
        <w:rPr>
          <w:rFonts w:eastAsia="Calibri"/>
        </w:rPr>
        <w:lastRenderedPageBreak/>
        <w:t xml:space="preserve">Our alternative is a </w:t>
      </w:r>
      <w:r>
        <w:rPr>
          <w:rFonts w:eastAsia="Calibri"/>
          <w:u w:val="single"/>
        </w:rPr>
        <w:t>prerequisite</w:t>
      </w:r>
      <w:r>
        <w:rPr>
          <w:rFonts w:eastAsia="Calibri"/>
        </w:rPr>
        <w:t xml:space="preserve"> to any aff conception of human rights. Only by beginning by questioning what a human is can we avoid the regime of biopolitical humanitarianism </w:t>
      </w:r>
    </w:p>
    <w:p xmlns:wp14="http://schemas.microsoft.com/office/word/2010/wordml" w:rsidR="00507555" w:rsidP="00507555" w:rsidRDefault="00507555" w14:paraId="43D96049" wp14:textId="77777777">
      <w:pPr>
        <w:rPr>
          <w:rFonts w:ascii="Calibri" w:hAnsi="Calibri" w:eastAsia="Calibri" w:cs="Calibri"/>
        </w:rPr>
      </w:pPr>
      <w:r w:rsidRPr="00074FD9">
        <w:rPr>
          <w:rStyle w:val="Style13ptBold"/>
        </w:rPr>
        <w:t>Lechte and Newman 12</w:t>
      </w:r>
      <w:r>
        <w:rPr>
          <w:rFonts w:ascii="Calibri" w:hAnsi="Calibri" w:eastAsia="Calibri" w:cs="Calibri"/>
          <w:b/>
          <w:sz w:val="26"/>
          <w:szCs w:val="26"/>
        </w:rPr>
        <w:t xml:space="preserve"> </w:t>
      </w:r>
      <w:r>
        <w:rPr>
          <w:rFonts w:ascii="Calibri" w:hAnsi="Calibri" w:eastAsia="Calibri" w:cs="Calibri"/>
        </w:rPr>
        <w:t xml:space="preserve">[Corballis, Tim, a writer and lecturer at Victoria University of Wellington – has big forehead, “Book Review: Agamben and the Politics of Human Rights: Statelessness, Images, Violence” Thesis Eleven 2016, Vol. 135(1), Pp. 152-154]//KI </w:t>
      </w:r>
    </w:p>
    <w:p xmlns:wp14="http://schemas.microsoft.com/office/word/2010/wordml" w:rsidR="00507555" w:rsidP="00507555" w:rsidRDefault="00507555" w14:paraId="2BBCEED8" wp14:textId="77777777">
      <w:pPr>
        <w:rPr>
          <w:rFonts w:ascii="Calibri" w:hAnsi="Calibri" w:eastAsia="Calibri" w:cs="Calibri"/>
        </w:rPr>
      </w:pPr>
      <w:r>
        <w:rPr>
          <w:rFonts w:ascii="Calibri" w:hAnsi="Calibri" w:eastAsia="Calibri" w:cs="Calibri"/>
          <w:sz w:val="16"/>
          <w:szCs w:val="16"/>
        </w:rPr>
        <w:t xml:space="preserve">In this essay, </w:t>
      </w:r>
      <w:r>
        <w:rPr>
          <w:rFonts w:ascii="Calibri" w:hAnsi="Calibri" w:eastAsia="Calibri" w:cs="Calibri"/>
          <w:u w:val="single"/>
        </w:rPr>
        <w:t>we attempt to rethink the human</w:t>
      </w:r>
      <w:r>
        <w:rPr>
          <w:rFonts w:ascii="Calibri" w:hAnsi="Calibri" w:eastAsia="Calibri" w:cs="Calibri"/>
          <w:sz w:val="16"/>
          <w:szCs w:val="16"/>
        </w:rPr>
        <w:t xml:space="preserve"> as prompted, in the first instance, by Han- nah Arendt and Giorgio Agamben. </w:t>
      </w:r>
      <w:r>
        <w:rPr>
          <w:rFonts w:ascii="Calibri" w:hAnsi="Calibri" w:eastAsia="Calibri" w:cs="Calibri"/>
          <w:b/>
          <w:u w:val="single"/>
        </w:rPr>
        <w:t>Only by doing this will it be possible to address the crucial issues that currently confront human rights</w:t>
      </w:r>
      <w:r>
        <w:rPr>
          <w:rFonts w:ascii="Calibri" w:hAnsi="Calibri" w:eastAsia="Calibri" w:cs="Calibri"/>
          <w:u w:val="single"/>
        </w:rPr>
        <w:t xml:space="preserve">—issues such as the tension between the principle of universal human rights and that of state sovereignty, as well as the continual reduction of human rights to </w:t>
      </w:r>
      <w:r>
        <w:rPr>
          <w:rFonts w:ascii="Calibri" w:hAnsi="Calibri" w:eastAsia="Calibri" w:cs="Calibri"/>
          <w:b/>
          <w:u w:val="single"/>
        </w:rPr>
        <w:t>biopolitical humanitarianism</w:t>
      </w:r>
      <w:r>
        <w:rPr>
          <w:rFonts w:ascii="Calibri" w:hAnsi="Calibri" w:eastAsia="Calibri" w:cs="Calibri"/>
          <w:sz w:val="16"/>
          <w:szCs w:val="16"/>
        </w:rPr>
        <w:t>. We recognise that ‘</w:t>
      </w:r>
      <w:r>
        <w:rPr>
          <w:rFonts w:ascii="Calibri" w:hAnsi="Calibri" w:eastAsia="Calibri" w:cs="Calibri"/>
          <w:u w:val="single"/>
        </w:rPr>
        <w:t>thinking the human’ is</w:t>
      </w:r>
      <w:r>
        <w:rPr>
          <w:rFonts w:ascii="Calibri" w:hAnsi="Calibri" w:eastAsia="Calibri" w:cs="Calibri"/>
          <w:sz w:val="16"/>
          <w:szCs w:val="16"/>
        </w:rPr>
        <w:t xml:space="preserve"> just </w:t>
      </w:r>
      <w:r>
        <w:rPr>
          <w:rFonts w:ascii="Calibri" w:hAnsi="Calibri" w:eastAsia="Calibri" w:cs="Calibri"/>
          <w:b/>
          <w:u w:val="single"/>
        </w:rPr>
        <w:t>the first step</w:t>
      </w:r>
      <w:r>
        <w:rPr>
          <w:rFonts w:ascii="Calibri" w:hAnsi="Calibri" w:eastAsia="Calibri" w:cs="Calibri"/>
          <w:u w:val="single"/>
        </w:rPr>
        <w:t xml:space="preserve"> in a process that must include rethinking com- munity, equality, politics and justice. A deeper understanding of these terms may ulti- mately constitute a challenge to a certain conception of the possibility of human rights. For the latter are commonly understood as the rights intrinsic to humanity as bio- logical life, but are only capable at the present time of being actualised within the con- fines of the nation-state and a viable political community, or public sphere. </w:t>
      </w:r>
      <w:r>
        <w:rPr>
          <w:rFonts w:ascii="Calibri" w:hAnsi="Calibri" w:eastAsia="Calibri" w:cs="Calibri"/>
          <w:sz w:val="16"/>
          <w:szCs w:val="16"/>
        </w:rPr>
        <w:t xml:space="preserve">This paradox, </w:t>
      </w:r>
      <w:r>
        <w:rPr>
          <w:rFonts w:ascii="Calibri" w:hAnsi="Calibri" w:eastAsia="Calibri" w:cs="Calibri"/>
          <w:u w:val="single"/>
        </w:rPr>
        <w:t>whereby the proclaimed universality of human rights is belied by the fact that these rights are only meaningful if one is included within a particular political community,1 forms the basis of</w:t>
      </w:r>
      <w:r>
        <w:rPr>
          <w:rFonts w:ascii="Calibri" w:hAnsi="Calibri" w:eastAsia="Calibri" w:cs="Calibri"/>
          <w:sz w:val="16"/>
          <w:szCs w:val="16"/>
        </w:rPr>
        <w:t xml:space="preserve"> two major critiques of human rights put forward by Arendt and Agamben. For Arendt, as is well known, the plight of refugees and stateless people between the World Wars revealed the very impotence of human rights at a time when they were most needed. Because they lacked the protection of membership of a political community, </w:t>
      </w:r>
      <w:r>
        <w:rPr>
          <w:rFonts w:ascii="Calibri" w:hAnsi="Calibri" w:eastAsia="Calibri" w:cs="Calibri"/>
          <w:u w:val="single"/>
        </w:rPr>
        <w:t>stateless people had nothing to fall back on but their intrinsic rights as human beings, and yet this reliance on ‘bare life’ as a basis for the recognition of their rights confirmed their vulnerability and helplessness all the more, as there were no insti- tutions or laws to enforce these rights.</w:t>
      </w:r>
      <w:r>
        <w:rPr>
          <w:rFonts w:ascii="Calibri" w:hAnsi="Calibri" w:eastAsia="Calibri" w:cs="Calibri"/>
          <w:sz w:val="16"/>
          <w:szCs w:val="16"/>
        </w:rPr>
        <w:t xml:space="preserve"> As Arendt concludes, </w:t>
      </w:r>
      <w:r>
        <w:rPr>
          <w:rFonts w:ascii="Calibri" w:hAnsi="Calibri" w:eastAsia="Calibri" w:cs="Calibri"/>
          <w:u w:val="single"/>
        </w:rPr>
        <w:t>what stateless people lacked was the fundamental ‘right to have rights’, in other words, the political and legal recog- nition that would come with being a member of a political community</w:t>
      </w:r>
      <w:r>
        <w:rPr>
          <w:rFonts w:ascii="Calibri" w:hAnsi="Calibri" w:eastAsia="Calibri" w:cs="Calibri"/>
          <w:sz w:val="16"/>
          <w:szCs w:val="16"/>
        </w:rPr>
        <w:t xml:space="preserve"> (see 1968). For Agamben, whose critique of rights parallels, but also goes beyond Arendt’s, </w:t>
      </w:r>
      <w:r>
        <w:rPr>
          <w:rFonts w:ascii="Calibri" w:hAnsi="Calibri" w:eastAsia="Calibri" w:cs="Calibri"/>
          <w:u w:val="single"/>
        </w:rPr>
        <w:t>human rights</w:t>
      </w:r>
      <w:r>
        <w:rPr>
          <w:rFonts w:ascii="Calibri" w:hAnsi="Calibri" w:eastAsia="Calibri" w:cs="Calibri"/>
          <w:sz w:val="16"/>
          <w:szCs w:val="16"/>
        </w:rPr>
        <w:t xml:space="preserve">, in their current form, </w:t>
      </w:r>
      <w:r>
        <w:rPr>
          <w:rFonts w:ascii="Calibri" w:hAnsi="Calibri" w:eastAsia="Calibri" w:cs="Calibri"/>
          <w:u w:val="single"/>
        </w:rPr>
        <w:t xml:space="preserve">are merely </w:t>
      </w:r>
      <w:r>
        <w:rPr>
          <w:rFonts w:ascii="Calibri" w:hAnsi="Calibri" w:eastAsia="Calibri" w:cs="Calibri"/>
          <w:b/>
          <w:u w:val="single"/>
        </w:rPr>
        <w:t>biopolitical rights</w:t>
      </w:r>
      <w:r>
        <w:rPr>
          <w:rFonts w:ascii="Calibri" w:hAnsi="Calibri" w:eastAsia="Calibri" w:cs="Calibri"/>
          <w:sz w:val="16"/>
          <w:szCs w:val="16"/>
        </w:rPr>
        <w:t xml:space="preserve"> (see Agamben 1998; also Whyte 2009). That is, </w:t>
      </w:r>
      <w:r>
        <w:rPr>
          <w:rFonts w:ascii="Calibri" w:hAnsi="Calibri" w:eastAsia="Calibri" w:cs="Calibri"/>
          <w:u w:val="single"/>
        </w:rPr>
        <w:t>rather than emancipating us or protecting us from sovereign power, rights have the effect of further inscribing us—on the basis of our ‘bare life’—within the mechanisms of the biopolitical state, a state whose raison d’eˆtre in modernity is the gov- ernment and regulation of the biological life of the population</w:t>
      </w:r>
      <w:r>
        <w:rPr>
          <w:rFonts w:ascii="Calibri" w:hAnsi="Calibri" w:eastAsia="Calibri" w:cs="Calibri"/>
          <w:sz w:val="16"/>
          <w:szCs w:val="16"/>
        </w:rPr>
        <w:t xml:space="preserve">.2 Agamben, then, sees </w:t>
      </w:r>
      <w:r>
        <w:rPr>
          <w:rFonts w:ascii="Calibri" w:hAnsi="Calibri" w:eastAsia="Calibri" w:cs="Calibri"/>
          <w:u w:val="single"/>
        </w:rPr>
        <w:t>human rights</w:t>
      </w:r>
      <w:r>
        <w:rPr>
          <w:rFonts w:ascii="Calibri" w:hAnsi="Calibri" w:eastAsia="Calibri" w:cs="Calibri"/>
          <w:sz w:val="16"/>
          <w:szCs w:val="16"/>
        </w:rPr>
        <w:t xml:space="preserve"> (as currently invoked) </w:t>
      </w:r>
      <w:r>
        <w:rPr>
          <w:rFonts w:ascii="Calibri" w:hAnsi="Calibri" w:eastAsia="Calibri" w:cs="Calibri"/>
          <w:u w:val="single"/>
        </w:rPr>
        <w:t>as leaving us just as defenceless</w:t>
      </w:r>
      <w:r>
        <w:rPr>
          <w:rFonts w:ascii="Calibri" w:hAnsi="Calibri" w:eastAsia="Calibri" w:cs="Calibri"/>
          <w:sz w:val="16"/>
          <w:szCs w:val="16"/>
        </w:rPr>
        <w:t xml:space="preserve"> as they did for Arendt. Yet, </w:t>
      </w:r>
      <w:r>
        <w:rPr>
          <w:rFonts w:ascii="Calibri" w:hAnsi="Calibri" w:eastAsia="Calibri" w:cs="Calibri"/>
          <w:u w:val="single"/>
        </w:rPr>
        <w:t>they do so in a different way: rather than simply being the mark of exclusion from a political community, human rights define a field of subjectivity which, in a more intricate sense, is included (within the sovereign state order) in the form of its exclusion. Human rights, because they define the subject in terms of his or her ‘bare life’, situate him or her within a politico-legal field characterised by the ever-present possibility of the sovereign state of exception—the suspension of the normal constitutional order and the withdrawal of legal protections. Here, the subject is neither included nor excluded but, rather, held in what Agamben calls a ‘zone of indistinction’ between the two orders, and is thus entirely at the mercy of sovereign power. Thus, the other side of the subject of human rights is</w:t>
      </w:r>
      <w:r>
        <w:rPr>
          <w:rFonts w:ascii="Calibri" w:hAnsi="Calibri" w:eastAsia="Calibri" w:cs="Calibri"/>
          <w:sz w:val="16"/>
          <w:szCs w:val="16"/>
        </w:rPr>
        <w:t xml:space="preserve">, for Agamben, </w:t>
      </w:r>
      <w:r>
        <w:rPr>
          <w:rFonts w:ascii="Calibri" w:hAnsi="Calibri" w:eastAsia="Calibri" w:cs="Calibri"/>
          <w:u w:val="single"/>
        </w:rPr>
        <w:t>homo sacer, the figure who may be killed with legal impunity and whose most extreme expression could be found in the Nazi camps</w:t>
      </w:r>
      <w:r>
        <w:rPr>
          <w:rFonts w:ascii="Calibri" w:hAnsi="Calibri" w:eastAsia="Calibri" w:cs="Calibri"/>
          <w:sz w:val="16"/>
          <w:szCs w:val="16"/>
        </w:rPr>
        <w:t xml:space="preserve"> (see 1998). As a result, </w:t>
      </w:r>
      <w:r>
        <w:rPr>
          <w:rFonts w:ascii="Calibri" w:hAnsi="Calibri" w:eastAsia="Calibri" w:cs="Calibri"/>
          <w:b/>
          <w:u w:val="single"/>
        </w:rPr>
        <w:t>any serious reflection on human rights today must</w:t>
      </w:r>
      <w:r>
        <w:rPr>
          <w:rFonts w:ascii="Calibri" w:hAnsi="Calibri" w:eastAsia="Calibri" w:cs="Calibri"/>
          <w:sz w:val="16"/>
          <w:szCs w:val="16"/>
        </w:rPr>
        <w:t>, we believe,</w:t>
      </w:r>
      <w:r>
        <w:rPr>
          <w:rFonts w:ascii="Times New Roman" w:hAnsi="Times New Roman" w:eastAsia="Times New Roman" w:cs="Times New Roman"/>
          <w:u w:val="single"/>
        </w:rPr>
        <w:t xml:space="preserve"> </w:t>
      </w:r>
      <w:r>
        <w:rPr>
          <w:rFonts w:ascii="Calibri" w:hAnsi="Calibri" w:eastAsia="Calibri" w:cs="Calibri"/>
          <w:b/>
          <w:u w:val="single"/>
        </w:rPr>
        <w:t>engage with these critiques and reconsider the question of the human in relation political com- munity and belonging.</w:t>
      </w:r>
      <w:r>
        <w:rPr>
          <w:rFonts w:ascii="Calibri" w:hAnsi="Calibri" w:eastAsia="Calibri" w:cs="Calibri"/>
        </w:rPr>
        <w:t xml:space="preserve"> </w:t>
      </w:r>
    </w:p>
    <w:p xmlns:wp14="http://schemas.microsoft.com/office/word/2010/wordml" w:rsidR="00507555" w:rsidP="00507555" w:rsidRDefault="00507555" w14:paraId="6CEB15CE" wp14:textId="77777777"/>
    <w:p xmlns:wp14="http://schemas.microsoft.com/office/word/2010/wordml" w:rsidRPr="006D299A" w:rsidR="00507555" w:rsidP="00507555" w:rsidRDefault="00507555" w14:paraId="4B19E614" wp14:textId="77777777">
      <w:pPr>
        <w:jc w:val="center"/>
        <w:rPr>
          <w:rStyle w:val="Style13ptBold"/>
        </w:rPr>
      </w:pPr>
      <w:r w:rsidRPr="006D299A">
        <w:rPr>
          <w:rStyle w:val="Style13ptBold"/>
        </w:rPr>
        <w:t>A: Queer Suicide Terrorism (Puar)</w:t>
      </w:r>
    </w:p>
    <w:p xmlns:wp14="http://schemas.microsoft.com/office/word/2010/wordml" w:rsidR="00507555" w:rsidP="00507555" w:rsidRDefault="00507555" w14:paraId="5BD14C79" wp14:textId="77777777">
      <w:pPr>
        <w:pStyle w:val="Heading4"/>
        <w:rPr>
          <w:rFonts w:ascii="Times New Roman" w:hAnsi="Times New Roman" w:eastAsia="Times New Roman" w:cs="Times New Roman"/>
        </w:rPr>
      </w:pPr>
      <w:r>
        <w:rPr>
          <w:rFonts w:eastAsia="Calibri"/>
        </w:rPr>
        <w:lastRenderedPageBreak/>
        <w:t>We propose being as the queer suicide terrorist before the law –an explosion of self-sacrifice with a bomb, in favor of unsettling the violent definitions of subjectivity. This is a complete refusal of western notions of subjectivity and a universal humanity. We are machinic organisms, metal and environment together in a messy fusion. Where does life begin and end? This question is only answerable from a position of reason and power that we want to blow up.</w:t>
      </w:r>
      <w:r>
        <w:rPr>
          <w:rFonts w:ascii="Times New Roman" w:hAnsi="Times New Roman" w:eastAsia="Times New Roman" w:cs="Times New Roman"/>
        </w:rPr>
        <w:t xml:space="preserve">  </w:t>
      </w:r>
    </w:p>
    <w:p xmlns:wp14="http://schemas.microsoft.com/office/word/2010/wordml" w:rsidR="00507555" w:rsidP="00507555" w:rsidRDefault="00507555" w14:paraId="31E9A885" wp14:textId="77777777">
      <w:pPr>
        <w:rPr>
          <w:rFonts w:ascii="Calibri" w:hAnsi="Calibri" w:eastAsia="Calibri" w:cs="Calibri"/>
          <w:sz w:val="18"/>
          <w:szCs w:val="18"/>
        </w:rPr>
      </w:pPr>
      <w:r w:rsidRPr="006D299A">
        <w:rPr>
          <w:rStyle w:val="Style13ptBold"/>
        </w:rPr>
        <w:t>Puar 7</w:t>
      </w:r>
      <w:r>
        <w:rPr>
          <w:rFonts w:ascii="Times New Roman" w:hAnsi="Times New Roman" w:eastAsia="Times New Roman" w:cs="Times New Roman"/>
        </w:rPr>
        <w:t xml:space="preserve"> </w:t>
      </w:r>
      <w:r>
        <w:rPr>
          <w:rFonts w:ascii="Calibri" w:hAnsi="Calibri" w:eastAsia="Calibri" w:cs="Calibri"/>
          <w:sz w:val="18"/>
          <w:szCs w:val="18"/>
        </w:rPr>
        <w:t xml:space="preserve">[Jasbir Puar, professor of women’s and gender studies at Rutgers University, </w:t>
      </w:r>
      <w:r>
        <w:rPr>
          <w:rFonts w:ascii="Calibri" w:hAnsi="Calibri" w:eastAsia="Calibri" w:cs="Calibri"/>
          <w:i/>
          <w:sz w:val="18"/>
          <w:szCs w:val="18"/>
        </w:rPr>
        <w:t xml:space="preserve">Terrorist Assemblages: Homonationalism in Queer Times </w:t>
      </w:r>
      <w:r>
        <w:rPr>
          <w:rFonts w:ascii="Calibri" w:hAnsi="Calibri" w:eastAsia="Calibri" w:cs="Calibri"/>
          <w:sz w:val="18"/>
          <w:szCs w:val="18"/>
        </w:rPr>
        <w:t xml:space="preserve">Duke University Press: Durham, NC and London, UK, October 26, 2007 pg. 216-220] </w:t>
      </w:r>
    </w:p>
    <w:p xmlns:wp14="http://schemas.microsoft.com/office/word/2010/wordml" w:rsidR="00507555" w:rsidP="00507555" w:rsidRDefault="00507555" w14:paraId="25BB0962" wp14:textId="77777777">
      <w:pPr>
        <w:rPr>
          <w:rFonts w:ascii="Times New Roman" w:hAnsi="Times New Roman" w:eastAsia="Times New Roman" w:cs="Times New Roman"/>
        </w:rPr>
      </w:pPr>
      <w:r>
        <w:rPr>
          <w:rFonts w:ascii="Calibri" w:hAnsi="Calibri" w:eastAsia="Calibri" w:cs="Calibri"/>
          <w:sz w:val="16"/>
          <w:szCs w:val="16"/>
        </w:rPr>
        <w:t xml:space="preserve">Terrorist Assemblages </w:t>
      </w:r>
      <w:r>
        <w:rPr>
          <w:rFonts w:ascii="Calibri" w:hAnsi="Calibri" w:eastAsia="Calibri" w:cs="Calibri"/>
          <w:highlight w:val="green"/>
          <w:u w:val="single"/>
        </w:rPr>
        <w:t>The fact</w:t>
      </w:r>
      <w:r>
        <w:rPr>
          <w:rFonts w:ascii="Calibri" w:hAnsi="Calibri" w:eastAsia="Calibri" w:cs="Calibri"/>
          <w:u w:val="single"/>
        </w:rPr>
        <w:t xml:space="preserve"> that </w:t>
      </w:r>
      <w:r>
        <w:rPr>
          <w:rFonts w:ascii="Calibri" w:hAnsi="Calibri" w:eastAsia="Calibri" w:cs="Calibri"/>
          <w:highlight w:val="green"/>
          <w:u w:val="single"/>
        </w:rPr>
        <w:t xml:space="preserve">we approach suicide bombing with </w:t>
      </w:r>
      <w:r>
        <w:rPr>
          <w:rFonts w:ascii="Calibri" w:hAnsi="Calibri" w:eastAsia="Calibri" w:cs="Calibri"/>
          <w:u w:val="single"/>
        </w:rPr>
        <w:t xml:space="preserve">such </w:t>
      </w:r>
      <w:r>
        <w:rPr>
          <w:rFonts w:ascii="Calibri" w:hAnsi="Calibri" w:eastAsia="Calibri" w:cs="Calibri"/>
          <w:highlight w:val="green"/>
          <w:u w:val="single"/>
        </w:rPr>
        <w:t>trepidation</w:t>
      </w:r>
      <w:r>
        <w:rPr>
          <w:rFonts w:ascii="Times New Roman" w:hAnsi="Times New Roman" w:eastAsia="Times New Roman" w:cs="Times New Roman"/>
          <w:sz w:val="16"/>
          <w:szCs w:val="16"/>
        </w:rPr>
        <w:t xml:space="preserve">, </w:t>
      </w:r>
      <w:r>
        <w:rPr>
          <w:rFonts w:ascii="Calibri" w:hAnsi="Calibri" w:eastAsia="Calibri" w:cs="Calibri"/>
          <w:u w:val="single"/>
        </w:rPr>
        <w:t>in contrast to how we approach the violence of colonial domination</w:t>
      </w:r>
      <w:r>
        <w:rPr>
          <w:rFonts w:ascii="Times New Roman" w:hAnsi="Times New Roman" w:eastAsia="Times New Roman" w:cs="Times New Roman"/>
          <w:u w:val="single"/>
        </w:rPr>
        <w:t xml:space="preserve">, </w:t>
      </w:r>
      <w:r>
        <w:rPr>
          <w:rFonts w:ascii="Calibri" w:hAnsi="Calibri" w:eastAsia="Calibri" w:cs="Calibri"/>
          <w:highlight w:val="green"/>
          <w:u w:val="single"/>
        </w:rPr>
        <w:t xml:space="preserve">indicates </w:t>
      </w:r>
      <w:r>
        <w:rPr>
          <w:rFonts w:ascii="Calibri" w:hAnsi="Calibri" w:eastAsia="Calibri" w:cs="Calibri"/>
          <w:b/>
          <w:highlight w:val="green"/>
          <w:u w:val="single"/>
        </w:rPr>
        <w:t>the symbolic violence</w:t>
      </w:r>
      <w:r>
        <w:rPr>
          <w:rFonts w:ascii="Calibri" w:hAnsi="Calibri" w:eastAsia="Calibri" w:cs="Calibri"/>
          <w:highlight w:val="green"/>
          <w:u w:val="single"/>
        </w:rPr>
        <w:t xml:space="preserve"> that shapes our understanding of </w:t>
      </w:r>
      <w:r>
        <w:rPr>
          <w:rFonts w:ascii="Calibri" w:hAnsi="Calibri" w:eastAsia="Calibri" w:cs="Calibri"/>
          <w:u w:val="single"/>
        </w:rPr>
        <w:t xml:space="preserve">what constitutes ethically and politically </w:t>
      </w:r>
      <w:r>
        <w:rPr>
          <w:rFonts w:ascii="Calibri" w:hAnsi="Calibri" w:eastAsia="Calibri" w:cs="Calibri"/>
          <w:highlight w:val="green"/>
          <w:u w:val="single"/>
        </w:rPr>
        <w:t>illegitimate violence</w:t>
      </w:r>
      <w:r>
        <w:rPr>
          <w:rFonts w:ascii="Calibri" w:hAnsi="Calibri" w:eastAsia="Calibri" w:cs="Calibri"/>
          <w:sz w:val="16"/>
          <w:szCs w:val="16"/>
        </w:rPr>
        <w:t>. - Ghassan Hage, "'Comes a Time We Are All Enthusiasm'" Ghassan Hage wonders "</w:t>
      </w:r>
      <w:r>
        <w:rPr>
          <w:rFonts w:ascii="Calibri" w:hAnsi="Calibri" w:eastAsia="Calibri" w:cs="Calibri"/>
          <w:u w:val="single"/>
        </w:rPr>
        <w:t>why it is that suicide bombing cannot be talked about without being condemned first</w:t>
      </w:r>
      <w:r>
        <w:rPr>
          <w:rFonts w:ascii="Calibri" w:hAnsi="Calibri" w:eastAsia="Calibri" w:cs="Calibri"/>
          <w:sz w:val="16"/>
          <w:szCs w:val="16"/>
        </w:rPr>
        <w:t>," noting that without an unequivocal condemnation, one is a "morally suspicious person" because "only un- qualified condemnation will do." He asserts. "</w:t>
      </w:r>
      <w:r>
        <w:rPr>
          <w:rFonts w:ascii="Calibri" w:hAnsi="Calibri" w:eastAsia="Calibri" w:cs="Calibri"/>
          <w:highlight w:val="green"/>
          <w:u w:val="single"/>
        </w:rPr>
        <w:t>There is a</w:t>
      </w:r>
      <w:r>
        <w:rPr>
          <w:rFonts w:ascii="Times New Roman" w:hAnsi="Times New Roman" w:eastAsia="Times New Roman" w:cs="Times New Roman"/>
          <w:u w:val="single"/>
        </w:rPr>
        <w:t xml:space="preserve"> </w:t>
      </w:r>
      <w:r>
        <w:rPr>
          <w:rFonts w:ascii="Calibri" w:hAnsi="Calibri" w:eastAsia="Calibri" w:cs="Calibri"/>
          <w:u w:val="single"/>
        </w:rPr>
        <w:t xml:space="preserve">clear political </w:t>
      </w:r>
      <w:r>
        <w:rPr>
          <w:rFonts w:ascii="Calibri" w:hAnsi="Calibri" w:eastAsia="Calibri" w:cs="Calibri"/>
          <w:highlight w:val="green"/>
          <w:u w:val="single"/>
        </w:rPr>
        <w:t>risk in trying to explain suicide bombings</w:t>
      </w:r>
      <w:r>
        <w:rPr>
          <w:rFonts w:ascii="Times New Roman" w:hAnsi="Times New Roman" w:eastAsia="Times New Roman" w:cs="Times New Roman"/>
          <w:u w:val="single"/>
        </w:rPr>
        <w:t>.</w:t>
      </w:r>
      <w:r>
        <w:rPr>
          <w:rFonts w:ascii="Calibri" w:hAnsi="Calibri" w:eastAsia="Calibri" w:cs="Calibri"/>
          <w:sz w:val="16"/>
          <w:szCs w:val="16"/>
        </w:rPr>
        <w:t xml:space="preserve">"33 </w:t>
      </w:r>
      <w:r>
        <w:rPr>
          <w:rFonts w:ascii="Calibri" w:hAnsi="Calibri" w:eastAsia="Calibri" w:cs="Calibri"/>
          <w:u w:val="single"/>
        </w:rPr>
        <w:t xml:space="preserve">With such risks in mind, </w:t>
      </w:r>
      <w:r>
        <w:rPr>
          <w:rFonts w:ascii="Calibri" w:hAnsi="Calibri" w:eastAsia="Calibri" w:cs="Calibri"/>
          <w:highlight w:val="green"/>
          <w:u w:val="single"/>
        </w:rPr>
        <w:t>my desire</w:t>
      </w:r>
      <w:r>
        <w:rPr>
          <w:rFonts w:ascii="Calibri" w:hAnsi="Calibri" w:eastAsia="Calibri" w:cs="Calibri"/>
          <w:u w:val="single"/>
        </w:rPr>
        <w:t xml:space="preserve"> here </w:t>
      </w:r>
      <w:r>
        <w:rPr>
          <w:rFonts w:ascii="Calibri" w:hAnsi="Calibri" w:eastAsia="Calibri" w:cs="Calibri"/>
          <w:highlight w:val="green"/>
          <w:u w:val="single"/>
        </w:rPr>
        <w:t>is to momentarily suspend this dilemma</w:t>
      </w:r>
      <w:r>
        <w:rPr>
          <w:rFonts w:ascii="Calibri" w:hAnsi="Calibri" w:eastAsia="Calibri" w:cs="Calibri"/>
          <w:u w:val="single"/>
        </w:rPr>
        <w:t xml:space="preserve"> by combining an analysis of these representational stakes with a reading of the forces of affect, of the body, of matter.</w:t>
      </w:r>
      <w:r>
        <w:rPr>
          <w:rFonts w:ascii="Times New Roman" w:hAnsi="Times New Roman" w:eastAsia="Times New Roman" w:cs="Times New Roman"/>
          <w:sz w:val="16"/>
          <w:szCs w:val="16"/>
        </w:rPr>
        <w:t xml:space="preserve"> </w:t>
      </w:r>
      <w:r>
        <w:rPr>
          <w:rFonts w:ascii="Calibri" w:hAnsi="Calibri" w:eastAsia="Calibri" w:cs="Calibri"/>
          <w:u w:val="single"/>
        </w:rPr>
        <w:t xml:space="preserve">In pondering the </w:t>
      </w:r>
      <w:r>
        <w:rPr>
          <w:rFonts w:ascii="Calibri" w:hAnsi="Calibri" w:eastAsia="Calibri" w:cs="Calibri"/>
          <w:sz w:val="16"/>
          <w:szCs w:val="16"/>
        </w:rPr>
        <w:t xml:space="preserve">modalities of this kind of </w:t>
      </w:r>
      <w:r>
        <w:rPr>
          <w:rFonts w:ascii="Calibri" w:hAnsi="Calibri" w:eastAsia="Calibri" w:cs="Calibri"/>
          <w:u w:val="single"/>
        </w:rPr>
        <w:t xml:space="preserve">terrorist, one notes </w:t>
      </w:r>
      <w:r>
        <w:rPr>
          <w:rFonts w:ascii="Calibri" w:hAnsi="Calibri" w:eastAsia="Calibri" w:cs="Calibri"/>
          <w:sz w:val="16"/>
          <w:szCs w:val="16"/>
        </w:rPr>
        <w:t>a pastiche of oddities:</w:t>
      </w:r>
      <w:r>
        <w:rPr>
          <w:rFonts w:ascii="Calibri" w:hAnsi="Calibri" w:eastAsia="Calibri" w:cs="Calibri"/>
          <w:u w:val="single"/>
        </w:rPr>
        <w:t xml:space="preserve"> a body machined together through metal and flesh</w:t>
      </w:r>
      <w:r>
        <w:rPr>
          <w:rFonts w:ascii="Times New Roman" w:hAnsi="Times New Roman" w:eastAsia="Times New Roman" w:cs="Times New Roman"/>
          <w:u w:val="single"/>
        </w:rPr>
        <w:t xml:space="preserve">, </w:t>
      </w:r>
      <w:r>
        <w:rPr>
          <w:rFonts w:ascii="Calibri" w:hAnsi="Calibri" w:eastAsia="Calibri" w:cs="Calibri"/>
          <w:highlight w:val="green"/>
          <w:u w:val="single"/>
        </w:rPr>
        <w:t>an assemblage of</w:t>
      </w:r>
      <w:r>
        <w:rPr>
          <w:rFonts w:ascii="Calibri" w:hAnsi="Calibri" w:eastAsia="Calibri" w:cs="Calibri"/>
          <w:u w:val="single"/>
        </w:rPr>
        <w:t xml:space="preserve"> the </w:t>
      </w:r>
      <w:r>
        <w:rPr>
          <w:rFonts w:ascii="Calibri" w:hAnsi="Calibri" w:eastAsia="Calibri" w:cs="Calibri"/>
          <w:highlight w:val="green"/>
          <w:u w:val="single"/>
        </w:rPr>
        <w:t>organic and</w:t>
      </w:r>
      <w:r>
        <w:rPr>
          <w:rFonts w:ascii="Calibri" w:hAnsi="Calibri" w:eastAsia="Calibri" w:cs="Calibri"/>
          <w:u w:val="single"/>
        </w:rPr>
        <w:t xml:space="preserve"> the</w:t>
      </w:r>
      <w:r>
        <w:rPr>
          <w:rFonts w:ascii="Times New Roman" w:hAnsi="Times New Roman" w:eastAsia="Times New Roman" w:cs="Times New Roman"/>
          <w:highlight w:val="green"/>
          <w:u w:val="single"/>
        </w:rPr>
        <w:t xml:space="preserve"> </w:t>
      </w:r>
      <w:r>
        <w:rPr>
          <w:rFonts w:ascii="Calibri" w:hAnsi="Calibri" w:eastAsia="Calibri" w:cs="Calibri"/>
          <w:highlight w:val="green"/>
          <w:u w:val="single"/>
        </w:rPr>
        <w:t>inorganic</w:t>
      </w:r>
      <w:r>
        <w:rPr>
          <w:rFonts w:ascii="Calibri" w:hAnsi="Calibri" w:eastAsia="Calibri" w:cs="Calibri"/>
          <w:u w:val="single"/>
        </w:rPr>
        <w:t>; a death not of the Self</w:t>
      </w:r>
      <w:r>
        <w:rPr>
          <w:rFonts w:ascii="Times New Roman" w:hAnsi="Times New Roman" w:eastAsia="Times New Roman" w:cs="Times New Roman"/>
          <w:u w:val="single"/>
        </w:rPr>
        <w:t xml:space="preserve"> </w:t>
      </w:r>
      <w:r>
        <w:rPr>
          <w:rFonts w:ascii="Calibri" w:hAnsi="Calibri" w:eastAsia="Calibri" w:cs="Calibri"/>
          <w:u w:val="single"/>
        </w:rPr>
        <w:t>nor of the Other, but both simultaneously</w:t>
      </w:r>
      <w:r>
        <w:rPr>
          <w:rFonts w:ascii="Times New Roman" w:hAnsi="Times New Roman" w:eastAsia="Times New Roman" w:cs="Times New Roman"/>
          <w:u w:val="single"/>
        </w:rPr>
        <w:t xml:space="preserve">, </w:t>
      </w:r>
      <w:r>
        <w:rPr>
          <w:rFonts w:ascii="Calibri" w:hAnsi="Calibri" w:eastAsia="Calibri" w:cs="Calibri"/>
          <w:highlight w:val="green"/>
          <w:u w:val="single"/>
        </w:rPr>
        <w:t>and</w:t>
      </w:r>
      <w:r>
        <w:rPr>
          <w:rFonts w:ascii="Calibri" w:hAnsi="Calibri" w:eastAsia="Calibri" w:cs="Calibri"/>
          <w:sz w:val="16"/>
          <w:szCs w:val="16"/>
        </w:rPr>
        <w:t>, perhaps more accurately,</w:t>
      </w:r>
      <w:r>
        <w:rPr>
          <w:rFonts w:ascii="Times New Roman" w:hAnsi="Times New Roman" w:eastAsia="Times New Roman" w:cs="Times New Roman"/>
          <w:u w:val="single"/>
        </w:rPr>
        <w:t xml:space="preserve"> </w:t>
      </w:r>
      <w:r>
        <w:rPr>
          <w:rFonts w:ascii="Calibri" w:hAnsi="Calibri" w:eastAsia="Calibri" w:cs="Calibri"/>
          <w:b/>
          <w:highlight w:val="green"/>
          <w:u w:val="single"/>
        </w:rPr>
        <w:t>a death scene that obliterates the</w:t>
      </w:r>
      <w:r>
        <w:rPr>
          <w:rFonts w:ascii="Times New Roman" w:hAnsi="Times New Roman" w:eastAsia="Times New Roman" w:cs="Times New Roman"/>
          <w:b/>
          <w:u w:val="single"/>
        </w:rPr>
        <w:t xml:space="preserve"> </w:t>
      </w:r>
      <w:r>
        <w:rPr>
          <w:rFonts w:ascii="Calibri" w:hAnsi="Calibri" w:eastAsia="Calibri" w:cs="Calibri"/>
          <w:b/>
          <w:u w:val="single"/>
        </w:rPr>
        <w:t xml:space="preserve">Hegelian </w:t>
      </w:r>
      <w:r>
        <w:rPr>
          <w:rFonts w:ascii="Calibri" w:hAnsi="Calibri" w:eastAsia="Calibri" w:cs="Calibri"/>
          <w:b/>
          <w:highlight w:val="green"/>
          <w:u w:val="single"/>
        </w:rPr>
        <w:t>self/other dialectic</w:t>
      </w:r>
      <w:r>
        <w:rPr>
          <w:rFonts w:ascii="Times New Roman" w:hAnsi="Times New Roman" w:eastAsia="Times New Roman" w:cs="Times New Roman"/>
          <w:highlight w:val="green"/>
          <w:u w:val="single"/>
        </w:rPr>
        <w:t xml:space="preserve"> </w:t>
      </w:r>
      <w:r>
        <w:rPr>
          <w:rFonts w:ascii="Calibri" w:hAnsi="Calibri" w:eastAsia="Calibri" w:cs="Calibri"/>
          <w:u w:val="single"/>
        </w:rPr>
        <w:t>altogether</w:t>
      </w:r>
      <w:r>
        <w:rPr>
          <w:rFonts w:ascii="Times New Roman" w:hAnsi="Times New Roman" w:eastAsia="Times New Roman" w:cs="Times New Roman"/>
          <w:sz w:val="16"/>
          <w:szCs w:val="16"/>
          <w:highlight w:val="green"/>
        </w:rPr>
        <w:t xml:space="preserve">. </w:t>
      </w:r>
      <w:r>
        <w:rPr>
          <w:rFonts w:ascii="Calibri" w:hAnsi="Calibri" w:eastAsia="Calibri" w:cs="Calibri"/>
          <w:b/>
          <w:highlight w:val="green"/>
          <w:u w:val="single"/>
        </w:rPr>
        <w:t>Self-annihilation is the ultimate form of resistance</w:t>
      </w:r>
      <w:r>
        <w:rPr>
          <w:rFonts w:ascii="Calibri" w:hAnsi="Calibri" w:eastAsia="Calibri" w:cs="Calibri"/>
          <w:u w:val="single"/>
        </w:rPr>
        <w:t xml:space="preserve">, and ironically, it acts as </w:t>
      </w:r>
      <w:r>
        <w:rPr>
          <w:rFonts w:ascii="Calibri" w:hAnsi="Calibri" w:eastAsia="Calibri" w:cs="Calibri"/>
          <w:highlight w:val="green"/>
          <w:u w:val="single"/>
        </w:rPr>
        <w:t>self-preservation</w:t>
      </w:r>
      <w:r>
        <w:rPr>
          <w:rFonts w:ascii="Calibri" w:hAnsi="Calibri" w:eastAsia="Calibri" w:cs="Calibri"/>
          <w:u w:val="single"/>
        </w:rPr>
        <w:t xml:space="preserve">, the preservation of symbolic self enabled </w:t>
      </w:r>
      <w:r>
        <w:rPr>
          <w:rFonts w:ascii="Calibri" w:hAnsi="Calibri" w:eastAsia="Calibri" w:cs="Calibri"/>
          <w:highlight w:val="green"/>
          <w:u w:val="single"/>
        </w:rPr>
        <w:t xml:space="preserve">through </w:t>
      </w:r>
      <w:r>
        <w:rPr>
          <w:rFonts w:ascii="Calibri" w:hAnsi="Calibri" w:eastAsia="Calibri" w:cs="Calibri"/>
          <w:u w:val="single"/>
        </w:rPr>
        <w:t xml:space="preserve">the "highest cultural capital" of </w:t>
      </w:r>
      <w:r>
        <w:rPr>
          <w:rFonts w:ascii="Calibri" w:hAnsi="Calibri" w:eastAsia="Calibri" w:cs="Calibri"/>
          <w:highlight w:val="green"/>
          <w:u w:val="single"/>
        </w:rPr>
        <w:t>martyrdom</w:t>
      </w:r>
      <w:r>
        <w:rPr>
          <w:rFonts w:ascii="Calibri" w:hAnsi="Calibri" w:eastAsia="Calibri" w:cs="Calibri"/>
          <w:u w:val="single"/>
        </w:rPr>
        <w:t xml:space="preserve">, a </w:t>
      </w:r>
      <w:r>
        <w:rPr>
          <w:rFonts w:ascii="Calibri" w:hAnsi="Calibri" w:eastAsia="Calibri" w:cs="Calibri"/>
          <w:highlight w:val="green"/>
          <w:u w:val="single"/>
        </w:rPr>
        <w:t xml:space="preserve">giving </w:t>
      </w:r>
      <w:r>
        <w:rPr>
          <w:rFonts w:ascii="Calibri" w:hAnsi="Calibri" w:eastAsia="Calibri" w:cs="Calibri"/>
          <w:u w:val="single"/>
        </w:rPr>
        <w:t xml:space="preserve">of </w:t>
      </w:r>
      <w:r>
        <w:rPr>
          <w:rFonts w:ascii="Calibri" w:hAnsi="Calibri" w:eastAsia="Calibri" w:cs="Calibri"/>
          <w:highlight w:val="green"/>
          <w:u w:val="single"/>
        </w:rPr>
        <w:t>life to</w:t>
      </w:r>
      <w:r>
        <w:rPr>
          <w:rFonts w:ascii="Times New Roman" w:hAnsi="Times New Roman" w:eastAsia="Times New Roman" w:cs="Times New Roman"/>
          <w:u w:val="single"/>
        </w:rPr>
        <w:t xml:space="preserve"> </w:t>
      </w:r>
      <w:r>
        <w:rPr>
          <w:rFonts w:ascii="Calibri" w:hAnsi="Calibri" w:eastAsia="Calibri" w:cs="Calibri"/>
          <w:u w:val="single"/>
        </w:rPr>
        <w:t xml:space="preserve">the </w:t>
      </w:r>
      <w:r>
        <w:rPr>
          <w:rFonts w:ascii="Calibri" w:hAnsi="Calibri" w:eastAsia="Calibri" w:cs="Calibri"/>
          <w:highlight w:val="green"/>
          <w:u w:val="single"/>
        </w:rPr>
        <w:t>future</w:t>
      </w:r>
      <w:r>
        <w:rPr>
          <w:rFonts w:ascii="Calibri" w:hAnsi="Calibri" w:eastAsia="Calibri" w:cs="Calibri"/>
          <w:u w:val="single"/>
        </w:rPr>
        <w:t xml:space="preserve"> of </w:t>
      </w:r>
      <w:r>
        <w:rPr>
          <w:rFonts w:ascii="Calibri" w:hAnsi="Calibri" w:eastAsia="Calibri" w:cs="Calibri"/>
          <w:highlight w:val="green"/>
          <w:u w:val="single"/>
        </w:rPr>
        <w:t>political struggle</w:t>
      </w:r>
      <w:r>
        <w:rPr>
          <w:rFonts w:ascii="Calibri" w:hAnsi="Calibri" w:eastAsia="Calibri" w:cs="Calibri"/>
          <w:u w:val="single"/>
        </w:rPr>
        <w:t>s-not at all a sign of "disinterest in living a meaningful life</w:t>
      </w:r>
      <w:r>
        <w:rPr>
          <w:rFonts w:ascii="Calibri" w:hAnsi="Calibri" w:eastAsia="Calibri" w:cs="Calibri"/>
          <w:sz w:val="16"/>
          <w:szCs w:val="16"/>
        </w:rPr>
        <w:t xml:space="preserve">." As Hage notes, in this limited but nonetheless trenchant economy of meaning, </w:t>
      </w:r>
      <w:r>
        <w:rPr>
          <w:rFonts w:ascii="Calibri" w:hAnsi="Calibri" w:eastAsia="Calibri" w:cs="Calibri"/>
          <w:u w:val="single"/>
        </w:rPr>
        <w:t xml:space="preserve">suicide bombers are </w:t>
      </w:r>
      <w:r>
        <w:rPr>
          <w:rFonts w:ascii="Calibri" w:hAnsi="Calibri" w:eastAsia="Calibri" w:cs="Calibri"/>
          <w:highlight w:val="green"/>
          <w:u w:val="single"/>
        </w:rPr>
        <w:t xml:space="preserve">"a sign of life" emanating </w:t>
      </w:r>
      <w:r>
        <w:rPr>
          <w:rFonts w:ascii="Calibri" w:hAnsi="Calibri" w:eastAsia="Calibri" w:cs="Calibri"/>
          <w:u w:val="single"/>
        </w:rPr>
        <w:t>from the violent conditions of</w:t>
      </w:r>
      <w:r>
        <w:rPr>
          <w:rFonts w:ascii="Calibri" w:hAnsi="Calibri" w:eastAsia="Calibri" w:cs="Calibri"/>
          <w:highlight w:val="green"/>
          <w:u w:val="single"/>
        </w:rPr>
        <w:t xml:space="preserve"> life's impossibility</w:t>
      </w:r>
      <w:r>
        <w:rPr>
          <w:rFonts w:ascii="Times New Roman" w:hAnsi="Times New Roman" w:eastAsia="Times New Roman" w:cs="Times New Roman"/>
          <w:highlight w:val="green"/>
          <w:u w:val="single"/>
        </w:rPr>
        <w:t xml:space="preserve">, </w:t>
      </w:r>
      <w:r>
        <w:rPr>
          <w:rFonts w:ascii="Calibri" w:hAnsi="Calibri" w:eastAsia="Calibri" w:cs="Calibri"/>
          <w:u w:val="single"/>
        </w:rPr>
        <w:t>the "impossibility of making a life</w:t>
      </w:r>
      <w:r>
        <w:rPr>
          <w:rFonts w:ascii="Times New Roman" w:hAnsi="Times New Roman" w:eastAsia="Times New Roman" w:cs="Times New Roman"/>
          <w:sz w:val="16"/>
          <w:szCs w:val="16"/>
        </w:rPr>
        <w:t xml:space="preserve">. "" </w:t>
      </w:r>
      <w:r>
        <w:rPr>
          <w:rFonts w:ascii="Calibri" w:hAnsi="Calibri" w:eastAsia="Calibri" w:cs="Calibri"/>
          <w:u w:val="single"/>
        </w:rPr>
        <w:t>This body forces a reconciliation of opposites through their inevitable collapse- a perverse habitation of contradiction</w:t>
      </w:r>
      <w:r>
        <w:rPr>
          <w:rFonts w:ascii="Calibri" w:hAnsi="Calibri" w:eastAsia="Calibri" w:cs="Calibri"/>
          <w:sz w:val="16"/>
          <w:szCs w:val="16"/>
        </w:rPr>
        <w:t xml:space="preserve">. Achille Mbembe's and brilliant meditation </w:t>
      </w:r>
      <w:r>
        <w:rPr>
          <w:rFonts w:ascii="Calibri" w:hAnsi="Calibri" w:eastAsia="Calibri" w:cs="Calibri"/>
          <w:highlight w:val="green"/>
          <w:u w:val="single"/>
        </w:rPr>
        <w:t>on necropolitics</w:t>
      </w:r>
      <w:r>
        <w:rPr>
          <w:rFonts w:ascii="Calibri" w:hAnsi="Calibri" w:eastAsia="Calibri" w:cs="Calibri"/>
          <w:sz w:val="16"/>
          <w:szCs w:val="16"/>
        </w:rPr>
        <w:t xml:space="preserve"> notes that </w:t>
      </w:r>
      <w:r>
        <w:rPr>
          <w:rFonts w:ascii="Calibri" w:hAnsi="Calibri" w:eastAsia="Calibri" w:cs="Calibri"/>
          <w:u w:val="single"/>
        </w:rPr>
        <w:t xml:space="preserve">the historical basis of </w:t>
      </w:r>
      <w:r>
        <w:rPr>
          <w:rFonts w:ascii="Calibri" w:hAnsi="Calibri" w:eastAsia="Calibri" w:cs="Calibri"/>
          <w:b/>
          <w:highlight w:val="green"/>
          <w:u w:val="single"/>
        </w:rPr>
        <w:t>sovereignty</w:t>
      </w:r>
      <w:r>
        <w:rPr>
          <w:rFonts w:ascii="Calibri" w:hAnsi="Calibri" w:eastAsia="Calibri" w:cs="Calibri"/>
          <w:u w:val="single"/>
        </w:rPr>
        <w:t xml:space="preserve"> that </w:t>
      </w:r>
      <w:r>
        <w:rPr>
          <w:rFonts w:ascii="Calibri" w:hAnsi="Calibri" w:eastAsia="Calibri" w:cs="Calibri"/>
          <w:b/>
          <w:highlight w:val="green"/>
          <w:u w:val="single"/>
        </w:rPr>
        <w:t>is reliant</w:t>
      </w:r>
      <w:r>
        <w:rPr>
          <w:rFonts w:ascii="Calibri" w:hAnsi="Calibri" w:eastAsia="Calibri" w:cs="Calibri"/>
          <w:b/>
          <w:u w:val="single"/>
        </w:rPr>
        <w:t xml:space="preserve"> up</w:t>
      </w:r>
      <w:r>
        <w:rPr>
          <w:rFonts w:ascii="Calibri" w:hAnsi="Calibri" w:eastAsia="Calibri" w:cs="Calibri"/>
          <w:b/>
          <w:highlight w:val="green"/>
          <w:u w:val="single"/>
        </w:rPr>
        <w:t>on</w:t>
      </w:r>
      <w:r>
        <w:rPr>
          <w:rFonts w:ascii="Calibri" w:hAnsi="Calibri" w:eastAsia="Calibri" w:cs="Calibri"/>
          <w:b/>
          <w:u w:val="single"/>
        </w:rPr>
        <w:t xml:space="preserve"> a notion of (</w:t>
      </w:r>
      <w:r>
        <w:rPr>
          <w:rFonts w:ascii="Calibri" w:hAnsi="Calibri" w:eastAsia="Calibri" w:cs="Calibri"/>
          <w:b/>
          <w:highlight w:val="green"/>
          <w:u w:val="single"/>
        </w:rPr>
        <w:t>western</w:t>
      </w:r>
      <w:r>
        <w:rPr>
          <w:rFonts w:ascii="Calibri" w:hAnsi="Calibri" w:eastAsia="Calibri" w:cs="Calibri"/>
          <w:b/>
          <w:u w:val="single"/>
        </w:rPr>
        <w:t xml:space="preserve">) political </w:t>
      </w:r>
      <w:r>
        <w:rPr>
          <w:rFonts w:ascii="Calibri" w:hAnsi="Calibri" w:eastAsia="Calibri" w:cs="Calibri"/>
          <w:b/>
          <w:highlight w:val="green"/>
          <w:u w:val="single"/>
        </w:rPr>
        <w:t>rationality</w:t>
      </w:r>
      <w:r>
        <w:rPr>
          <w:rFonts w:ascii="Calibri" w:hAnsi="Calibri" w:eastAsia="Calibri" w:cs="Calibri"/>
          <w:u w:val="single"/>
        </w:rPr>
        <w:t xml:space="preserve"> begs for a more accurate framing: that of life and death, </w:t>
      </w:r>
      <w:r>
        <w:rPr>
          <w:rFonts w:ascii="Calibri" w:hAnsi="Calibri" w:eastAsia="Calibri" w:cs="Calibri"/>
          <w:b/>
          <w:highlight w:val="green"/>
          <w:u w:val="single"/>
        </w:rPr>
        <w:t>the subjugation of life to the power of death</w:t>
      </w:r>
      <w:r>
        <w:rPr>
          <w:rFonts w:ascii="Calibri" w:hAnsi="Calibri" w:eastAsia="Calibri" w:cs="Calibri"/>
          <w:sz w:val="16"/>
          <w:szCs w:val="16"/>
        </w:rPr>
        <w:t xml:space="preserve">. Mbembe attends not only to the representational but also to the informational productivity of the (Palestinian) suicide bomber. </w:t>
      </w:r>
      <w:r>
        <w:rPr>
          <w:rFonts w:ascii="Calibri" w:hAnsi="Calibri" w:eastAsia="Calibri" w:cs="Calibri"/>
          <w:u w:val="single"/>
        </w:rPr>
        <w:t xml:space="preserve">Pointing to the </w:t>
      </w:r>
      <w:r>
        <w:rPr>
          <w:rFonts w:ascii="Calibri" w:hAnsi="Calibri" w:eastAsia="Calibri" w:cs="Calibri"/>
          <w:highlight w:val="green"/>
          <w:u w:val="single"/>
        </w:rPr>
        <w:t>becomings of a suicide bomber</w:t>
      </w:r>
      <w:r>
        <w:rPr>
          <w:rFonts w:ascii="Calibri" w:hAnsi="Calibri" w:eastAsia="Calibri" w:cs="Calibri"/>
          <w:u w:val="single"/>
        </w:rPr>
        <w:t>, a corporeal experiential of "ballistics,"</w:t>
      </w:r>
      <w:r>
        <w:rPr>
          <w:rFonts w:ascii="Calibri" w:hAnsi="Calibri" w:eastAsia="Calibri" w:cs="Calibri"/>
          <w:sz w:val="16"/>
          <w:szCs w:val="16"/>
        </w:rPr>
        <w:t xml:space="preserve"> he asks, "</w:t>
      </w:r>
      <w:r>
        <w:rPr>
          <w:rFonts w:ascii="Calibri" w:hAnsi="Calibri" w:eastAsia="Calibri" w:cs="Calibri"/>
          <w:u w:val="single"/>
        </w:rPr>
        <w:t xml:space="preserve">What </w:t>
      </w:r>
      <w:r>
        <w:rPr>
          <w:rFonts w:ascii="Calibri" w:hAnsi="Calibri" w:eastAsia="Calibri" w:cs="Calibri"/>
          <w:highlight w:val="green"/>
          <w:u w:val="single"/>
        </w:rPr>
        <w:t>place is given to life, death, and the human body</w:t>
      </w:r>
      <w:r>
        <w:rPr>
          <w:rFonts w:ascii="Calibri" w:hAnsi="Calibri" w:eastAsia="Calibri" w:cs="Calibri"/>
          <w:u w:val="single"/>
        </w:rPr>
        <w:t xml:space="preserve"> (especially the wounded or slain body)</w:t>
      </w:r>
      <w:r>
        <w:rPr>
          <w:rFonts w:ascii="Times New Roman" w:hAnsi="Times New Roman" w:eastAsia="Times New Roman" w:cs="Times New Roman"/>
          <w:sz w:val="16"/>
          <w:szCs w:val="16"/>
        </w:rPr>
        <w:t xml:space="preserve">?" </w:t>
      </w:r>
      <w:r>
        <w:rPr>
          <w:rFonts w:ascii="Calibri" w:hAnsi="Calibri" w:eastAsia="Calibri" w:cs="Calibri"/>
          <w:highlight w:val="green"/>
          <w:u w:val="single"/>
        </w:rPr>
        <w:t>Assemblage</w:t>
      </w:r>
      <w:r>
        <w:rPr>
          <w:rFonts w:ascii="Calibri" w:hAnsi="Calibri" w:eastAsia="Calibri" w:cs="Calibri"/>
          <w:u w:val="single"/>
        </w:rPr>
        <w:t xml:space="preserve"> here </w:t>
      </w:r>
      <w:r>
        <w:rPr>
          <w:rFonts w:ascii="Calibri" w:hAnsi="Calibri" w:eastAsia="Calibri" w:cs="Calibri"/>
          <w:highlight w:val="green"/>
          <w:u w:val="single"/>
        </w:rPr>
        <w:t xml:space="preserve">points to the inability to </w:t>
      </w:r>
      <w:r>
        <w:rPr>
          <w:rFonts w:ascii="Calibri" w:hAnsi="Calibri" w:eastAsia="Calibri" w:cs="Calibri"/>
          <w:u w:val="single"/>
        </w:rPr>
        <w:t xml:space="preserve">clearly </w:t>
      </w:r>
      <w:r>
        <w:rPr>
          <w:rFonts w:ascii="Calibri" w:hAnsi="Calibri" w:eastAsia="Calibri" w:cs="Calibri"/>
          <w:highlight w:val="green"/>
          <w:u w:val="single"/>
        </w:rPr>
        <w:t xml:space="preserve">delineate </w:t>
      </w:r>
      <w:r>
        <w:rPr>
          <w:rFonts w:ascii="Calibri" w:hAnsi="Calibri" w:eastAsia="Calibri" w:cs="Calibri"/>
          <w:u w:val="single"/>
        </w:rPr>
        <w:t xml:space="preserve">a temporal, </w:t>
      </w:r>
      <w:r>
        <w:rPr>
          <w:rFonts w:ascii="Calibri" w:hAnsi="Calibri" w:eastAsia="Calibri" w:cs="Calibri"/>
          <w:highlight w:val="green"/>
          <w:u w:val="single"/>
        </w:rPr>
        <w:t>spatial</w:t>
      </w:r>
      <w:r>
        <w:rPr>
          <w:rFonts w:ascii="Calibri" w:hAnsi="Calibri" w:eastAsia="Calibri" w:cs="Calibri"/>
          <w:u w:val="single"/>
        </w:rPr>
        <w:t xml:space="preserve">, energetic, or molecular </w:t>
      </w:r>
      <w:r>
        <w:rPr>
          <w:rFonts w:ascii="Calibri" w:hAnsi="Calibri" w:eastAsia="Calibri" w:cs="Calibri"/>
          <w:highlight w:val="green"/>
          <w:u w:val="single"/>
        </w:rPr>
        <w:t>distinction</w:t>
      </w:r>
      <w:r>
        <w:rPr>
          <w:rFonts w:ascii="Times New Roman" w:hAnsi="Times New Roman" w:eastAsia="Times New Roman" w:cs="Times New Roman"/>
          <w:highlight w:val="green"/>
          <w:u w:val="single"/>
        </w:rPr>
        <w:t xml:space="preserve"> </w:t>
      </w:r>
      <w:r>
        <w:rPr>
          <w:rFonts w:ascii="Calibri" w:hAnsi="Calibri" w:eastAsia="Calibri" w:cs="Calibri"/>
          <w:u w:val="single"/>
        </w:rPr>
        <w:t>between a discrete biological body and technology</w:t>
      </w:r>
      <w:r>
        <w:rPr>
          <w:rFonts w:ascii="Times New Roman" w:hAnsi="Times New Roman" w:eastAsia="Times New Roman" w:cs="Times New Roman"/>
          <w:u w:val="single"/>
        </w:rPr>
        <w:t>;</w:t>
      </w:r>
      <w:r>
        <w:rPr>
          <w:rFonts w:ascii="Calibri" w:hAnsi="Calibri" w:eastAsia="Calibri" w:cs="Calibri"/>
          <w:highlight w:val="green"/>
          <w:u w:val="single"/>
        </w:rPr>
        <w:t xml:space="preserve"> the </w:t>
      </w:r>
      <w:r>
        <w:rPr>
          <w:rFonts w:ascii="Calibri" w:hAnsi="Calibri" w:eastAsia="Calibri" w:cs="Calibri"/>
          <w:u w:val="single"/>
        </w:rPr>
        <w:t>entities</w:t>
      </w:r>
      <w:r>
        <w:rPr>
          <w:rFonts w:ascii="Times New Roman" w:hAnsi="Times New Roman" w:eastAsia="Times New Roman" w:cs="Times New Roman"/>
          <w:highlight w:val="green"/>
          <w:u w:val="single"/>
        </w:rPr>
        <w:t xml:space="preserve">, </w:t>
      </w:r>
      <w:r>
        <w:rPr>
          <w:rFonts w:ascii="Calibri" w:hAnsi="Calibri" w:eastAsia="Calibri" w:cs="Calibri"/>
          <w:highlight w:val="green"/>
          <w:u w:val="single"/>
        </w:rPr>
        <w:t>particles</w:t>
      </w:r>
      <w:r>
        <w:rPr>
          <w:rFonts w:ascii="Calibri" w:hAnsi="Calibri" w:eastAsia="Calibri" w:cs="Calibri"/>
          <w:u w:val="single"/>
        </w:rPr>
        <w:t xml:space="preserve">, and elements </w:t>
      </w:r>
      <w:r>
        <w:rPr>
          <w:rFonts w:ascii="Calibri" w:hAnsi="Calibri" w:eastAsia="Calibri" w:cs="Calibri"/>
          <w:highlight w:val="green"/>
          <w:u w:val="single"/>
        </w:rPr>
        <w:t>come together</w:t>
      </w:r>
      <w:r>
        <w:rPr>
          <w:rFonts w:ascii="Times New Roman" w:hAnsi="Times New Roman" w:eastAsia="Times New Roman" w:cs="Times New Roman"/>
          <w:highlight w:val="green"/>
          <w:u w:val="single"/>
        </w:rPr>
        <w:t xml:space="preserve">, </w:t>
      </w:r>
      <w:r>
        <w:rPr>
          <w:rFonts w:ascii="Calibri" w:hAnsi="Calibri" w:eastAsia="Calibri" w:cs="Calibri"/>
          <w:highlight w:val="green"/>
          <w:u w:val="single"/>
        </w:rPr>
        <w:t>flow</w:t>
      </w:r>
      <w:r>
        <w:rPr>
          <w:rFonts w:ascii="Times New Roman" w:hAnsi="Times New Roman" w:eastAsia="Times New Roman" w:cs="Times New Roman"/>
          <w:highlight w:val="green"/>
          <w:u w:val="single"/>
        </w:rPr>
        <w:t xml:space="preserve">, </w:t>
      </w:r>
      <w:r>
        <w:rPr>
          <w:rFonts w:ascii="Calibri" w:hAnsi="Calibri" w:eastAsia="Calibri" w:cs="Calibri"/>
          <w:u w:val="single"/>
        </w:rPr>
        <w:t>break apart</w:t>
      </w:r>
      <w:r>
        <w:rPr>
          <w:rFonts w:ascii="Times New Roman" w:hAnsi="Times New Roman" w:eastAsia="Times New Roman" w:cs="Times New Roman"/>
          <w:u w:val="single"/>
        </w:rPr>
        <w:t xml:space="preserve">, </w:t>
      </w:r>
      <w:r>
        <w:rPr>
          <w:rFonts w:ascii="Calibri" w:hAnsi="Calibri" w:eastAsia="Calibri" w:cs="Calibri"/>
          <w:u w:val="single"/>
        </w:rPr>
        <w:t>interface</w:t>
      </w:r>
      <w:r>
        <w:rPr>
          <w:rFonts w:ascii="Times New Roman" w:hAnsi="Times New Roman" w:eastAsia="Times New Roman" w:cs="Times New Roman"/>
          <w:u w:val="single"/>
        </w:rPr>
        <w:t xml:space="preserve">, </w:t>
      </w:r>
      <w:r>
        <w:rPr>
          <w:rFonts w:ascii="Calibri" w:hAnsi="Calibri" w:eastAsia="Calibri" w:cs="Calibri"/>
          <w:u w:val="single"/>
        </w:rPr>
        <w:t xml:space="preserve">skim </w:t>
      </w:r>
      <w:r>
        <w:rPr>
          <w:rFonts w:ascii="Calibri" w:hAnsi="Calibri" w:eastAsia="Calibri" w:cs="Calibri"/>
          <w:highlight w:val="green"/>
          <w:u w:val="single"/>
        </w:rPr>
        <w:t>off each other</w:t>
      </w:r>
      <w:r>
        <w:rPr>
          <w:rFonts w:ascii="Calibri" w:hAnsi="Calibri" w:eastAsia="Calibri" w:cs="Calibri"/>
          <w:u w:val="single"/>
        </w:rPr>
        <w:t xml:space="preserve">, are </w:t>
      </w:r>
      <w:r>
        <w:rPr>
          <w:rFonts w:ascii="Calibri" w:hAnsi="Calibri" w:eastAsia="Calibri" w:cs="Calibri"/>
          <w:highlight w:val="green"/>
          <w:u w:val="single"/>
        </w:rPr>
        <w:t>never stable</w:t>
      </w:r>
      <w:r>
        <w:rPr>
          <w:rFonts w:ascii="Times New Roman" w:hAnsi="Times New Roman" w:eastAsia="Times New Roman" w:cs="Times New Roman"/>
          <w:highlight w:val="green"/>
          <w:u w:val="single"/>
        </w:rPr>
        <w:t xml:space="preserve">, </w:t>
      </w:r>
      <w:r>
        <w:rPr>
          <w:rFonts w:ascii="Calibri" w:hAnsi="Calibri" w:eastAsia="Calibri" w:cs="Calibri"/>
          <w:u w:val="single"/>
        </w:rPr>
        <w:t xml:space="preserve">but are </w:t>
      </w:r>
      <w:r>
        <w:rPr>
          <w:rFonts w:ascii="Calibri" w:hAnsi="Calibri" w:eastAsia="Calibri" w:cs="Calibri"/>
          <w:highlight w:val="green"/>
          <w:u w:val="single"/>
        </w:rPr>
        <w:t xml:space="preserve">defined through </w:t>
      </w:r>
      <w:r>
        <w:rPr>
          <w:rFonts w:ascii="Calibri" w:hAnsi="Calibri" w:eastAsia="Calibri" w:cs="Calibri"/>
          <w:u w:val="single"/>
        </w:rPr>
        <w:t xml:space="preserve">their </w:t>
      </w:r>
      <w:r>
        <w:rPr>
          <w:rFonts w:ascii="Calibri" w:hAnsi="Calibri" w:eastAsia="Calibri" w:cs="Calibri"/>
          <w:highlight w:val="green"/>
          <w:u w:val="single"/>
        </w:rPr>
        <w:t>continual interface</w:t>
      </w:r>
      <w:r>
        <w:rPr>
          <w:rFonts w:ascii="Calibri" w:hAnsi="Calibri" w:eastAsia="Calibri" w:cs="Calibri"/>
          <w:u w:val="single"/>
        </w:rPr>
        <w:t xml:space="preserve">, not as objects meeting but as </w:t>
      </w:r>
      <w:r>
        <w:rPr>
          <w:rFonts w:ascii="Calibri" w:hAnsi="Calibri" w:eastAsia="Calibri" w:cs="Calibri"/>
          <w:highlight w:val="green"/>
          <w:u w:val="single"/>
        </w:rPr>
        <w:t>multiplicities emerging from interactions</w:t>
      </w:r>
      <w:r>
        <w:rPr>
          <w:rFonts w:ascii="Calibri" w:hAnsi="Calibri" w:eastAsia="Calibri" w:cs="Calibri"/>
          <w:sz w:val="16"/>
          <w:szCs w:val="16"/>
        </w:rPr>
        <w:t xml:space="preserve">. The dynamite strapped onto the body of a suicide bomber is not merely an appendage or prosthetic; </w:t>
      </w:r>
      <w:r>
        <w:rPr>
          <w:rFonts w:ascii="Calibri" w:hAnsi="Calibri" w:eastAsia="Calibri" w:cs="Calibri"/>
          <w:u w:val="single"/>
        </w:rPr>
        <w:t>the intimacy of weapon with body</w:t>
      </w:r>
      <w:r>
        <w:rPr>
          <w:rFonts w:ascii="Times New Roman" w:hAnsi="Times New Roman" w:eastAsia="Times New Roman" w:cs="Times New Roman"/>
          <w:u w:val="single"/>
        </w:rPr>
        <w:t xml:space="preserve"> </w:t>
      </w:r>
      <w:r>
        <w:rPr>
          <w:rFonts w:ascii="Calibri" w:hAnsi="Calibri" w:eastAsia="Calibri" w:cs="Calibri"/>
          <w:highlight w:val="green"/>
          <w:u w:val="single"/>
        </w:rPr>
        <w:t xml:space="preserve">reorients </w:t>
      </w:r>
      <w:r>
        <w:rPr>
          <w:rFonts w:ascii="Calibri" w:hAnsi="Calibri" w:eastAsia="Calibri" w:cs="Calibri"/>
          <w:u w:val="single"/>
        </w:rPr>
        <w:t xml:space="preserve">the assumed </w:t>
      </w:r>
      <w:r>
        <w:rPr>
          <w:rFonts w:ascii="Calibri" w:hAnsi="Calibri" w:eastAsia="Calibri" w:cs="Calibri"/>
          <w:highlight w:val="green"/>
          <w:u w:val="single"/>
        </w:rPr>
        <w:t>spatial integrity</w:t>
      </w:r>
      <w:r>
        <w:rPr>
          <w:rFonts w:ascii="Calibri" w:hAnsi="Calibri" w:eastAsia="Calibri" w:cs="Calibri"/>
          <w:u w:val="single"/>
        </w:rPr>
        <w:t xml:space="preserve"> (coherence and concreteness) </w:t>
      </w:r>
      <w:r>
        <w:rPr>
          <w:rFonts w:ascii="Calibri" w:hAnsi="Calibri" w:eastAsia="Calibri" w:cs="Calibri"/>
          <w:highlight w:val="green"/>
          <w:u w:val="single"/>
        </w:rPr>
        <w:t xml:space="preserve">and individuality of the body </w:t>
      </w:r>
      <w:r>
        <w:rPr>
          <w:rFonts w:ascii="Calibri" w:hAnsi="Calibri" w:eastAsia="Calibri" w:cs="Calibri"/>
          <w:u w:val="single"/>
        </w:rPr>
        <w:t xml:space="preserve">that is the mandate of intersectional identities: instead </w:t>
      </w:r>
      <w:r>
        <w:rPr>
          <w:rFonts w:ascii="Calibri" w:hAnsi="Calibri" w:eastAsia="Calibri" w:cs="Calibri"/>
          <w:highlight w:val="green"/>
          <w:u w:val="single"/>
        </w:rPr>
        <w:t>we have the body-weapon</w:t>
      </w:r>
      <w:r>
        <w:rPr>
          <w:rFonts w:ascii="Times New Roman" w:hAnsi="Times New Roman" w:eastAsia="Times New Roman" w:cs="Times New Roman"/>
          <w:sz w:val="16"/>
          <w:szCs w:val="16"/>
        </w:rPr>
        <w:t xml:space="preserve">. </w:t>
      </w:r>
      <w:r>
        <w:rPr>
          <w:rFonts w:ascii="Calibri" w:hAnsi="Calibri" w:eastAsia="Calibri" w:cs="Calibri"/>
          <w:u w:val="single"/>
        </w:rPr>
        <w:t xml:space="preserve">The ontology of the body renders it </w:t>
      </w:r>
      <w:r>
        <w:rPr>
          <w:rFonts w:ascii="Calibri" w:hAnsi="Calibri" w:eastAsia="Calibri" w:cs="Calibri"/>
          <w:highlight w:val="green"/>
          <w:u w:val="single"/>
        </w:rPr>
        <w:t>a</w:t>
      </w:r>
      <w:r>
        <w:rPr>
          <w:rFonts w:ascii="Calibri" w:hAnsi="Calibri" w:eastAsia="Calibri" w:cs="Calibri"/>
          <w:u w:val="single"/>
        </w:rPr>
        <w:t xml:space="preserve"> newly </w:t>
      </w:r>
      <w:r>
        <w:rPr>
          <w:rFonts w:ascii="Calibri" w:hAnsi="Calibri" w:eastAsia="Calibri" w:cs="Calibri"/>
          <w:highlight w:val="green"/>
          <w:u w:val="single"/>
        </w:rPr>
        <w:t>becoming body</w:t>
      </w:r>
      <w:r>
        <w:rPr>
          <w:rFonts w:ascii="Times New Roman" w:hAnsi="Times New Roman" w:eastAsia="Times New Roman" w:cs="Times New Roman"/>
          <w:u w:val="single"/>
        </w:rPr>
        <w:t xml:space="preserve">: </w:t>
      </w:r>
      <w:r>
        <w:rPr>
          <w:rFonts w:ascii="Calibri" w:hAnsi="Calibri" w:eastAsia="Calibri" w:cs="Calibri"/>
          <w:highlight w:val="yellow"/>
          <w:u w:val="single"/>
        </w:rPr>
        <w:t>The candidate</w:t>
      </w:r>
      <w:r>
        <w:rPr>
          <w:rFonts w:ascii="Calibri" w:hAnsi="Calibri" w:eastAsia="Calibri" w:cs="Calibri"/>
          <w:u w:val="single"/>
        </w:rPr>
        <w:t xml:space="preserve"> for martyrdom </w:t>
      </w:r>
      <w:r>
        <w:rPr>
          <w:rFonts w:ascii="Calibri" w:hAnsi="Calibri" w:eastAsia="Calibri" w:cs="Calibri"/>
          <w:highlight w:val="yellow"/>
          <w:u w:val="single"/>
        </w:rPr>
        <w:t>transforms</w:t>
      </w:r>
      <w:r>
        <w:rPr>
          <w:rFonts w:ascii="Calibri" w:hAnsi="Calibri" w:eastAsia="Calibri" w:cs="Calibri"/>
          <w:u w:val="single"/>
        </w:rPr>
        <w:t xml:space="preserve"> his or her </w:t>
      </w:r>
      <w:r>
        <w:rPr>
          <w:rFonts w:ascii="Calibri" w:hAnsi="Calibri" w:eastAsia="Calibri" w:cs="Calibri"/>
          <w:highlight w:val="yellow"/>
          <w:u w:val="single"/>
        </w:rPr>
        <w:t>body into a mask that hides the</w:t>
      </w:r>
      <w:r>
        <w:rPr>
          <w:rFonts w:ascii="Times New Roman" w:hAnsi="Times New Roman" w:eastAsia="Times New Roman" w:cs="Times New Roman"/>
          <w:u w:val="single"/>
        </w:rPr>
        <w:t xml:space="preserve"> </w:t>
      </w:r>
      <w:r>
        <w:rPr>
          <w:rFonts w:ascii="Calibri" w:hAnsi="Calibri" w:eastAsia="Calibri" w:cs="Calibri"/>
          <w:u w:val="single"/>
        </w:rPr>
        <w:t xml:space="preserve">soon-to-be-detonated </w:t>
      </w:r>
      <w:r>
        <w:rPr>
          <w:rFonts w:ascii="Calibri" w:hAnsi="Calibri" w:eastAsia="Calibri" w:cs="Calibri"/>
          <w:highlight w:val="yellow"/>
          <w:u w:val="single"/>
        </w:rPr>
        <w:t>weapon</w:t>
      </w:r>
      <w:r>
        <w:rPr>
          <w:rFonts w:ascii="Calibri" w:hAnsi="Calibri" w:eastAsia="Calibri" w:cs="Calibri"/>
          <w:sz w:val="16"/>
          <w:szCs w:val="16"/>
        </w:rPr>
        <w:t xml:space="preserve">. Unlike the tank or the missile that is clearly visible, </w:t>
      </w:r>
      <w:r>
        <w:rPr>
          <w:rFonts w:ascii="Calibri" w:hAnsi="Calibri" w:eastAsia="Calibri" w:cs="Calibri"/>
          <w:highlight w:val="yellow"/>
          <w:u w:val="single"/>
        </w:rPr>
        <w:t>the weapon</w:t>
      </w:r>
      <w:r>
        <w:rPr>
          <w:rFonts w:ascii="Times New Roman" w:hAnsi="Times New Roman" w:eastAsia="Times New Roman" w:cs="Times New Roman"/>
          <w:u w:val="single"/>
        </w:rPr>
        <w:t xml:space="preserve"> </w:t>
      </w:r>
      <w:r>
        <w:rPr>
          <w:rFonts w:ascii="Calibri" w:hAnsi="Calibri" w:eastAsia="Calibri" w:cs="Calibri"/>
          <w:u w:val="single"/>
        </w:rPr>
        <w:t xml:space="preserve">carried in the shape of the body </w:t>
      </w:r>
      <w:r>
        <w:rPr>
          <w:rFonts w:ascii="Calibri" w:hAnsi="Calibri" w:eastAsia="Calibri" w:cs="Calibri"/>
          <w:highlight w:val="yellow"/>
          <w:u w:val="single"/>
        </w:rPr>
        <w:t>is invisible</w:t>
      </w:r>
      <w:r>
        <w:rPr>
          <w:rFonts w:ascii="Times New Roman" w:hAnsi="Times New Roman" w:eastAsia="Times New Roman" w:cs="Times New Roman"/>
          <w:sz w:val="16"/>
          <w:szCs w:val="16"/>
        </w:rPr>
        <w:t xml:space="preserve">. </w:t>
      </w:r>
      <w:r>
        <w:rPr>
          <w:rFonts w:ascii="Calibri" w:hAnsi="Calibri" w:eastAsia="Calibri" w:cs="Calibri"/>
          <w:u w:val="single"/>
        </w:rPr>
        <w:t>Thus concealed, it forms part of the body</w:t>
      </w:r>
      <w:r>
        <w:rPr>
          <w:rFonts w:ascii="Calibri" w:hAnsi="Calibri" w:eastAsia="Calibri" w:cs="Calibri"/>
          <w:sz w:val="16"/>
          <w:szCs w:val="16"/>
        </w:rPr>
        <w:t xml:space="preserve">. It is so intimately part of the body that at the time of its detonation it annihilates the body of its bearer, who carries with it the bodies of others when it does not reduce them to pieces. The body does not simply conceal a weapon. </w:t>
      </w:r>
      <w:r>
        <w:rPr>
          <w:rFonts w:ascii="Calibri" w:hAnsi="Calibri" w:eastAsia="Calibri" w:cs="Calibri"/>
          <w:u w:val="single"/>
        </w:rPr>
        <w:t xml:space="preserve">The body is </w:t>
      </w:r>
      <w:r>
        <w:rPr>
          <w:rFonts w:ascii="Calibri" w:hAnsi="Calibri" w:eastAsia="Calibri" w:cs="Calibri"/>
          <w:u w:val="single"/>
        </w:rPr>
        <w:lastRenderedPageBreak/>
        <w:t>transformed into a weapon, not in a metaphorical sense but in a truly ballistic sense</w:t>
      </w:r>
      <w:r>
        <w:rPr>
          <w:rFonts w:ascii="Calibri" w:hAnsi="Calibri" w:eastAsia="Calibri" w:cs="Calibri"/>
          <w:sz w:val="16"/>
          <w:szCs w:val="16"/>
        </w:rPr>
        <w:t xml:space="preserve">.,1 </w:t>
      </w:r>
      <w:r>
        <w:rPr>
          <w:rFonts w:ascii="Calibri" w:hAnsi="Calibri" w:eastAsia="Calibri" w:cs="Calibri"/>
          <w:u w:val="single"/>
        </w:rPr>
        <w:t xml:space="preserve">Temporal narratives of progression are upturned as death and becoming fuse into one: </w:t>
      </w:r>
      <w:r>
        <w:rPr>
          <w:rFonts w:ascii="Calibri" w:hAnsi="Calibri" w:eastAsia="Calibri" w:cs="Calibri"/>
          <w:highlight w:val="green"/>
          <w:u w:val="single"/>
        </w:rPr>
        <w:t>as one's body dies, one's body becomes</w:t>
      </w:r>
      <w:r>
        <w:rPr>
          <w:rFonts w:ascii="Calibri" w:hAnsi="Calibri" w:eastAsia="Calibri" w:cs="Calibri"/>
          <w:u w:val="single"/>
        </w:rPr>
        <w:t xml:space="preserve"> the mask, the weapon</w:t>
      </w:r>
      <w:r>
        <w:rPr>
          <w:rFonts w:ascii="Times New Roman" w:hAnsi="Times New Roman" w:eastAsia="Times New Roman" w:cs="Times New Roman"/>
          <w:u w:val="single"/>
        </w:rPr>
        <w:t xml:space="preserve">, </w:t>
      </w:r>
      <w:r>
        <w:rPr>
          <w:rFonts w:ascii="Calibri" w:hAnsi="Calibri" w:eastAsia="Calibri" w:cs="Calibri"/>
          <w:highlight w:val="green"/>
          <w:u w:val="single"/>
        </w:rPr>
        <w:t>the suicide bomber</w:t>
      </w:r>
      <w:r>
        <w:rPr>
          <w:rFonts w:ascii="Times New Roman" w:hAnsi="Times New Roman" w:eastAsia="Times New Roman" w:cs="Times New Roman"/>
          <w:sz w:val="16"/>
          <w:szCs w:val="16"/>
        </w:rPr>
        <w:t xml:space="preserve">. </w:t>
      </w:r>
      <w:r>
        <w:rPr>
          <w:rFonts w:ascii="Calibri" w:hAnsi="Calibri" w:eastAsia="Calibri" w:cs="Calibri"/>
          <w:u w:val="single"/>
        </w:rPr>
        <w:t xml:space="preserve">Not only does </w:t>
      </w:r>
      <w:r>
        <w:rPr>
          <w:rFonts w:ascii="Calibri" w:hAnsi="Calibri" w:eastAsia="Calibri" w:cs="Calibri"/>
          <w:highlight w:val="yellow"/>
          <w:u w:val="single"/>
        </w:rPr>
        <w:t>the</w:t>
      </w:r>
      <w:r>
        <w:rPr>
          <w:rFonts w:ascii="Calibri" w:hAnsi="Calibri" w:eastAsia="Calibri" w:cs="Calibri"/>
          <w:u w:val="single"/>
        </w:rPr>
        <w:t xml:space="preserve"> ballistic </w:t>
      </w:r>
      <w:r>
        <w:rPr>
          <w:rFonts w:ascii="Calibri" w:hAnsi="Calibri" w:eastAsia="Calibri" w:cs="Calibri"/>
          <w:highlight w:val="yellow"/>
          <w:u w:val="single"/>
        </w:rPr>
        <w:t>body come into being without</w:t>
      </w:r>
      <w:r>
        <w:rPr>
          <w:rFonts w:ascii="Calibri" w:hAnsi="Calibri" w:eastAsia="Calibri" w:cs="Calibri"/>
          <w:u w:val="single"/>
        </w:rPr>
        <w:t xml:space="preserve"> the aid of </w:t>
      </w:r>
      <w:r>
        <w:rPr>
          <w:rFonts w:ascii="Calibri" w:hAnsi="Calibri" w:eastAsia="Calibri" w:cs="Calibri"/>
          <w:highlight w:val="yellow"/>
          <w:u w:val="single"/>
        </w:rPr>
        <w:t>visual cues</w:t>
      </w:r>
      <w:r>
        <w:rPr>
          <w:rFonts w:ascii="Calibri" w:hAnsi="Calibri" w:eastAsia="Calibri" w:cs="Calibri"/>
          <w:u w:val="single"/>
        </w:rPr>
        <w:t xml:space="preserve"> marking its transformation, it also "carries with it the bodies of others."</w:t>
      </w:r>
      <w:r>
        <w:rPr>
          <w:rFonts w:ascii="Calibri" w:hAnsi="Calibri" w:eastAsia="Calibri" w:cs="Calibri"/>
          <w:sz w:val="16"/>
          <w:szCs w:val="16"/>
        </w:rPr>
        <w:t xml:space="preserve"> Its own penetrative energy sends shards of metal and torn flesh spinning off into the ether. </w:t>
      </w:r>
      <w:r>
        <w:rPr>
          <w:rFonts w:ascii="Calibri" w:hAnsi="Calibri" w:eastAsia="Calibri" w:cs="Calibri"/>
          <w:u w:val="single"/>
        </w:rPr>
        <w:t xml:space="preserve">The body-weapon does not play as metaphor, nor in the realm of meaning and epistemology, but forces us ontologically anew to ask: </w:t>
      </w:r>
      <w:r>
        <w:rPr>
          <w:rFonts w:ascii="Calibri" w:hAnsi="Calibri" w:eastAsia="Calibri" w:cs="Calibri"/>
          <w:highlight w:val="green"/>
          <w:u w:val="single"/>
        </w:rPr>
        <w:t>What</w:t>
      </w:r>
      <w:r>
        <w:rPr>
          <w:rFonts w:ascii="Calibri" w:hAnsi="Calibri" w:eastAsia="Calibri" w:cs="Calibri"/>
          <w:u w:val="single"/>
        </w:rPr>
        <w:t xml:space="preserve"> kinds of </w:t>
      </w:r>
      <w:r>
        <w:rPr>
          <w:rFonts w:ascii="Calibri" w:hAnsi="Calibri" w:eastAsia="Calibri" w:cs="Calibri"/>
          <w:highlight w:val="green"/>
          <w:u w:val="single"/>
        </w:rPr>
        <w:t>info</w:t>
      </w:r>
      <w:r>
        <w:rPr>
          <w:rFonts w:ascii="Calibri" w:hAnsi="Calibri" w:eastAsia="Calibri" w:cs="Calibri"/>
          <w:u w:val="single"/>
        </w:rPr>
        <w:t xml:space="preserve">rmation </w:t>
      </w:r>
      <w:r>
        <w:rPr>
          <w:rFonts w:ascii="Calibri" w:hAnsi="Calibri" w:eastAsia="Calibri" w:cs="Calibri"/>
          <w:highlight w:val="green"/>
          <w:u w:val="single"/>
        </w:rPr>
        <w:t>does the</w:t>
      </w:r>
      <w:r>
        <w:rPr>
          <w:rFonts w:ascii="Calibri" w:hAnsi="Calibri" w:eastAsia="Calibri" w:cs="Calibri"/>
          <w:u w:val="single"/>
        </w:rPr>
        <w:t xml:space="preserve"> ballistic </w:t>
      </w:r>
      <w:r>
        <w:rPr>
          <w:rFonts w:ascii="Calibri" w:hAnsi="Calibri" w:eastAsia="Calibri" w:cs="Calibri"/>
          <w:highlight w:val="green"/>
          <w:u w:val="single"/>
        </w:rPr>
        <w:t>body impart</w:t>
      </w:r>
      <w:r>
        <w:rPr>
          <w:rFonts w:ascii="Times New Roman" w:hAnsi="Times New Roman" w:eastAsia="Times New Roman" w:cs="Times New Roman"/>
          <w:sz w:val="16"/>
          <w:szCs w:val="16"/>
        </w:rPr>
        <w:t xml:space="preserve">? </w:t>
      </w:r>
      <w:r>
        <w:rPr>
          <w:rFonts w:ascii="Calibri" w:hAnsi="Calibri" w:eastAsia="Calibri" w:cs="Calibri"/>
          <w:highlight w:val="green"/>
          <w:u w:val="single"/>
        </w:rPr>
        <w:t xml:space="preserve">These bodies, </w:t>
      </w:r>
      <w:r>
        <w:rPr>
          <w:rFonts w:ascii="Calibri" w:hAnsi="Calibri" w:eastAsia="Calibri" w:cs="Calibri"/>
          <w:u w:val="single"/>
        </w:rPr>
        <w:t xml:space="preserve">being </w:t>
      </w:r>
      <w:r>
        <w:rPr>
          <w:rFonts w:ascii="Calibri" w:hAnsi="Calibri" w:eastAsia="Calibri" w:cs="Calibri"/>
          <w:highlight w:val="green"/>
          <w:u w:val="single"/>
        </w:rPr>
        <w:t>in</w:t>
      </w:r>
      <w:r>
        <w:rPr>
          <w:rFonts w:ascii="Calibri" w:hAnsi="Calibri" w:eastAsia="Calibri" w:cs="Calibri"/>
          <w:u w:val="single"/>
        </w:rPr>
        <w:t xml:space="preserve"> the midst of </w:t>
      </w:r>
      <w:r>
        <w:rPr>
          <w:rFonts w:ascii="Calibri" w:hAnsi="Calibri" w:eastAsia="Calibri" w:cs="Calibri"/>
          <w:highlight w:val="green"/>
          <w:u w:val="single"/>
        </w:rPr>
        <w:t>becoming</w:t>
      </w:r>
      <w:r>
        <w:rPr>
          <w:rFonts w:ascii="Times New Roman" w:hAnsi="Times New Roman" w:eastAsia="Times New Roman" w:cs="Times New Roman"/>
          <w:u w:val="single"/>
        </w:rPr>
        <w:t xml:space="preserve">, </w:t>
      </w:r>
      <w:r>
        <w:rPr>
          <w:rFonts w:ascii="Calibri" w:hAnsi="Calibri" w:eastAsia="Calibri" w:cs="Calibri"/>
          <w:b/>
          <w:highlight w:val="green"/>
          <w:u w:val="single"/>
        </w:rPr>
        <w:t>blur the inside</w:t>
      </w:r>
      <w:r>
        <w:rPr>
          <w:rFonts w:ascii="Calibri" w:hAnsi="Calibri" w:eastAsia="Calibri" w:cs="Calibri"/>
          <w:b/>
          <w:u w:val="single"/>
        </w:rPr>
        <w:t>s</w:t>
      </w:r>
      <w:r>
        <w:rPr>
          <w:rFonts w:ascii="Times New Roman" w:hAnsi="Times New Roman" w:eastAsia="Times New Roman" w:cs="Times New Roman"/>
          <w:b/>
          <w:u w:val="single"/>
        </w:rPr>
        <w:t xml:space="preserve"> </w:t>
      </w:r>
      <w:r>
        <w:rPr>
          <w:rFonts w:ascii="Calibri" w:hAnsi="Calibri" w:eastAsia="Calibri" w:cs="Calibri"/>
          <w:b/>
          <w:highlight w:val="green"/>
          <w:u w:val="single"/>
        </w:rPr>
        <w:t>and</w:t>
      </w:r>
      <w:r>
        <w:rPr>
          <w:rFonts w:ascii="Calibri" w:hAnsi="Calibri" w:eastAsia="Calibri" w:cs="Calibri"/>
          <w:b/>
          <w:u w:val="single"/>
        </w:rPr>
        <w:t xml:space="preserve"> the </w:t>
      </w:r>
      <w:r>
        <w:rPr>
          <w:rFonts w:ascii="Calibri" w:hAnsi="Calibri" w:eastAsia="Calibri" w:cs="Calibri"/>
          <w:b/>
          <w:highlight w:val="green"/>
          <w:u w:val="single"/>
        </w:rPr>
        <w:t>outside</w:t>
      </w:r>
      <w:r>
        <w:rPr>
          <w:rFonts w:ascii="Calibri" w:hAnsi="Calibri" w:eastAsia="Calibri" w:cs="Calibri"/>
          <w:b/>
          <w:u w:val="single"/>
        </w:rPr>
        <w:t>s</w:t>
      </w:r>
      <w:r>
        <w:rPr>
          <w:rFonts w:ascii="Times New Roman" w:hAnsi="Times New Roman" w:eastAsia="Times New Roman" w:cs="Times New Roman"/>
          <w:highlight w:val="green"/>
          <w:u w:val="single"/>
        </w:rPr>
        <w:t xml:space="preserve">, </w:t>
      </w:r>
      <w:r>
        <w:rPr>
          <w:rFonts w:ascii="Calibri" w:hAnsi="Calibri" w:eastAsia="Calibri" w:cs="Calibri"/>
          <w:highlight w:val="green"/>
          <w:u w:val="single"/>
        </w:rPr>
        <w:t xml:space="preserve">infecting transformation through </w:t>
      </w:r>
      <w:r>
        <w:rPr>
          <w:rFonts w:ascii="Calibri" w:hAnsi="Calibri" w:eastAsia="Calibri" w:cs="Calibri"/>
          <w:u w:val="single"/>
        </w:rPr>
        <w:t>sensation</w:t>
      </w:r>
      <w:r>
        <w:rPr>
          <w:rFonts w:ascii="Times New Roman" w:hAnsi="Times New Roman" w:eastAsia="Times New Roman" w:cs="Times New Roman"/>
          <w:u w:val="single"/>
        </w:rPr>
        <w:t xml:space="preserve">, </w:t>
      </w:r>
      <w:r>
        <w:rPr>
          <w:rFonts w:ascii="Calibri" w:hAnsi="Calibri" w:eastAsia="Calibri" w:cs="Calibri"/>
          <w:u w:val="single"/>
        </w:rPr>
        <w:t xml:space="preserve">echoing knowledge via reverberation and </w:t>
      </w:r>
      <w:r>
        <w:rPr>
          <w:rFonts w:ascii="Calibri" w:hAnsi="Calibri" w:eastAsia="Calibri" w:cs="Calibri"/>
          <w:highlight w:val="green"/>
          <w:u w:val="single"/>
        </w:rPr>
        <w:t>vibration</w:t>
      </w:r>
      <w:r>
        <w:rPr>
          <w:rFonts w:ascii="Calibri" w:hAnsi="Calibri" w:eastAsia="Calibri" w:cs="Calibri"/>
          <w:sz w:val="16"/>
          <w:szCs w:val="16"/>
        </w:rPr>
        <w:t xml:space="preserve">. The echo is a queer temporality-in the relay of affective information between and amid beings, the sequence of reflection, repetition, resound, and return (but with a difference, as in mimicry)-and brings forth waves of the future breaking into the present. Gayatri Spivak, prescient in drawing our attention to the multivalent tex- tuality of suicide in "Can the Subaltern Speak," reminds us in her latest ruminations that </w:t>
      </w:r>
      <w:r>
        <w:rPr>
          <w:rFonts w:ascii="Calibri" w:hAnsi="Calibri" w:eastAsia="Calibri" w:cs="Calibri"/>
          <w:u w:val="single"/>
        </w:rPr>
        <w:t>suicide terrorism is a modality of expression and communication for the subaltern (there is the radiation of heat, the stench of burning flesh, the impact of metal upon structures and the ground, the splattering of blood, body parts, skin</w:t>
      </w:r>
      <w:r>
        <w:rPr>
          <w:rFonts w:ascii="Calibri" w:hAnsi="Calibri" w:eastAsia="Calibri" w:cs="Calibri"/>
          <w:sz w:val="16"/>
          <w:szCs w:val="16"/>
        </w:rPr>
        <w:t xml:space="preserve">): Suicidal resistance is a message inscribed on the body when no other means will get through. </w:t>
      </w:r>
      <w:r>
        <w:rPr>
          <w:rFonts w:ascii="Calibri" w:hAnsi="Calibri" w:eastAsia="Calibri" w:cs="Calibri"/>
          <w:highlight w:val="green"/>
          <w:u w:val="single"/>
        </w:rPr>
        <w:t>It</w:t>
      </w:r>
      <w:r>
        <w:rPr>
          <w:rFonts w:ascii="Calibri" w:hAnsi="Calibri" w:eastAsia="Calibri" w:cs="Calibri"/>
          <w:u w:val="single"/>
        </w:rPr>
        <w:t xml:space="preserve"> i</w:t>
      </w:r>
      <w:r>
        <w:rPr>
          <w:rFonts w:ascii="Calibri" w:hAnsi="Calibri" w:eastAsia="Calibri" w:cs="Calibri"/>
          <w:highlight w:val="green"/>
          <w:u w:val="single"/>
        </w:rPr>
        <w:t>s</w:t>
      </w:r>
      <w:r>
        <w:rPr>
          <w:rFonts w:ascii="Calibri" w:hAnsi="Calibri" w:eastAsia="Calibri" w:cs="Calibri"/>
          <w:u w:val="single"/>
        </w:rPr>
        <w:t xml:space="preserve"> both </w:t>
      </w:r>
      <w:r>
        <w:rPr>
          <w:rFonts w:ascii="Calibri" w:hAnsi="Calibri" w:eastAsia="Calibri" w:cs="Calibri"/>
          <w:b/>
          <w:highlight w:val="green"/>
          <w:u w:val="single"/>
        </w:rPr>
        <w:t>execution and mourning, for both self and other</w:t>
      </w:r>
      <w:r>
        <w:rPr>
          <w:rFonts w:ascii="Times New Roman" w:hAnsi="Times New Roman" w:eastAsia="Times New Roman" w:cs="Times New Roman"/>
          <w:sz w:val="16"/>
          <w:szCs w:val="16"/>
        </w:rPr>
        <w:t xml:space="preserve">. </w:t>
      </w:r>
      <w:r>
        <w:rPr>
          <w:rFonts w:ascii="Calibri" w:hAnsi="Calibri" w:eastAsia="Calibri" w:cs="Calibri"/>
          <w:u w:val="single"/>
        </w:rPr>
        <w:t xml:space="preserve">For </w:t>
      </w:r>
      <w:r>
        <w:rPr>
          <w:rFonts w:ascii="Calibri" w:hAnsi="Calibri" w:eastAsia="Calibri" w:cs="Calibri"/>
          <w:b/>
          <w:highlight w:val="green"/>
          <w:u w:val="single"/>
        </w:rPr>
        <w:t>you die</w:t>
      </w:r>
      <w:r>
        <w:rPr>
          <w:rFonts w:ascii="Calibri" w:hAnsi="Calibri" w:eastAsia="Calibri" w:cs="Calibri"/>
          <w:b/>
          <w:u w:val="single"/>
        </w:rPr>
        <w:t xml:space="preserve"> with me </w:t>
      </w:r>
      <w:r>
        <w:rPr>
          <w:rFonts w:ascii="Calibri" w:hAnsi="Calibri" w:eastAsia="Calibri" w:cs="Calibri"/>
          <w:b/>
          <w:highlight w:val="green"/>
          <w:u w:val="single"/>
        </w:rPr>
        <w:t>for the same cause, no matter which side you are on</w:t>
      </w:r>
      <w:r>
        <w:rPr>
          <w:rFonts w:ascii="Calibri" w:hAnsi="Calibri" w:eastAsia="Calibri" w:cs="Calibri"/>
          <w:sz w:val="16"/>
          <w:szCs w:val="16"/>
        </w:rPr>
        <w:t xml:space="preserve">. Because no matter who you are, there are no designated killees in suicide bombing. No matter what side you are on, because I cannot talk to you, you won't respond to me, with the implication that there is no dishonor in such shared and innocent death. 36 </w:t>
      </w:r>
      <w:r>
        <w:rPr>
          <w:rFonts w:ascii="Calibri" w:hAnsi="Calibri" w:eastAsia="Calibri" w:cs="Calibri"/>
          <w:u w:val="single"/>
        </w:rPr>
        <w:t xml:space="preserve">We have the proposal that </w:t>
      </w:r>
      <w:r>
        <w:rPr>
          <w:rFonts w:ascii="Calibri" w:hAnsi="Calibri" w:eastAsia="Calibri" w:cs="Calibri"/>
          <w:b/>
          <w:highlight w:val="green"/>
          <w:u w:val="single"/>
        </w:rPr>
        <w:t>there are no sides</w:t>
      </w:r>
      <w:r>
        <w:rPr>
          <w:rFonts w:ascii="Calibri" w:hAnsi="Calibri" w:eastAsia="Calibri" w:cs="Calibri"/>
          <w:u w:val="single"/>
        </w:rPr>
        <w:t xml:space="preserve">, and that </w:t>
      </w:r>
      <w:r>
        <w:rPr>
          <w:rFonts w:ascii="Calibri" w:hAnsi="Calibri" w:eastAsia="Calibri" w:cs="Calibri"/>
          <w:highlight w:val="green"/>
          <w:u w:val="single"/>
        </w:rPr>
        <w:t>the sides are forever</w:t>
      </w:r>
      <w:r>
        <w:rPr>
          <w:rFonts w:ascii="Calibri" w:hAnsi="Calibri" w:eastAsia="Calibri" w:cs="Calibri"/>
          <w:u w:val="single"/>
        </w:rPr>
        <w:t xml:space="preserve"> shifting</w:t>
      </w:r>
      <w:r>
        <w:rPr>
          <w:rFonts w:ascii="Times New Roman" w:hAnsi="Times New Roman" w:eastAsia="Times New Roman" w:cs="Times New Roman"/>
          <w:u w:val="single"/>
        </w:rPr>
        <w:t xml:space="preserve">, </w:t>
      </w:r>
      <w:r>
        <w:rPr>
          <w:rFonts w:ascii="Calibri" w:hAnsi="Calibri" w:eastAsia="Calibri" w:cs="Calibri"/>
          <w:u w:val="single"/>
        </w:rPr>
        <w:t xml:space="preserve">crumpling, and </w:t>
      </w:r>
      <w:r>
        <w:rPr>
          <w:rFonts w:ascii="Calibri" w:hAnsi="Calibri" w:eastAsia="Calibri" w:cs="Calibri"/>
          <w:highlight w:val="green"/>
          <w:u w:val="single"/>
        </w:rPr>
        <w:t>multiplying</w:t>
      </w:r>
      <w:r>
        <w:rPr>
          <w:rFonts w:ascii="Times New Roman" w:hAnsi="Times New Roman" w:eastAsia="Times New Roman" w:cs="Times New Roman"/>
          <w:highlight w:val="green"/>
          <w:u w:val="single"/>
        </w:rPr>
        <w:t xml:space="preserve">, </w:t>
      </w:r>
      <w:r>
        <w:rPr>
          <w:rFonts w:ascii="Calibri" w:hAnsi="Calibri" w:eastAsia="Calibri" w:cs="Calibri"/>
          <w:highlight w:val="green"/>
          <w:u w:val="single"/>
        </w:rPr>
        <w:t>dis</w:t>
      </w:r>
      <w:r>
        <w:rPr>
          <w:rFonts w:ascii="Calibri" w:hAnsi="Calibri" w:eastAsia="Calibri" w:cs="Calibri"/>
          <w:u w:val="single"/>
        </w:rPr>
        <w:t>appearing</w:t>
      </w:r>
      <w:r>
        <w:rPr>
          <w:rFonts w:ascii="Times New Roman" w:hAnsi="Times New Roman" w:eastAsia="Times New Roman" w:cs="Times New Roman"/>
          <w:u w:val="single"/>
        </w:rPr>
        <w:t xml:space="preserve"> </w:t>
      </w:r>
      <w:r>
        <w:rPr>
          <w:rFonts w:ascii="Calibri" w:hAnsi="Calibri" w:eastAsia="Calibri" w:cs="Calibri"/>
          <w:highlight w:val="green"/>
          <w:u w:val="single"/>
        </w:rPr>
        <w:t>and reappearing</w:t>
      </w:r>
      <w:r>
        <w:rPr>
          <w:rFonts w:ascii="Times New Roman" w:hAnsi="Times New Roman" w:eastAsia="Times New Roman" w:cs="Times New Roman"/>
          <w:highlight w:val="green"/>
          <w:u w:val="single"/>
        </w:rPr>
        <w:t xml:space="preserve">, </w:t>
      </w:r>
      <w:r>
        <w:rPr>
          <w:rFonts w:ascii="Calibri" w:hAnsi="Calibri" w:eastAsia="Calibri" w:cs="Calibri"/>
          <w:highlight w:val="green"/>
          <w:u w:val="single"/>
        </w:rPr>
        <w:t xml:space="preserve">unable to </w:t>
      </w:r>
      <w:r>
        <w:rPr>
          <w:rFonts w:ascii="Calibri" w:hAnsi="Calibri" w:eastAsia="Calibri" w:cs="Calibri"/>
          <w:u w:val="single"/>
        </w:rPr>
        <w:t xml:space="preserve">satisfactorily </w:t>
      </w:r>
      <w:r>
        <w:rPr>
          <w:rFonts w:ascii="Calibri" w:hAnsi="Calibri" w:eastAsia="Calibri" w:cs="Calibri"/>
          <w:highlight w:val="green"/>
          <w:u w:val="single"/>
        </w:rPr>
        <w:t>delineate</w:t>
      </w:r>
      <w:r>
        <w:rPr>
          <w:rFonts w:ascii="Times New Roman" w:hAnsi="Times New Roman" w:eastAsia="Times New Roman" w:cs="Times New Roman"/>
          <w:highlight w:val="green"/>
          <w:u w:val="single"/>
        </w:rPr>
        <w:t xml:space="preserve"> </w:t>
      </w:r>
      <w:r>
        <w:rPr>
          <w:rFonts w:ascii="Calibri" w:hAnsi="Calibri" w:eastAsia="Calibri" w:cs="Calibri"/>
          <w:u w:val="single"/>
        </w:rPr>
        <w:t xml:space="preserve">between </w:t>
      </w:r>
      <w:r>
        <w:rPr>
          <w:rFonts w:ascii="Calibri" w:hAnsi="Calibri" w:eastAsia="Calibri" w:cs="Calibri"/>
          <w:highlight w:val="green"/>
          <w:u w:val="single"/>
        </w:rPr>
        <w:t>here and there</w:t>
      </w:r>
      <w:r>
        <w:rPr>
          <w:rFonts w:ascii="Times New Roman" w:hAnsi="Times New Roman" w:eastAsia="Times New Roman" w:cs="Times New Roman"/>
          <w:sz w:val="16"/>
          <w:szCs w:val="16"/>
          <w:highlight w:val="green"/>
        </w:rPr>
        <w:t xml:space="preserve">. </w:t>
      </w:r>
      <w:r>
        <w:rPr>
          <w:rFonts w:ascii="Calibri" w:hAnsi="Calibri" w:eastAsia="Calibri" w:cs="Calibri"/>
          <w:b/>
          <w:highlight w:val="green"/>
          <w:u w:val="single"/>
        </w:rPr>
        <w:t>The spatial collapse</w:t>
      </w:r>
      <w:r>
        <w:rPr>
          <w:rFonts w:ascii="Times New Roman" w:hAnsi="Times New Roman" w:eastAsia="Times New Roman" w:cs="Times New Roman"/>
          <w:highlight w:val="green"/>
          <w:u w:val="single"/>
        </w:rPr>
        <w:t xml:space="preserve"> </w:t>
      </w:r>
      <w:r>
        <w:rPr>
          <w:rFonts w:ascii="Calibri" w:hAnsi="Calibri" w:eastAsia="Calibri" w:cs="Calibri"/>
          <w:u w:val="single"/>
        </w:rPr>
        <w:t xml:space="preserve">of sides </w:t>
      </w:r>
      <w:r>
        <w:rPr>
          <w:rFonts w:ascii="Calibri" w:hAnsi="Calibri" w:eastAsia="Calibri" w:cs="Calibri"/>
          <w:highlight w:val="green"/>
          <w:u w:val="single"/>
        </w:rPr>
        <w:t>is due to the queer temporal interruption</w:t>
      </w:r>
      <w:r>
        <w:rPr>
          <w:rFonts w:ascii="Times New Roman" w:hAnsi="Times New Roman" w:eastAsia="Times New Roman" w:cs="Times New Roman"/>
          <w:highlight w:val="green"/>
          <w:u w:val="single"/>
        </w:rPr>
        <w:t xml:space="preserve"> </w:t>
      </w:r>
      <w:r>
        <w:rPr>
          <w:rFonts w:ascii="Calibri" w:hAnsi="Calibri" w:eastAsia="Calibri" w:cs="Calibri"/>
          <w:u w:val="single"/>
        </w:rPr>
        <w:t>of the suicide bomber, projectiles spewing every which way</w:t>
      </w:r>
      <w:r>
        <w:rPr>
          <w:rFonts w:ascii="Times New Roman" w:hAnsi="Times New Roman" w:eastAsia="Times New Roman" w:cs="Times New Roman"/>
          <w:sz w:val="16"/>
          <w:szCs w:val="16"/>
        </w:rPr>
        <w:t xml:space="preserve">. </w:t>
      </w:r>
      <w:r>
        <w:rPr>
          <w:rFonts w:ascii="Calibri" w:hAnsi="Calibri" w:eastAsia="Calibri" w:cs="Calibri"/>
          <w:highlight w:val="green"/>
          <w:u w:val="single"/>
        </w:rPr>
        <w:t>As a queer assemblage</w:t>
      </w:r>
      <w:r>
        <w:rPr>
          <w:rFonts w:ascii="Times New Roman" w:hAnsi="Times New Roman" w:eastAsia="Times New Roman" w:cs="Times New Roman"/>
          <w:sz w:val="16"/>
          <w:szCs w:val="16"/>
        </w:rPr>
        <w:t xml:space="preserve">- </w:t>
      </w:r>
      <w:r>
        <w:rPr>
          <w:rFonts w:ascii="Calibri" w:hAnsi="Calibri" w:eastAsia="Calibri" w:cs="Calibri"/>
          <w:u w:val="single"/>
        </w:rPr>
        <w:t>distinct from the queering of an</w:t>
      </w:r>
      <w:r>
        <w:rPr>
          <w:rFonts w:ascii="Calibri" w:hAnsi="Calibri" w:eastAsia="Calibri" w:cs="Calibri"/>
          <w:sz w:val="16"/>
          <w:szCs w:val="16"/>
        </w:rPr>
        <w:t xml:space="preserve"> entity or </w:t>
      </w:r>
      <w:r>
        <w:rPr>
          <w:rFonts w:ascii="Calibri" w:hAnsi="Calibri" w:eastAsia="Calibri" w:cs="Calibri"/>
          <w:b/>
          <w:highlight w:val="green"/>
          <w:u w:val="single"/>
        </w:rPr>
        <w:t>identity</w:t>
      </w:r>
      <w:r>
        <w:rPr>
          <w:rFonts w:ascii="Times New Roman" w:hAnsi="Times New Roman" w:eastAsia="Times New Roman" w:cs="Times New Roman"/>
          <w:sz w:val="16"/>
          <w:szCs w:val="16"/>
          <w:highlight w:val="green"/>
        </w:rPr>
        <w:t>-</w:t>
      </w:r>
      <w:r>
        <w:rPr>
          <w:rFonts w:ascii="Calibri" w:hAnsi="Calibri" w:eastAsia="Calibri" w:cs="Calibri"/>
          <w:sz w:val="16"/>
          <w:szCs w:val="16"/>
        </w:rPr>
        <w:t>race and sexuality are</w:t>
      </w:r>
      <w:r>
        <w:rPr>
          <w:rFonts w:ascii="Times New Roman" w:hAnsi="Times New Roman" w:eastAsia="Times New Roman" w:cs="Times New Roman"/>
          <w:u w:val="single"/>
        </w:rPr>
        <w:t xml:space="preserve"> </w:t>
      </w:r>
      <w:r>
        <w:rPr>
          <w:rFonts w:ascii="Calibri" w:hAnsi="Calibri" w:eastAsia="Calibri" w:cs="Calibri"/>
          <w:b/>
          <w:highlight w:val="green"/>
          <w:u w:val="single"/>
        </w:rPr>
        <w:t>denaturalized</w:t>
      </w:r>
      <w:r>
        <w:rPr>
          <w:rFonts w:ascii="Calibri" w:hAnsi="Calibri" w:eastAsia="Calibri" w:cs="Calibri"/>
          <w:u w:val="single"/>
        </w:rPr>
        <w:t xml:space="preserve"> through the impermanence, the transience of the suicide bomber, the fleeting identity replayed backward through its dissolution</w:t>
      </w:r>
      <w:r>
        <w:rPr>
          <w:rFonts w:ascii="Times New Roman" w:hAnsi="Times New Roman" w:eastAsia="Times New Roman" w:cs="Times New Roman"/>
          <w:sz w:val="16"/>
          <w:szCs w:val="16"/>
        </w:rPr>
        <w:t xml:space="preserve">. </w:t>
      </w:r>
      <w:r>
        <w:rPr>
          <w:rFonts w:ascii="Calibri" w:hAnsi="Calibri" w:eastAsia="Calibri" w:cs="Calibri"/>
          <w:b/>
          <w:highlight w:val="green"/>
          <w:u w:val="single"/>
        </w:rPr>
        <w:t>This dissolution of self into others and other into self</w:t>
      </w:r>
      <w:r>
        <w:rPr>
          <w:rFonts w:ascii="Calibri" w:hAnsi="Calibri" w:eastAsia="Calibri" w:cs="Calibri"/>
          <w:highlight w:val="green"/>
          <w:u w:val="single"/>
        </w:rPr>
        <w:t xml:space="preserve"> not only effaces the</w:t>
      </w:r>
      <w:r>
        <w:rPr>
          <w:rFonts w:ascii="Times New Roman" w:hAnsi="Times New Roman" w:eastAsia="Times New Roman" w:cs="Times New Roman"/>
          <w:u w:val="single"/>
        </w:rPr>
        <w:t xml:space="preserve"> </w:t>
      </w:r>
      <w:r>
        <w:rPr>
          <w:rFonts w:ascii="Calibri" w:hAnsi="Calibri" w:eastAsia="Calibri" w:cs="Calibri"/>
          <w:u w:val="single"/>
        </w:rPr>
        <w:t xml:space="preserve">absolute </w:t>
      </w:r>
      <w:r>
        <w:rPr>
          <w:rFonts w:ascii="Calibri" w:hAnsi="Calibri" w:eastAsia="Calibri" w:cs="Calibri"/>
          <w:highlight w:val="green"/>
          <w:u w:val="single"/>
        </w:rPr>
        <w:t xml:space="preserve">mark of self and others in </w:t>
      </w:r>
      <w:r>
        <w:rPr>
          <w:rFonts w:ascii="Calibri" w:hAnsi="Calibri" w:eastAsia="Calibri" w:cs="Calibri"/>
          <w:b/>
          <w:highlight w:val="green"/>
          <w:u w:val="single"/>
        </w:rPr>
        <w:t>the war on terror</w:t>
      </w:r>
      <w:r>
        <w:rPr>
          <w:rFonts w:ascii="Calibri" w:hAnsi="Calibri" w:eastAsia="Calibri" w:cs="Calibri"/>
          <w:highlight w:val="green"/>
          <w:u w:val="single"/>
        </w:rPr>
        <w:t xml:space="preserve">, but produces a systemic challenge to </w:t>
      </w:r>
      <w:r>
        <w:rPr>
          <w:rFonts w:ascii="Calibri" w:hAnsi="Calibri" w:eastAsia="Calibri" w:cs="Calibri"/>
          <w:u w:val="single"/>
        </w:rPr>
        <w:t>the entire order of Manichaean</w:t>
      </w:r>
      <w:r>
        <w:rPr>
          <w:rFonts w:ascii="Times New Roman" w:hAnsi="Times New Roman" w:eastAsia="Times New Roman" w:cs="Times New Roman"/>
          <w:highlight w:val="green"/>
          <w:u w:val="single"/>
        </w:rPr>
        <w:t xml:space="preserve"> </w:t>
      </w:r>
      <w:r>
        <w:rPr>
          <w:rFonts w:ascii="Calibri" w:hAnsi="Calibri" w:eastAsia="Calibri" w:cs="Calibri"/>
          <w:b/>
          <w:highlight w:val="green"/>
          <w:u w:val="single"/>
        </w:rPr>
        <w:t>rationality that organizes the rubric of good versus evil</w:t>
      </w:r>
      <w:r>
        <w:rPr>
          <w:rFonts w:ascii="Times New Roman" w:hAnsi="Times New Roman" w:eastAsia="Times New Roman" w:cs="Times New Roman"/>
          <w:u w:val="single"/>
        </w:rPr>
        <w:t>.</w:t>
      </w:r>
      <w:r>
        <w:rPr>
          <w:rFonts w:ascii="Calibri" w:hAnsi="Calibri" w:eastAsia="Calibri" w:cs="Calibri"/>
          <w:sz w:val="16"/>
          <w:szCs w:val="16"/>
        </w:rPr>
        <w:t xml:space="preserve"> Delivering "a message inscribed on the body when no other means will get through," suicide bombers do not transcend or claim the rational nor accept the demarcation of the irrational. Rather, they foreground the flawed temporal, spatial, and ontological pre- sumptions upon which such distinctions flourish. </w:t>
      </w:r>
      <w:r>
        <w:rPr>
          <w:rFonts w:ascii="Calibri" w:hAnsi="Calibri" w:eastAsia="Calibri" w:cs="Calibri"/>
          <w:highlight w:val="green"/>
          <w:u w:val="single"/>
        </w:rPr>
        <w:t>Organic and inorganic</w:t>
      </w:r>
      <w:r>
        <w:rPr>
          <w:rFonts w:ascii="Times New Roman" w:hAnsi="Times New Roman" w:eastAsia="Times New Roman" w:cs="Times New Roman"/>
          <w:highlight w:val="green"/>
          <w:u w:val="single"/>
        </w:rPr>
        <w:t xml:space="preserve">, </w:t>
      </w:r>
      <w:r>
        <w:rPr>
          <w:rFonts w:ascii="Calibri" w:hAnsi="Calibri" w:eastAsia="Calibri" w:cs="Calibri"/>
          <w:highlight w:val="green"/>
          <w:u w:val="single"/>
        </w:rPr>
        <w:t>flesh and machine</w:t>
      </w:r>
      <w:r>
        <w:rPr>
          <w:rFonts w:ascii="Calibri" w:hAnsi="Calibri" w:eastAsia="Calibri" w:cs="Calibri"/>
          <w:u w:val="single"/>
        </w:rPr>
        <w:t>, these wind up as important as (and perhaps as threatening) if not more so than the symbolism of the bomber and his or her defense or condemnation</w:t>
      </w:r>
      <w:r>
        <w:rPr>
          <w:rFonts w:ascii="Calibri" w:hAnsi="Calibri" w:eastAsia="Calibri" w:cs="Calibri"/>
          <w:sz w:val="16"/>
          <w:szCs w:val="16"/>
        </w:rPr>
        <w:t xml:space="preserve">. 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Amritdhari Sikh male (Le., turban and unshorn beard that signals baptized Sikhs), rendered (mistakenly?) as a (Muslim) suicide bomber, replete with dynamite through the vibrant pulsations of an iPod ad. Fully modern, animated through technologies of sound and explosives, this body does not operate solely or even primarily on the level of metaphor. Once again, to borrow from Mbembe, it is truly a ballistic body. </w:t>
      </w:r>
      <w:r>
        <w:rPr>
          <w:rFonts w:ascii="Calibri" w:hAnsi="Calibri" w:eastAsia="Calibri" w:cs="Calibri"/>
          <w:b/>
          <w:highlight w:val="green"/>
          <w:u w:val="single"/>
        </w:rPr>
        <w:t>Contagion</w:t>
      </w:r>
      <w:r>
        <w:rPr>
          <w:rFonts w:ascii="Times New Roman" w:hAnsi="Times New Roman" w:eastAsia="Times New Roman" w:cs="Times New Roman"/>
          <w:b/>
          <w:highlight w:val="green"/>
          <w:u w:val="single"/>
        </w:rPr>
        <w:t xml:space="preserve">, </w:t>
      </w:r>
      <w:r>
        <w:rPr>
          <w:rFonts w:ascii="Calibri" w:hAnsi="Calibri" w:eastAsia="Calibri" w:cs="Calibri"/>
          <w:b/>
          <w:highlight w:val="green"/>
          <w:u w:val="single"/>
        </w:rPr>
        <w:t>infection</w:t>
      </w:r>
      <w:r>
        <w:rPr>
          <w:rFonts w:ascii="Times New Roman" w:hAnsi="Times New Roman" w:eastAsia="Times New Roman" w:cs="Times New Roman"/>
          <w:b/>
          <w:highlight w:val="green"/>
          <w:u w:val="single"/>
        </w:rPr>
        <w:t xml:space="preserve">, </w:t>
      </w:r>
      <w:r>
        <w:rPr>
          <w:rFonts w:ascii="Calibri" w:hAnsi="Calibri" w:eastAsia="Calibri" w:cs="Calibri"/>
          <w:b/>
          <w:u w:val="single"/>
        </w:rPr>
        <w:t xml:space="preserve">and </w:t>
      </w:r>
      <w:r>
        <w:rPr>
          <w:rFonts w:ascii="Calibri" w:hAnsi="Calibri" w:eastAsia="Calibri" w:cs="Calibri"/>
          <w:b/>
          <w:highlight w:val="green"/>
          <w:u w:val="single"/>
        </w:rPr>
        <w:t>transmission reign, not meaning</w:t>
      </w:r>
      <w:r>
        <w:rPr>
          <w:rFonts w:ascii="Times New Roman" w:hAnsi="Times New Roman" w:eastAsia="Times New Roman" w:cs="Times New Roman"/>
          <w:u w:val="single"/>
        </w:rPr>
        <w:t>.</w:t>
      </w:r>
      <w:r>
        <w:rPr>
          <w:rFonts w:ascii="Times New Roman" w:hAnsi="Times New Roman" w:eastAsia="Times New Roman" w:cs="Times New Roman"/>
        </w:rPr>
        <w:t xml:space="preserve"> </w:t>
      </w:r>
    </w:p>
    <w:p xmlns:wp14="http://schemas.microsoft.com/office/word/2010/wordml" w:rsidR="00507555" w:rsidP="00507555" w:rsidRDefault="00507555" w14:paraId="66518E39" wp14:textId="77777777"/>
    <w:p xmlns:wp14="http://schemas.microsoft.com/office/word/2010/wordml" w:rsidRPr="004556FD" w:rsidR="00507555" w:rsidP="00507555" w:rsidRDefault="00507555" w14:paraId="0D2A6E09" wp14:textId="77777777">
      <w:pPr>
        <w:pStyle w:val="Heading3"/>
      </w:pPr>
      <w:r w:rsidRPr="004556FD">
        <w:lastRenderedPageBreak/>
        <w:t>A: Denizenry</w:t>
      </w:r>
    </w:p>
    <w:p xmlns:wp14="http://schemas.microsoft.com/office/word/2010/wordml" w:rsidR="00507555" w:rsidP="00507555" w:rsidRDefault="00507555" w14:paraId="7E75FCD0" wp14:textId="77777777">
      <w:pPr>
        <w:jc w:val="center"/>
      </w:pPr>
    </w:p>
    <w:p xmlns:wp14="http://schemas.microsoft.com/office/word/2010/wordml" w:rsidRPr="00E613D6" w:rsidR="00507555" w:rsidP="00507555" w:rsidRDefault="00507555" w14:paraId="31494DA0" wp14:textId="77777777">
      <w:pPr>
        <w:pStyle w:val="Heading4"/>
      </w:pPr>
      <w:r w:rsidRPr="00E613D6">
        <w:t xml:space="preserve">Reject the affirmative in favor of a tactics of Denizenry – only by abandoning notions of citizenship can we combat the state of exception.  </w:t>
      </w:r>
    </w:p>
    <w:p xmlns:wp14="http://schemas.microsoft.com/office/word/2010/wordml" w:rsidRPr="00E613D6" w:rsidR="00507555" w:rsidP="00507555" w:rsidRDefault="00507555" w14:paraId="2A240164" wp14:textId="77777777">
      <w:r w:rsidRPr="00E613D6">
        <w:t xml:space="preserve">*Edited for gendered language </w:t>
      </w:r>
    </w:p>
    <w:p xmlns:wp14="http://schemas.microsoft.com/office/word/2010/wordml" w:rsidRPr="00E613D6" w:rsidR="00507555" w:rsidP="00507555" w:rsidRDefault="00507555" w14:paraId="5791B93F" wp14:textId="77777777">
      <w:pPr>
        <w:rPr>
          <w:rFonts w:ascii="Calibri" w:hAnsi="Calibri" w:eastAsia="Calibri" w:cs="Calibri"/>
          <w:sz w:val="16"/>
        </w:rPr>
      </w:pPr>
      <w:r w:rsidRPr="00E613D6">
        <w:rPr>
          <w:rStyle w:val="Style13ptBold"/>
        </w:rPr>
        <w:t>Eyssens 2008</w:t>
      </w:r>
      <w:r w:rsidRPr="00E613D6">
        <w:rPr>
          <w:rFonts w:ascii="Calibri" w:hAnsi="Calibri" w:eastAsia="Calibri" w:cs="Calibri"/>
          <w:sz w:val="16"/>
        </w:rPr>
        <w:t xml:space="preserve"> [Terry, sessional tutor and lecturer at La Trobe University, Australia and at Federation University, Australia, “Democracy of the Civil Dead: The Blind Trade in Citizenship” Transformations, Vol. 16, 2008, Pp. 7-8, http://www.transformationsjournal.org/wp-content/uploads/2017/01/Eyssens_Transformations16.pdf]//KI </w:t>
      </w:r>
    </w:p>
    <w:p xmlns:wp14="http://schemas.microsoft.com/office/word/2010/wordml" w:rsidR="00507555" w:rsidP="00507555" w:rsidRDefault="00507555" w14:paraId="443DF41D" wp14:textId="77777777">
      <w:pPr>
        <w:rPr>
          <w:rFonts w:ascii="Calibri" w:hAnsi="Calibri" w:eastAsia="Calibri" w:cs="Calibri"/>
        </w:rPr>
      </w:pPr>
      <w:r>
        <w:rPr>
          <w:rFonts w:ascii="Calibri" w:hAnsi="Calibri" w:eastAsia="Calibri" w:cs="Calibri"/>
          <w:sz w:val="16"/>
          <w:szCs w:val="16"/>
        </w:rPr>
        <w:t xml:space="preserve">The denizenry: (exposure) </w:t>
      </w:r>
      <w:r>
        <w:rPr>
          <w:rFonts w:ascii="Calibri" w:hAnsi="Calibri" w:eastAsia="Calibri" w:cs="Calibri"/>
          <w:u w:val="single"/>
        </w:rPr>
        <w:t>As the most common and recognisable form of homo sacer and bare life</w:t>
      </w:r>
      <w:r>
        <w:rPr>
          <w:rFonts w:ascii="Calibri" w:hAnsi="Calibri" w:eastAsia="Calibri" w:cs="Calibri"/>
          <w:sz w:val="16"/>
          <w:szCs w:val="16"/>
        </w:rPr>
        <w:t xml:space="preserve">, Agamben sees </w:t>
      </w:r>
      <w:r>
        <w:rPr>
          <w:rFonts w:ascii="Calibri" w:hAnsi="Calibri" w:eastAsia="Calibri" w:cs="Calibri"/>
          <w:u w:val="single"/>
        </w:rPr>
        <w:t>the refugee as “the central figure of our political history”</w:t>
      </w:r>
      <w:r>
        <w:rPr>
          <w:rFonts w:ascii="Calibri" w:hAnsi="Calibri" w:eastAsia="Calibri" w:cs="Calibri"/>
          <w:sz w:val="16"/>
          <w:szCs w:val="16"/>
        </w:rPr>
        <w:t xml:space="preserve"> (Means Without End 22). As such, he argues that </w:t>
      </w:r>
      <w:r>
        <w:rPr>
          <w:rFonts w:ascii="Calibri" w:hAnsi="Calibri" w:eastAsia="Calibri" w:cs="Calibri"/>
          <w:u w:val="single"/>
        </w:rPr>
        <w:t>the increase of people who “are no longer representable inside the nation-state” threatens its very foundations</w:t>
      </w:r>
      <w:r>
        <w:rPr>
          <w:rFonts w:ascii="Calibri" w:hAnsi="Calibri" w:eastAsia="Calibri" w:cs="Calibri"/>
          <w:sz w:val="16"/>
          <w:szCs w:val="16"/>
        </w:rPr>
        <w:t xml:space="preserve"> (21-22). He writes that, </w:t>
      </w:r>
      <w:r>
        <w:rPr>
          <w:rFonts w:ascii="Calibri" w:hAnsi="Calibri" w:eastAsia="Calibri" w:cs="Calibri"/>
          <w:u w:val="single"/>
        </w:rPr>
        <w:t xml:space="preserve">industrialized countries face ... a permanently resident mass of non-citizens who </w:t>
      </w:r>
      <w:r>
        <w:rPr>
          <w:rFonts w:ascii="Calibri" w:hAnsi="Calibri" w:eastAsia="Calibri" w:cs="Calibri"/>
          <w:b/>
          <w:u w:val="single"/>
        </w:rPr>
        <w:t>do not want to be and cannot be either naturalized or repatriated</w:t>
      </w:r>
      <w:r>
        <w:rPr>
          <w:rFonts w:ascii="Calibri" w:hAnsi="Calibri" w:eastAsia="Calibri" w:cs="Calibri"/>
          <w:sz w:val="16"/>
          <w:szCs w:val="16"/>
        </w:rPr>
        <w:t>. These non-citizens often have nationalities of origin, but, inasmuch as they prefer not to benefit from their own states’ protection, they find themselves as refugees, in a condition of de facto statelessness ... “denizens” (Means Without End 23). Agamben argues that, as a neologism, “</w:t>
      </w:r>
      <w:r>
        <w:rPr>
          <w:rFonts w:ascii="Calibri" w:hAnsi="Calibri" w:eastAsia="Calibri" w:cs="Calibri"/>
          <w:u w:val="single"/>
        </w:rPr>
        <w:t>denizens” “has the merit of showing how the concept of citizen is no longer adequate for describing the socio-political reality of modern states</w:t>
      </w:r>
      <w:r>
        <w:rPr>
          <w:rFonts w:ascii="Calibri" w:hAnsi="Calibri" w:eastAsia="Calibri" w:cs="Calibri"/>
          <w:sz w:val="16"/>
          <w:szCs w:val="16"/>
        </w:rPr>
        <w:t xml:space="preserve">” (23) [17]. He then expands on the theme, </w:t>
      </w:r>
      <w:r>
        <w:rPr>
          <w:rFonts w:ascii="Calibri" w:hAnsi="Calibri" w:eastAsia="Calibri" w:cs="Calibri"/>
          <w:u w:val="single"/>
        </w:rPr>
        <w:t>beyond the situation in which statelessness is</w:t>
      </w:r>
      <w:r>
        <w:rPr>
          <w:rFonts w:ascii="Calibri" w:hAnsi="Calibri" w:eastAsia="Calibri" w:cs="Calibri"/>
          <w:sz w:val="16"/>
          <w:szCs w:val="16"/>
        </w:rPr>
        <w:t xml:space="preserve"> imposed or, in other ways </w:t>
      </w:r>
      <w:r>
        <w:rPr>
          <w:rFonts w:ascii="Calibri" w:hAnsi="Calibri" w:eastAsia="Calibri" w:cs="Calibri"/>
          <w:u w:val="single"/>
        </w:rPr>
        <w:t>involuntary</w:t>
      </w:r>
      <w:r>
        <w:rPr>
          <w:rFonts w:ascii="Calibri" w:hAnsi="Calibri" w:eastAsia="Calibri" w:cs="Calibri"/>
          <w:sz w:val="16"/>
          <w:szCs w:val="16"/>
        </w:rPr>
        <w:t>, to that in which</w:t>
      </w:r>
      <w:r>
        <w:rPr>
          <w:rFonts w:ascii="Times New Roman" w:hAnsi="Times New Roman" w:eastAsia="Times New Roman" w:cs="Times New Roman"/>
          <w:u w:val="single"/>
        </w:rPr>
        <w:t xml:space="preserve"> </w:t>
      </w:r>
      <w:r>
        <w:rPr>
          <w:rFonts w:ascii="Calibri" w:hAnsi="Calibri" w:eastAsia="Calibri" w:cs="Calibri"/>
          <w:b/>
          <w:u w:val="single"/>
        </w:rPr>
        <w:t>citizens effectively opt out (or desert from) constitutional political participation</w:t>
      </w:r>
      <w:r>
        <w:rPr>
          <w:rFonts w:ascii="Calibri" w:hAnsi="Calibri" w:eastAsia="Calibri" w:cs="Calibri"/>
          <w:sz w:val="16"/>
          <w:szCs w:val="16"/>
        </w:rPr>
        <w:t xml:space="preserve">. He writes that these </w:t>
      </w:r>
      <w:r>
        <w:rPr>
          <w:rFonts w:ascii="Calibri" w:hAnsi="Calibri" w:eastAsia="Calibri" w:cs="Calibri"/>
          <w:u w:val="single"/>
        </w:rPr>
        <w:t>people show “ an evident propensity to turn into denizens, into noncitizen permanent residents</w:t>
      </w:r>
      <w:r>
        <w:rPr>
          <w:rFonts w:ascii="Calibri" w:hAnsi="Calibri" w:eastAsia="Calibri" w:cs="Calibri"/>
          <w:sz w:val="16"/>
          <w:szCs w:val="16"/>
        </w:rPr>
        <w:t xml:space="preserve">” (23). Criticism of Agamben’s work has focused on the idea that the state of exception “invests all structures of power and eradicates any experience and definition of democracy” (Negri) and on the unrealistic “bifurcation of the population into two halves: political beings and bare life” (Ong 22). Ong argues that “in this rigid binary opposition, Agamben seems to preclude the possibility of non-rights mediation or complex distinctions that can buttress claims for moral protection and legitimacy” (23). However, in the figure of the denizen, we do not find this bifurcation. </w:t>
      </w:r>
      <w:r>
        <w:rPr>
          <w:rFonts w:ascii="Calibri" w:hAnsi="Calibri" w:eastAsia="Calibri" w:cs="Calibri"/>
          <w:u w:val="single"/>
        </w:rPr>
        <w:t>[They are] She is a political being inhabiting (at least some of) the conditions of bare life</w:t>
      </w:r>
      <w:r>
        <w:rPr>
          <w:rFonts w:ascii="Calibri" w:hAnsi="Calibri" w:eastAsia="Calibri" w:cs="Calibri"/>
          <w:sz w:val="16"/>
          <w:szCs w:val="16"/>
        </w:rPr>
        <w:t xml:space="preserve">. And the stance of the denizen seems to include the possibility of “non-rights mediation.” </w:t>
      </w:r>
      <w:r>
        <w:rPr>
          <w:rFonts w:ascii="Calibri" w:hAnsi="Calibri" w:eastAsia="Calibri" w:cs="Calibri"/>
          <w:u w:val="single"/>
        </w:rPr>
        <w:t>The denizen</w:t>
      </w:r>
      <w:r>
        <w:rPr>
          <w:rFonts w:ascii="Calibri" w:hAnsi="Calibri" w:eastAsia="Calibri" w:cs="Calibri"/>
          <w:sz w:val="16"/>
          <w:szCs w:val="16"/>
        </w:rPr>
        <w:t xml:space="preserve"> can also be seen as an example of how, as Negri has noted, Agamben’s analysis “</w:t>
      </w:r>
      <w:r>
        <w:rPr>
          <w:rFonts w:ascii="Calibri" w:hAnsi="Calibri" w:eastAsia="Calibri" w:cs="Calibri"/>
          <w:b/>
          <w:u w:val="single"/>
        </w:rPr>
        <w:t>can be realist and revolutionary</w:t>
      </w:r>
      <w:r>
        <w:rPr>
          <w:rFonts w:ascii="Calibri" w:hAnsi="Calibri" w:eastAsia="Calibri" w:cs="Calibri"/>
          <w:sz w:val="16"/>
          <w:szCs w:val="16"/>
        </w:rPr>
        <w:t xml:space="preserve">” (The Ripe Fruit of Redemption). Still, there are limitations. The denizen’s conscious or unconscious acceptance of the exposure of a state of exception, and the ban, and a refusal of the enclosure of laws, rights and citizenship could not be said to inhabit a realm of “political life” (as Arendt would have it). This acceptance, as residing in consciousness (or unconsciousness), does not amount to political action. However, if the figure of the denizen contains the possibility of the adoption – the taking up of a political position – of exposure, exception and the ban and of the refusal of enclosure in the laws, rights and citizenship inscribed into the state order, the possibility for a different “experience and definition” of democracy could be opened. </w:t>
      </w:r>
      <w:r>
        <w:rPr>
          <w:rFonts w:ascii="Calibri" w:hAnsi="Calibri" w:eastAsia="Calibri" w:cs="Calibri"/>
          <w:u w:val="single"/>
        </w:rPr>
        <w:t xml:space="preserve">How long will it be before </w:t>
      </w:r>
      <w:r>
        <w:rPr>
          <w:rFonts w:ascii="Calibri" w:hAnsi="Calibri" w:eastAsia="Calibri" w:cs="Calibri"/>
          <w:b/>
          <w:u w:val="single"/>
        </w:rPr>
        <w:t>citizens more deliberately renounce citizenship</w:t>
      </w:r>
      <w:r>
        <w:rPr>
          <w:rFonts w:ascii="Calibri" w:hAnsi="Calibri" w:eastAsia="Calibri" w:cs="Calibri"/>
          <w:u w:val="single"/>
        </w:rPr>
        <w:t xml:space="preserve"> of their countries of birth, </w:t>
      </w:r>
      <w:r>
        <w:rPr>
          <w:rFonts w:ascii="Calibri" w:hAnsi="Calibri" w:eastAsia="Calibri" w:cs="Calibri"/>
          <w:b/>
          <w:u w:val="single"/>
        </w:rPr>
        <w:t>to become conscious denizens</w:t>
      </w:r>
      <w:r>
        <w:rPr>
          <w:rFonts w:ascii="Calibri" w:hAnsi="Calibri" w:eastAsia="Calibri" w:cs="Calibri"/>
          <w:u w:val="single"/>
        </w:rPr>
        <w:t>, because states of exception and the suspension or denial of civil rights has rendered being a citizen of that state meaningless? Until now the act of denying citizenship of a state to certain native born residents has been exercised only by states</w:t>
      </w:r>
      <w:r>
        <w:rPr>
          <w:rFonts w:ascii="Calibri" w:hAnsi="Calibri" w:eastAsia="Calibri" w:cs="Calibri"/>
          <w:sz w:val="16"/>
          <w:szCs w:val="16"/>
        </w:rPr>
        <w:t xml:space="preserve">. Agamben claims that </w:t>
      </w:r>
      <w:r>
        <w:rPr>
          <w:rFonts w:ascii="Calibri" w:hAnsi="Calibri" w:eastAsia="Calibri" w:cs="Calibri"/>
          <w:u w:val="single"/>
        </w:rPr>
        <w:t>the refugee, in “breaking the identity between the human and the citizen and ... between nativity and nationality ... brings the originary fiction of sovereignty to crisis</w:t>
      </w:r>
      <w:r>
        <w:rPr>
          <w:rFonts w:ascii="Calibri" w:hAnsi="Calibri" w:eastAsia="Calibri" w:cs="Calibri"/>
          <w:sz w:val="16"/>
          <w:szCs w:val="16"/>
        </w:rPr>
        <w:t>” (21). If this is so, what then would the presence of deliberate denizens – who inhabit a legal space like that of the refugee and who refuse the refuge of their “own” state’s laws and rights – mean for the integrity of the state? T</w:t>
      </w:r>
      <w:r>
        <w:rPr>
          <w:rFonts w:ascii="Calibri" w:hAnsi="Calibri" w:eastAsia="Calibri" w:cs="Calibri"/>
          <w:u w:val="single"/>
        </w:rPr>
        <w:t>he presence of large groups of “rights rejecters” within the state would firstly reduce the efficacy of anything like a blind trade. The state would need to either present or force through exceptional measures without pleas and appeals to the security of a contract, or would have to abandon them.</w:t>
      </w:r>
      <w:r>
        <w:rPr>
          <w:rFonts w:ascii="Calibri" w:hAnsi="Calibri" w:eastAsia="Calibri" w:cs="Calibri"/>
          <w:sz w:val="16"/>
          <w:szCs w:val="16"/>
        </w:rPr>
        <w:t xml:space="preserve"> Regardless of the possible strategies of governments in response to such a situation, </w:t>
      </w:r>
      <w:r>
        <w:rPr>
          <w:rFonts w:ascii="Calibri" w:hAnsi="Calibri" w:eastAsia="Calibri" w:cs="Calibri"/>
          <w:b/>
          <w:u w:val="single"/>
        </w:rPr>
        <w:t>the denizen contains the potential to change a political situation</w:t>
      </w:r>
      <w:r>
        <w:rPr>
          <w:rFonts w:ascii="Calibri" w:hAnsi="Calibri" w:eastAsia="Calibri" w:cs="Calibri"/>
          <w:sz w:val="16"/>
          <w:szCs w:val="16"/>
        </w:rPr>
        <w:t xml:space="preserve"> – whether they represent a ruinous rupture in the political fabric, or whether they represent a new kind of bug that a state has to learn how to swat. This question cannot be answered until, or unless, or if, enough denizens take such a stance. If nothing else, </w:t>
      </w:r>
      <w:r>
        <w:rPr>
          <w:rFonts w:ascii="Calibri" w:hAnsi="Calibri" w:eastAsia="Calibri" w:cs="Calibri"/>
          <w:u w:val="single"/>
        </w:rPr>
        <w:t>to consciously take up a position of exposure and the ban is to embrace the possibility of inscribing a political life as “being open to all, free” in such a way that</w:t>
      </w:r>
      <w:r>
        <w:rPr>
          <w:rFonts w:ascii="Calibri" w:hAnsi="Calibri" w:eastAsia="Calibri" w:cs="Calibri"/>
          <w:sz w:val="16"/>
          <w:szCs w:val="16"/>
        </w:rPr>
        <w:t xml:space="preserve"> (as with the medieval outlaw) </w:t>
      </w:r>
      <w:r>
        <w:rPr>
          <w:rFonts w:ascii="Calibri" w:hAnsi="Calibri" w:eastAsia="Calibri" w:cs="Calibri"/>
          <w:u w:val="single"/>
        </w:rPr>
        <w:lastRenderedPageBreak/>
        <w:t>the state is opened up to contestation. To invoke the denizen as a notion of political life and activity is not to call for a return to or “recreation</w:t>
      </w:r>
      <w:r>
        <w:rPr>
          <w:rFonts w:ascii="Calibri" w:hAnsi="Calibri" w:eastAsia="Calibri" w:cs="Calibri"/>
          <w:sz w:val="16"/>
          <w:szCs w:val="16"/>
        </w:rPr>
        <w:t xml:space="preserve">” of the classical Greek ideal </w:t>
      </w:r>
      <w:r>
        <w:rPr>
          <w:rFonts w:ascii="Calibri" w:hAnsi="Calibri" w:eastAsia="Calibri" w:cs="Calibri"/>
          <w:u w:val="single"/>
        </w:rPr>
        <w:t>of “life devoted to matters of the polis</w:t>
      </w:r>
      <w:r>
        <w:rPr>
          <w:rFonts w:ascii="Calibri" w:hAnsi="Calibri" w:eastAsia="Calibri" w:cs="Calibri"/>
          <w:sz w:val="16"/>
          <w:szCs w:val="16"/>
        </w:rPr>
        <w:t xml:space="preserve">” (Arendt, The Human Condition 13). </w:t>
      </w:r>
      <w:r>
        <w:rPr>
          <w:rFonts w:ascii="Calibri" w:hAnsi="Calibri" w:eastAsia="Calibri" w:cs="Calibri"/>
          <w:u w:val="single"/>
        </w:rPr>
        <w:t>Such “retrospective consciousness of a lost archaic community” is of an ideal community that</w:t>
      </w:r>
      <w:r>
        <w:rPr>
          <w:rFonts w:ascii="Calibri" w:hAnsi="Calibri" w:eastAsia="Calibri" w:cs="Calibri"/>
          <w:sz w:val="16"/>
          <w:szCs w:val="16"/>
        </w:rPr>
        <w:t xml:space="preserve"> “has never taken place along the lines of our projections” (Nancy 10-11). And so, </w:t>
      </w:r>
      <w:r>
        <w:rPr>
          <w:rFonts w:ascii="Calibri" w:hAnsi="Calibri" w:eastAsia="Calibri" w:cs="Calibri"/>
          <w:u w:val="single"/>
        </w:rPr>
        <w:t>it’s impossible</w:t>
      </w:r>
      <w:r>
        <w:rPr>
          <w:rFonts w:ascii="Calibri" w:hAnsi="Calibri" w:eastAsia="Calibri" w:cs="Calibri"/>
          <w:sz w:val="16"/>
          <w:szCs w:val="16"/>
        </w:rPr>
        <w:t xml:space="preserve">. Jean-Luc Nancy argues that </w:t>
      </w:r>
      <w:r>
        <w:rPr>
          <w:rFonts w:ascii="Calibri" w:hAnsi="Calibri" w:eastAsia="Calibri" w:cs="Calibri"/>
          <w:u w:val="single"/>
        </w:rPr>
        <w:t>such an ideal repeats the mistake of “the thinking of community as essence” which is effectively “the closure of the political,” rather than thinking of a “being in common” as exposure, openness and sharing</w:t>
      </w:r>
      <w:r>
        <w:rPr>
          <w:rFonts w:ascii="Calibri" w:hAnsi="Calibri" w:eastAsia="Calibri" w:cs="Calibri"/>
          <w:sz w:val="16"/>
          <w:szCs w:val="16"/>
        </w:rPr>
        <w:t xml:space="preserve"> (xxxviii). For Nancy, this “</w:t>
      </w:r>
      <w:r>
        <w:rPr>
          <w:rFonts w:ascii="Calibri" w:hAnsi="Calibri" w:eastAsia="Calibri" w:cs="Calibri"/>
          <w:u w:val="single"/>
        </w:rPr>
        <w:t>being in common means ... no longer having, in any form, in any empirical or ideal place ... a substantial identity and sharing this ... “lack of identity</w:t>
      </w:r>
      <w:r>
        <w:rPr>
          <w:rFonts w:ascii="Calibri" w:hAnsi="Calibri" w:eastAsia="Calibri" w:cs="Calibri"/>
          <w:sz w:val="16"/>
          <w:szCs w:val="16"/>
        </w:rPr>
        <w:t xml:space="preserve">” ” (xxxviii). </w:t>
      </w:r>
      <w:r>
        <w:rPr>
          <w:rFonts w:ascii="Calibri" w:hAnsi="Calibri" w:eastAsia="Calibri" w:cs="Calibri"/>
          <w:b/>
          <w:u w:val="single"/>
        </w:rPr>
        <w:t>The denizen is a political being without a political identity.</w:t>
      </w:r>
      <w:r>
        <w:rPr>
          <w:rFonts w:ascii="Calibri" w:hAnsi="Calibri" w:eastAsia="Calibri" w:cs="Calibri"/>
          <w:sz w:val="16"/>
          <w:szCs w:val="16"/>
        </w:rPr>
        <w:t xml:space="preserve"> That is, </w:t>
      </w:r>
      <w:r>
        <w:rPr>
          <w:rFonts w:ascii="Calibri" w:hAnsi="Calibri" w:eastAsia="Calibri" w:cs="Calibri"/>
          <w:u w:val="single"/>
        </w:rPr>
        <w:t xml:space="preserve">without an identity associated with a (closed) community or state. “The denizenry” is “being in common” rather than a “being in essence.” The invocation of the denizen is not to invoke the polis as a physical location or ideal community but as “being in common of acting, speaking and sharing and, as a response to </w:t>
      </w:r>
      <w:r>
        <w:rPr>
          <w:rFonts w:ascii="Calibri" w:hAnsi="Calibri" w:eastAsia="Calibri" w:cs="Calibri"/>
          <w:b/>
          <w:u w:val="single"/>
        </w:rPr>
        <w:t>the call to “be a polis</w:t>
      </w:r>
      <w:r>
        <w:rPr>
          <w:rFonts w:ascii="Calibri" w:hAnsi="Calibri" w:eastAsia="Calibri" w:cs="Calibri"/>
          <w:sz w:val="16"/>
          <w:szCs w:val="16"/>
        </w:rPr>
        <w:t xml:space="preserve">” (Arendt, The Human Condition 198). In a similar way, the invocation can be understood as a response to an understanding of the word “democracy,” of which we are “legatees,” and which has been “addressed to us for centuries” (Derrida 8-9), and under which political life is more than merely holding rights or opinions. This understanding cannot but reject the existence of a blind trade. </w:t>
      </w:r>
      <w:r>
        <w:rPr>
          <w:rFonts w:ascii="Calibri" w:hAnsi="Calibri" w:eastAsia="Calibri" w:cs="Calibri"/>
          <w:u w:val="single"/>
        </w:rPr>
        <w:t xml:space="preserve">In recognising the blind trade as a means of keeping citizens enclosed in the reciprocal illusion of the social contract and as a veil behind which the </w:t>
      </w:r>
      <w:r>
        <w:rPr>
          <w:rFonts w:ascii="Calibri" w:hAnsi="Calibri" w:eastAsia="Calibri" w:cs="Calibri"/>
          <w:b/>
          <w:u w:val="single"/>
        </w:rPr>
        <w:t>state of exception</w:t>
      </w:r>
      <w:r>
        <w:rPr>
          <w:rFonts w:ascii="Calibri" w:hAnsi="Calibri" w:eastAsia="Calibri" w:cs="Calibri"/>
          <w:u w:val="single"/>
        </w:rPr>
        <w:t xml:space="preserve"> and </w:t>
      </w:r>
      <w:r>
        <w:rPr>
          <w:rFonts w:ascii="Calibri" w:hAnsi="Calibri" w:eastAsia="Calibri" w:cs="Calibri"/>
          <w:b/>
          <w:u w:val="single"/>
        </w:rPr>
        <w:t>bare life</w:t>
      </w:r>
      <w:r>
        <w:rPr>
          <w:rFonts w:ascii="Calibri" w:hAnsi="Calibri" w:eastAsia="Calibri" w:cs="Calibri"/>
          <w:u w:val="single"/>
        </w:rPr>
        <w:t xml:space="preserve"> can become more prevalent, </w:t>
      </w:r>
      <w:r>
        <w:rPr>
          <w:rFonts w:ascii="Calibri" w:hAnsi="Calibri" w:eastAsia="Calibri" w:cs="Calibri"/>
          <w:b/>
          <w:u w:val="single"/>
        </w:rPr>
        <w:t>we open the way for its rejection</w:t>
      </w:r>
      <w:r>
        <w:rPr>
          <w:rFonts w:ascii="Calibri" w:hAnsi="Calibri" w:eastAsia="Calibri" w:cs="Calibri"/>
          <w:u w:val="single"/>
        </w:rPr>
        <w:t>. This rejection is a gesture on the way to taking up a position of exposure, which can be understood as a position which opens towards a “being in common” or a “community without community”</w:t>
      </w:r>
      <w:r>
        <w:rPr>
          <w:rFonts w:ascii="Calibri" w:hAnsi="Calibri" w:eastAsia="Calibri" w:cs="Calibri"/>
          <w:sz w:val="16"/>
          <w:szCs w:val="16"/>
        </w:rPr>
        <w:t xml:space="preserve"> (Nancy 71) or a even a “democracy to come” (Derrida 8). </w:t>
      </w:r>
      <w:r>
        <w:rPr>
          <w:rFonts w:ascii="Calibri" w:hAnsi="Calibri" w:eastAsia="Calibri" w:cs="Calibri"/>
          <w:u w:val="single"/>
        </w:rPr>
        <w:t xml:space="preserve">The denizen allows us to </w:t>
      </w:r>
      <w:r>
        <w:rPr>
          <w:rFonts w:ascii="Calibri" w:hAnsi="Calibri" w:eastAsia="Calibri" w:cs="Calibri"/>
          <w:b/>
          <w:u w:val="single"/>
        </w:rPr>
        <w:t>imagine the possibility to engage in political action</w:t>
      </w:r>
      <w:r>
        <w:rPr>
          <w:rFonts w:ascii="Calibri" w:hAnsi="Calibri" w:eastAsia="Calibri" w:cs="Calibri"/>
          <w:u w:val="single"/>
        </w:rPr>
        <w:t xml:space="preserve"> and activity as one might in a polis, without the enclosure of rights and identity that are inscribed in our received liberal</w:t>
      </w:r>
      <w:r>
        <w:rPr>
          <w:rFonts w:ascii="Calibri" w:hAnsi="Calibri" w:eastAsia="Calibri" w:cs="Calibri"/>
          <w:sz w:val="16"/>
          <w:szCs w:val="16"/>
        </w:rPr>
        <w:t xml:space="preserve"> and classical </w:t>
      </w:r>
      <w:r>
        <w:rPr>
          <w:rFonts w:ascii="Calibri" w:hAnsi="Calibri" w:eastAsia="Calibri" w:cs="Calibri"/>
          <w:u w:val="single"/>
        </w:rPr>
        <w:t>notions. In the figure of the denizen is the possibility to be a polis. The denizen opens the way for a response to the erosion of civil rights in liberal democracies that does not rely on the logic that makes that erosion possible.</w:t>
      </w:r>
      <w:r>
        <w:rPr>
          <w:rFonts w:ascii="Calibri" w:hAnsi="Calibri" w:eastAsia="Calibri" w:cs="Calibri"/>
        </w:rPr>
        <w:t xml:space="preserve"> </w:t>
      </w:r>
    </w:p>
    <w:p xmlns:wp14="http://schemas.microsoft.com/office/word/2010/wordml" w:rsidR="00507555" w:rsidP="00507555" w:rsidRDefault="00507555" w14:paraId="10FDAA0E" wp14:textId="77777777"/>
    <w:p xmlns:wp14="http://schemas.microsoft.com/office/word/2010/wordml" w:rsidR="00507555" w:rsidP="00507555" w:rsidRDefault="00507555" w14:paraId="0C0B0DF6" wp14:textId="77777777">
      <w:pPr>
        <w:pStyle w:val="Heading3"/>
      </w:pPr>
      <w:r>
        <w:lastRenderedPageBreak/>
        <w:t>A: Refugee</w:t>
      </w:r>
    </w:p>
    <w:p xmlns:wp14="http://schemas.microsoft.com/office/word/2010/wordml" w:rsidR="00507555" w:rsidP="00507555" w:rsidRDefault="00507555" w14:paraId="774AF2BF" wp14:textId="77777777">
      <w:pPr>
        <w:jc w:val="center"/>
      </w:pPr>
    </w:p>
    <w:p xmlns:wp14="http://schemas.microsoft.com/office/word/2010/wordml" w:rsidR="00507555" w:rsidP="00507555" w:rsidRDefault="00507555" w14:paraId="7A292896" wp14:textId="77777777">
      <w:pPr>
        <w:jc w:val="center"/>
      </w:pPr>
    </w:p>
    <w:p xmlns:wp14="http://schemas.microsoft.com/office/word/2010/wordml" w:rsidR="00507555" w:rsidP="00507555" w:rsidRDefault="00507555" w14:paraId="78F97718" wp14:textId="77777777">
      <w:pPr>
        <w:pStyle w:val="Heading4"/>
        <w:rPr>
          <w:rFonts w:eastAsia="Calibri"/>
        </w:rPr>
      </w:pPr>
      <w:r>
        <w:rPr>
          <w:rFonts w:eastAsia="Calibri"/>
        </w:rPr>
        <w:t>The alternative is to embrace the figure of the refugee in order to throw the related fictions of sovereignty, rights, and citizenship into crisis.</w:t>
      </w:r>
    </w:p>
    <w:p xmlns:wp14="http://schemas.microsoft.com/office/word/2010/wordml" w:rsidRPr="008A3472" w:rsidR="00507555" w:rsidP="00507555" w:rsidRDefault="00507555" w14:paraId="50D9F4E5" wp14:textId="77777777">
      <w:r w:rsidRPr="008A3472">
        <w:t xml:space="preserve">*Edited for gendered language </w:t>
      </w:r>
    </w:p>
    <w:p xmlns:wp14="http://schemas.microsoft.com/office/word/2010/wordml" w:rsidR="00507555" w:rsidP="00507555" w:rsidRDefault="00507555" w14:paraId="60786405" wp14:textId="77777777">
      <w:pPr>
        <w:rPr>
          <w:rFonts w:ascii="Calibri" w:hAnsi="Calibri" w:eastAsia="Calibri" w:cs="Calibri"/>
        </w:rPr>
      </w:pPr>
      <w:r w:rsidRPr="008A3472">
        <w:rPr>
          <w:rStyle w:val="Style13ptBold"/>
        </w:rPr>
        <w:t>Agamben 96</w:t>
      </w:r>
      <w:r>
        <w:rPr>
          <w:rFonts w:ascii="Calibri" w:hAnsi="Calibri" w:eastAsia="Calibri" w:cs="Calibri"/>
          <w:b/>
          <w:sz w:val="26"/>
          <w:szCs w:val="26"/>
        </w:rPr>
        <w:t xml:space="preserve"> </w:t>
      </w:r>
      <w:r>
        <w:rPr>
          <w:rFonts w:ascii="Calibri" w:hAnsi="Calibri" w:eastAsia="Calibri" w:cs="Calibri"/>
        </w:rPr>
        <w:t xml:space="preserve">[Agamben, Giorgio, Professor at the University of Verona, “Beyond Human rights” in P. Virno and M. Hardt, eds. Radical Politics in Italy: A Potential Politics. Minneapolis: University of Minnesota Press, 1996]//KI </w:t>
      </w:r>
    </w:p>
    <w:p xmlns:wp14="http://schemas.microsoft.com/office/word/2010/wordml" w:rsidR="00507555" w:rsidP="00507555" w:rsidRDefault="00507555" w14:paraId="29D6B04F" wp14:textId="77777777">
      <w:r>
        <w:t xml:space="preserve"> </w:t>
      </w:r>
    </w:p>
    <w:p xmlns:wp14="http://schemas.microsoft.com/office/word/2010/wordml" w:rsidR="00507555" w:rsidP="00507555" w:rsidRDefault="00507555" w14:paraId="6342D96E" wp14:textId="77777777">
      <w:pPr>
        <w:rPr>
          <w:rFonts w:ascii="Calibri" w:hAnsi="Calibri" w:eastAsia="Calibri" w:cs="Calibri"/>
          <w:sz w:val="16"/>
          <w:szCs w:val="16"/>
        </w:rPr>
      </w:pPr>
      <w:r>
        <w:rPr>
          <w:rFonts w:ascii="Calibri" w:hAnsi="Calibri" w:eastAsia="Calibri" w:cs="Calibri"/>
          <w:u w:val="single"/>
        </w:rPr>
        <w:t>If the refugee represents such a disquieting element in the order of the nation-state</w:t>
      </w:r>
      <w:r>
        <w:rPr>
          <w:rFonts w:ascii="Calibri" w:hAnsi="Calibri" w:eastAsia="Calibri" w:cs="Calibri"/>
          <w:sz w:val="16"/>
          <w:szCs w:val="16"/>
        </w:rPr>
        <w:t xml:space="preserve">, this is so primarily because, </w:t>
      </w:r>
      <w:r>
        <w:rPr>
          <w:rFonts w:ascii="Calibri" w:hAnsi="Calibri" w:eastAsia="Calibri" w:cs="Calibri"/>
          <w:u w:val="single"/>
        </w:rPr>
        <w:t xml:space="preserve">by breaking the identity between the human and the citizen and that between nativity and nationality, </w:t>
      </w:r>
      <w:r>
        <w:rPr>
          <w:rFonts w:ascii="Calibri" w:hAnsi="Calibri" w:eastAsia="Calibri" w:cs="Calibri"/>
          <w:b/>
          <w:u w:val="single"/>
        </w:rPr>
        <w:t>it brings the originary fiction of sovereignty to crisis</w:t>
      </w:r>
      <w:r>
        <w:rPr>
          <w:rFonts w:ascii="Calibri" w:hAnsi="Calibri" w:eastAsia="Calibri" w:cs="Calibri"/>
          <w:sz w:val="16"/>
          <w:szCs w:val="16"/>
        </w:rPr>
        <w:t xml:space="preserve">. Single exceptions to such a principle, of course, have always existed. </w:t>
      </w:r>
      <w:r>
        <w:rPr>
          <w:rFonts w:ascii="Calibri" w:hAnsi="Calibri" w:eastAsia="Calibri" w:cs="Calibri"/>
          <w:u w:val="single"/>
        </w:rPr>
        <w:t>What is new</w:t>
      </w:r>
      <w:r>
        <w:rPr>
          <w:rFonts w:ascii="Calibri" w:hAnsi="Calibri" w:eastAsia="Calibri" w:cs="Calibri"/>
          <w:sz w:val="16"/>
          <w:szCs w:val="16"/>
        </w:rPr>
        <w:t xml:space="preserve"> in our time </w:t>
      </w:r>
      <w:r>
        <w:rPr>
          <w:rFonts w:ascii="Calibri" w:hAnsi="Calibri" w:eastAsia="Calibri" w:cs="Calibri"/>
          <w:u w:val="single"/>
        </w:rPr>
        <w:t xml:space="preserve">is that growing sections of humankind are no longer representable inside the nation-state—and this novelty </w:t>
      </w:r>
      <w:r>
        <w:rPr>
          <w:rFonts w:ascii="Calibri" w:hAnsi="Calibri" w:eastAsia="Calibri" w:cs="Calibri"/>
          <w:b/>
          <w:u w:val="single"/>
        </w:rPr>
        <w:t>threatens the very foundations</w:t>
      </w:r>
      <w:r>
        <w:rPr>
          <w:rFonts w:ascii="Calibri" w:hAnsi="Calibri" w:eastAsia="Calibri" w:cs="Calibri"/>
          <w:u w:val="single"/>
        </w:rPr>
        <w:t xml:space="preserve"> of the latter. Inasmuch as the refugee</w:t>
      </w:r>
      <w:r>
        <w:rPr>
          <w:rFonts w:ascii="Calibri" w:hAnsi="Calibri" w:eastAsia="Calibri" w:cs="Calibri"/>
          <w:sz w:val="16"/>
          <w:szCs w:val="16"/>
        </w:rPr>
        <w:t xml:space="preserve">, an apparently marginal figure, </w:t>
      </w:r>
      <w:r>
        <w:rPr>
          <w:rFonts w:ascii="Calibri" w:hAnsi="Calibri" w:eastAsia="Calibri" w:cs="Calibri"/>
          <w:b/>
          <w:u w:val="single"/>
        </w:rPr>
        <w:t>unhinges the old trinity of state-nation-territory</w:t>
      </w:r>
      <w:r>
        <w:rPr>
          <w:rFonts w:ascii="Calibri" w:hAnsi="Calibri" w:eastAsia="Calibri" w:cs="Calibri"/>
          <w:u w:val="single"/>
        </w:rPr>
        <w:t xml:space="preserve">, it deserves instead to be regarded as the </w:t>
      </w:r>
      <w:r>
        <w:rPr>
          <w:rFonts w:ascii="Calibri" w:hAnsi="Calibri" w:eastAsia="Calibri" w:cs="Calibri"/>
          <w:b/>
          <w:u w:val="single"/>
        </w:rPr>
        <w:t>central figure of our political history</w:t>
      </w:r>
      <w:r>
        <w:rPr>
          <w:rFonts w:ascii="Calibri" w:hAnsi="Calibri" w:eastAsia="Calibri" w:cs="Calibri"/>
          <w:u w:val="single"/>
        </w:rPr>
        <w:t>. We should not forget that the first camps were built in Europe as spaces for controlling refugees, and that the succession of internment camps—concentration camps—extermination camps represents a perfectly real filiation</w:t>
      </w:r>
      <w:r>
        <w:rPr>
          <w:rFonts w:ascii="Calibri" w:hAnsi="Calibri" w:eastAsia="Calibri" w:cs="Calibri"/>
          <w:sz w:val="16"/>
          <w:szCs w:val="16"/>
        </w:rPr>
        <w:t>. One of the few rules the Nazis constantly obeyed throughout the course of the "final solution" was that J</w:t>
      </w:r>
      <w:r>
        <w:rPr>
          <w:rFonts w:ascii="Calibri" w:hAnsi="Calibri" w:eastAsia="Calibri" w:cs="Calibri"/>
          <w:u w:val="single"/>
        </w:rPr>
        <w:t>ews and Gypsies could be sent to extermination camps only after having been fully denationalized</w:t>
      </w:r>
      <w:r>
        <w:rPr>
          <w:rFonts w:ascii="Calibri" w:hAnsi="Calibri" w:eastAsia="Calibri" w:cs="Calibri"/>
          <w:sz w:val="16"/>
          <w:szCs w:val="16"/>
        </w:rPr>
        <w:t xml:space="preserve"> (that is, after they had been stripped of even that second- class citizenship to which they had been relegated after the Nuremberg Laws). </w:t>
      </w:r>
      <w:r>
        <w:rPr>
          <w:rFonts w:ascii="Calibri" w:hAnsi="Calibri" w:eastAsia="Calibri" w:cs="Calibri"/>
          <w:u w:val="single"/>
        </w:rPr>
        <w:t>When their rights are no longer the rights of the citizen, that is when human beings are truly sacred</w:t>
      </w:r>
      <w:r>
        <w:rPr>
          <w:rFonts w:ascii="Calibri" w:hAnsi="Calibri" w:eastAsia="Calibri" w:cs="Calibri"/>
          <w:sz w:val="16"/>
          <w:szCs w:val="16"/>
        </w:rPr>
        <w:t xml:space="preserve">, in the sense that this term used to have in the Roman law of the archaic period: </w:t>
      </w:r>
      <w:r>
        <w:rPr>
          <w:rFonts w:ascii="Calibri" w:hAnsi="Calibri" w:eastAsia="Calibri" w:cs="Calibri"/>
          <w:b/>
          <w:u w:val="single"/>
        </w:rPr>
        <w:t>doomed to death</w:t>
      </w:r>
      <w:r>
        <w:rPr>
          <w:rFonts w:ascii="Times New Roman" w:hAnsi="Times New Roman" w:eastAsia="Times New Roman" w:cs="Times New Roman"/>
          <w:sz w:val="16"/>
          <w:szCs w:val="16"/>
        </w:rPr>
        <w:t xml:space="preserve">. </w:t>
      </w:r>
      <w:r>
        <w:rPr>
          <w:rFonts w:ascii="Calibri" w:hAnsi="Calibri" w:eastAsia="Calibri" w:cs="Calibri"/>
          <w:b/>
          <w:u w:val="single"/>
        </w:rPr>
        <w:t>The concept of refugee must be resolutely separated from the concept of "human rights</w:t>
      </w:r>
      <w:r>
        <w:rPr>
          <w:rFonts w:ascii="Calibri" w:hAnsi="Calibri" w:eastAsia="Calibri" w:cs="Calibri"/>
          <w:u w:val="single"/>
        </w:rPr>
        <w:t>," and the right of asylum</w:t>
      </w:r>
      <w:r>
        <w:rPr>
          <w:rFonts w:ascii="Calibri" w:hAnsi="Calibri" w:eastAsia="Calibri" w:cs="Calibri"/>
          <w:sz w:val="16"/>
          <w:szCs w:val="16"/>
        </w:rPr>
        <w:t xml:space="preserve"> (which in any case is by now in the process of being drastically restricted in the legislation of the European states) </w:t>
      </w:r>
      <w:r>
        <w:rPr>
          <w:rFonts w:ascii="Calibri" w:hAnsi="Calibri" w:eastAsia="Calibri" w:cs="Calibri"/>
          <w:u w:val="single"/>
        </w:rPr>
        <w:t>must no longer be considered as the conceptual category in which to inscribe the phenomenon of refugees</w:t>
      </w:r>
      <w:r>
        <w:rPr>
          <w:rFonts w:ascii="Calibri" w:hAnsi="Calibri" w:eastAsia="Calibri" w:cs="Calibri"/>
          <w:sz w:val="16"/>
          <w:szCs w:val="16"/>
        </w:rPr>
        <w:t xml:space="preserve">. (One needs only to look at Agnes Heller's recent Theses on the Right of Asylum to realize that this cannot but lead today to awkward confusions.) </w:t>
      </w:r>
      <w:r>
        <w:rPr>
          <w:rFonts w:ascii="Calibri" w:hAnsi="Calibri" w:eastAsia="Calibri" w:cs="Calibri"/>
          <w:u w:val="single"/>
        </w:rPr>
        <w:t>The refugee should be considered for what it is</w:t>
      </w:r>
      <w:r>
        <w:rPr>
          <w:rFonts w:ascii="Calibri" w:hAnsi="Calibri" w:eastAsia="Calibri" w:cs="Calibri"/>
          <w:sz w:val="16"/>
          <w:szCs w:val="16"/>
        </w:rPr>
        <w:t xml:space="preserve">, namely, </w:t>
      </w:r>
      <w:r>
        <w:rPr>
          <w:rFonts w:ascii="Calibri" w:hAnsi="Calibri" w:eastAsia="Calibri" w:cs="Calibri"/>
          <w:u w:val="single"/>
        </w:rPr>
        <w:t>nothing less than a limit-concept that at once brings a radical crisis to the principles of the nation-state and clears the way for a renewal of categories that can no longer be delayed</w:t>
      </w:r>
      <w:r>
        <w:rPr>
          <w:rFonts w:ascii="Calibri" w:hAnsi="Calibri" w:eastAsia="Calibri" w:cs="Calibri"/>
          <w:sz w:val="16"/>
          <w:szCs w:val="16"/>
        </w:rPr>
        <w:t xml:space="preserve">.  Meanwhile, in fact, the phenomenon of </w:t>
      </w:r>
      <w:r>
        <w:rPr>
          <w:rFonts w:ascii="Calibri" w:hAnsi="Calibri" w:eastAsia="Calibri" w:cs="Calibri"/>
          <w:u w:val="single"/>
        </w:rPr>
        <w:t>so-called illegal immigration</w:t>
      </w:r>
      <w:r>
        <w:rPr>
          <w:rFonts w:ascii="Calibri" w:hAnsi="Calibri" w:eastAsia="Calibri" w:cs="Calibri"/>
          <w:sz w:val="16"/>
          <w:szCs w:val="16"/>
        </w:rPr>
        <w:t xml:space="preserve"> into the countries of the European Union </w:t>
      </w:r>
      <w:r>
        <w:rPr>
          <w:rFonts w:ascii="Calibri" w:hAnsi="Calibri" w:eastAsia="Calibri" w:cs="Calibri"/>
          <w:u w:val="single"/>
        </w:rPr>
        <w:t>has reached</w:t>
      </w:r>
      <w:r>
        <w:rPr>
          <w:rFonts w:ascii="Calibri" w:hAnsi="Calibri" w:eastAsia="Calibri" w:cs="Calibri"/>
          <w:sz w:val="16"/>
          <w:szCs w:val="16"/>
        </w:rPr>
        <w:t xml:space="preserve"> (and shall increasingly reach in the coming years, given the estimated twenty million immigrants from Central European countries) </w:t>
      </w:r>
      <w:r>
        <w:rPr>
          <w:rFonts w:ascii="Calibri" w:hAnsi="Calibri" w:eastAsia="Calibri" w:cs="Calibri"/>
          <w:u w:val="single"/>
        </w:rPr>
        <w:t>characteristics and proportions such that this reversal of perspective is fully justified</w:t>
      </w:r>
      <w:r>
        <w:rPr>
          <w:rFonts w:ascii="Calibri" w:hAnsi="Calibri" w:eastAsia="Calibri" w:cs="Calibri"/>
          <w:sz w:val="16"/>
          <w:szCs w:val="16"/>
        </w:rPr>
        <w:t xml:space="preserve">. What industrialized </w:t>
      </w:r>
      <w:r>
        <w:rPr>
          <w:rFonts w:ascii="Calibri" w:hAnsi="Calibri" w:eastAsia="Calibri" w:cs="Calibri"/>
          <w:u w:val="single"/>
        </w:rPr>
        <w:t>countries face today is a permanently resident mass of noncitizens who do not want to be and cannot be either naturalized or repatriated. These noncitizens often have nationalities of origin, but, inasmuch as they prefer not to benefit from their own states' protection, they find themselves, as refugees, in a condition of de facto statelessness</w:t>
      </w:r>
      <w:r>
        <w:rPr>
          <w:rFonts w:ascii="Calibri" w:hAnsi="Calibri" w:eastAsia="Calibri" w:cs="Calibri"/>
          <w:sz w:val="16"/>
          <w:szCs w:val="16"/>
        </w:rPr>
        <w:t xml:space="preserve">. Tomas Hammar has created </w:t>
      </w:r>
      <w:r>
        <w:rPr>
          <w:rFonts w:ascii="Calibri" w:hAnsi="Calibri" w:eastAsia="Calibri" w:cs="Calibri"/>
          <w:u w:val="single"/>
        </w:rPr>
        <w:t>the neologism of "</w:t>
      </w:r>
      <w:r>
        <w:rPr>
          <w:rFonts w:ascii="Calibri" w:hAnsi="Calibri" w:eastAsia="Calibri" w:cs="Calibri"/>
          <w:b/>
          <w:u w:val="single"/>
        </w:rPr>
        <w:t>denizens</w:t>
      </w:r>
      <w:r>
        <w:rPr>
          <w:rFonts w:ascii="Calibri" w:hAnsi="Calibri" w:eastAsia="Calibri" w:cs="Calibri"/>
          <w:u w:val="single"/>
        </w:rPr>
        <w:t>" for these noncitizen residents</w:t>
      </w:r>
      <w:r>
        <w:rPr>
          <w:rFonts w:ascii="Calibri" w:hAnsi="Calibri" w:eastAsia="Calibri" w:cs="Calibri"/>
          <w:sz w:val="16"/>
          <w:szCs w:val="16"/>
        </w:rPr>
        <w:t xml:space="preserve">, a neologism that has the merit of showing how </w:t>
      </w:r>
      <w:r>
        <w:rPr>
          <w:rFonts w:ascii="Calibri" w:hAnsi="Calibri" w:eastAsia="Calibri" w:cs="Calibri"/>
          <w:u w:val="single"/>
        </w:rPr>
        <w:t>the concept of "citizen" is no longer adequate for describing the socio-political reality of modern states</w:t>
      </w:r>
      <w:r>
        <w:rPr>
          <w:rFonts w:ascii="Calibri" w:hAnsi="Calibri" w:eastAsia="Calibri" w:cs="Calibri"/>
          <w:sz w:val="16"/>
          <w:szCs w:val="16"/>
        </w:rPr>
        <w:t xml:space="preserve">.4 On the other hand, </w:t>
      </w:r>
      <w:r>
        <w:rPr>
          <w:rFonts w:ascii="Calibri" w:hAnsi="Calibri" w:eastAsia="Calibri" w:cs="Calibri"/>
          <w:u w:val="single"/>
        </w:rPr>
        <w:t>the citizens of advanced industrial states</w:t>
      </w:r>
      <w:r>
        <w:rPr>
          <w:rFonts w:ascii="Calibri" w:hAnsi="Calibri" w:eastAsia="Calibri" w:cs="Calibri"/>
          <w:sz w:val="16"/>
          <w:szCs w:val="16"/>
        </w:rPr>
        <w:t xml:space="preserve"> (in the United States as well as Europe) </w:t>
      </w:r>
      <w:r>
        <w:rPr>
          <w:rFonts w:ascii="Calibri" w:hAnsi="Calibri" w:eastAsia="Calibri" w:cs="Calibri"/>
          <w:u w:val="single"/>
        </w:rPr>
        <w:t xml:space="preserve">demonstrate, through an increasing desertion of the codified instances of political participation, an evident propensity to turn into denizens, into noncitizen permanent residents, so that </w:t>
      </w:r>
      <w:r>
        <w:rPr>
          <w:rFonts w:ascii="Calibri" w:hAnsi="Calibri" w:eastAsia="Calibri" w:cs="Calibri"/>
          <w:b/>
          <w:u w:val="single"/>
        </w:rPr>
        <w:t>citizens and denizens</w:t>
      </w:r>
      <w:r>
        <w:rPr>
          <w:rFonts w:ascii="Calibri" w:hAnsi="Calibri" w:eastAsia="Calibri" w:cs="Calibri"/>
          <w:sz w:val="16"/>
          <w:szCs w:val="16"/>
        </w:rPr>
        <w:t>—at least in certain social strata—</w:t>
      </w:r>
      <w:r>
        <w:rPr>
          <w:rFonts w:ascii="Calibri" w:hAnsi="Calibri" w:eastAsia="Calibri" w:cs="Calibri"/>
          <w:b/>
          <w:u w:val="single"/>
        </w:rPr>
        <w:lastRenderedPageBreak/>
        <w:t>are entering an area of potential indistinction</w:t>
      </w:r>
      <w:r>
        <w:rPr>
          <w:rFonts w:ascii="Calibri" w:hAnsi="Calibri" w:eastAsia="Calibri" w:cs="Calibri"/>
          <w:sz w:val="16"/>
          <w:szCs w:val="16"/>
        </w:rPr>
        <w:t xml:space="preserve">. In a parallel way, </w:t>
      </w:r>
      <w:r>
        <w:rPr>
          <w:rFonts w:ascii="Calibri" w:hAnsi="Calibri" w:eastAsia="Calibri" w:cs="Calibri"/>
          <w:u w:val="single"/>
        </w:rPr>
        <w:t>xenophobic reactions and defensive mobilizations are on the rise, in conformity with the well-known principle according to which substantial assimilation in the presence of formal differences exacerbates hatred and intolerance.</w:t>
      </w:r>
      <w:r>
        <w:rPr>
          <w:rFonts w:ascii="Calibri" w:hAnsi="Calibri" w:eastAsia="Calibri" w:cs="Calibri"/>
          <w:b/>
          <w:u w:val="single"/>
        </w:rPr>
        <w:t xml:space="preserve"> Before extermination camps are reopened</w:t>
      </w:r>
      <w:r>
        <w:rPr>
          <w:rFonts w:ascii="Calibri" w:hAnsi="Calibri" w:eastAsia="Calibri" w:cs="Calibri"/>
          <w:sz w:val="16"/>
          <w:szCs w:val="16"/>
        </w:rPr>
        <w:t xml:space="preserve"> in Europe (something that is already starting to happen), </w:t>
      </w:r>
      <w:r>
        <w:rPr>
          <w:rFonts w:ascii="Calibri" w:hAnsi="Calibri" w:eastAsia="Calibri" w:cs="Calibri"/>
          <w:u w:val="single"/>
        </w:rPr>
        <w:t xml:space="preserve">it is necessary </w:t>
      </w:r>
      <w:r>
        <w:rPr>
          <w:rFonts w:ascii="Calibri" w:hAnsi="Calibri" w:eastAsia="Calibri" w:cs="Calibri"/>
          <w:sz w:val="16"/>
          <w:szCs w:val="16"/>
        </w:rPr>
        <w:t>that the nation-states find the courage</w:t>
      </w:r>
      <w:r>
        <w:rPr>
          <w:rFonts w:ascii="Calibri" w:hAnsi="Calibri" w:eastAsia="Calibri" w:cs="Calibri"/>
          <w:u w:val="single"/>
        </w:rPr>
        <w:t xml:space="preserve"> to question the very principle of the inscription of nativity as well as the trinity of state-nation-territory</w:t>
      </w:r>
      <w:r>
        <w:rPr>
          <w:rFonts w:ascii="Calibri" w:hAnsi="Calibri" w:eastAsia="Calibri" w:cs="Calibri"/>
          <w:sz w:val="16"/>
          <w:szCs w:val="16"/>
        </w:rPr>
        <w:t xml:space="preserve"> that is founded on that principle. It is not easy to indicate right now the ways in which all this may concretely happen. One of the options taken into consideration for solving the problem of Jerusalem is that it became—simultaneously and without any territorial partition—the capital of two different states. </w:t>
      </w:r>
      <w:r>
        <w:rPr>
          <w:rFonts w:ascii="Calibri" w:hAnsi="Calibri" w:eastAsia="Calibri" w:cs="Calibri"/>
          <w:u w:val="single"/>
        </w:rPr>
        <w:t>The paradoxical condition of reciprocal extraterritoriality</w:t>
      </w:r>
      <w:r>
        <w:rPr>
          <w:rFonts w:ascii="Calibri" w:hAnsi="Calibri" w:eastAsia="Calibri" w:cs="Calibri"/>
          <w:sz w:val="16"/>
          <w:szCs w:val="16"/>
        </w:rPr>
        <w:t xml:space="preserve"> (or, better yet, aterritoriality) </w:t>
      </w:r>
      <w:r>
        <w:rPr>
          <w:rFonts w:ascii="Calibri" w:hAnsi="Calibri" w:eastAsia="Calibri" w:cs="Calibri"/>
          <w:u w:val="single"/>
        </w:rPr>
        <w:t>that would thus be implied could be generalized as a model of new international relations. Instead of two national states separated by uncertain and threatening boundaries, it might be possible to imagine two political communities insisting on the same region and in a condition of exodus from each other- communities that would articulate each other via a series of reciprocal extraterritorialities in which the guiding concept would no longer be the ius (right) of the citizen but rather the refugium (refuge) of the singular</w:t>
      </w:r>
      <w:r>
        <w:rPr>
          <w:rFonts w:ascii="Calibri" w:hAnsi="Calibri" w:eastAsia="Calibri" w:cs="Calibri"/>
          <w:sz w:val="16"/>
          <w:szCs w:val="16"/>
        </w:rPr>
        <w:t xml:space="preserve">. In an analogous way, </w:t>
      </w:r>
      <w:r>
        <w:rPr>
          <w:rFonts w:ascii="Calibri" w:hAnsi="Calibri" w:eastAsia="Calibri" w:cs="Calibri"/>
          <w:u w:val="single"/>
        </w:rPr>
        <w:t>we could conceive of</w:t>
      </w:r>
      <w:r>
        <w:rPr>
          <w:rFonts w:ascii="Calibri" w:hAnsi="Calibri" w:eastAsia="Calibri" w:cs="Calibri"/>
          <w:sz w:val="16"/>
          <w:szCs w:val="16"/>
        </w:rPr>
        <w:t xml:space="preserve"> Europe not as an impossible "Europe of the nations," whose catastrophe one can already foresee in the short run, but rather as </w:t>
      </w:r>
      <w:r>
        <w:rPr>
          <w:rFonts w:ascii="Calibri" w:hAnsi="Calibri" w:eastAsia="Calibri" w:cs="Calibri"/>
          <w:u w:val="single"/>
        </w:rPr>
        <w:t>an aterritorial or extraterritorial space in which all the (citizen and noncitizen) residents</w:t>
      </w:r>
      <w:r>
        <w:rPr>
          <w:rFonts w:ascii="Calibri" w:hAnsi="Calibri" w:eastAsia="Calibri" w:cs="Calibri"/>
          <w:sz w:val="16"/>
          <w:szCs w:val="16"/>
        </w:rPr>
        <w:t xml:space="preserve"> of the European states </w:t>
      </w:r>
      <w:r>
        <w:rPr>
          <w:rFonts w:ascii="Calibri" w:hAnsi="Calibri" w:eastAsia="Calibri" w:cs="Calibri"/>
          <w:u w:val="single"/>
        </w:rPr>
        <w:t>would be in a position of exodus or refuge</w:t>
      </w:r>
      <w:r>
        <w:rPr>
          <w:rFonts w:ascii="Calibri" w:hAnsi="Calibri" w:eastAsia="Calibri" w:cs="Calibri"/>
          <w:sz w:val="16"/>
          <w:szCs w:val="16"/>
        </w:rPr>
        <w:t xml:space="preserve">; the status of European would then mean the </w:t>
      </w:r>
      <w:r>
        <w:rPr>
          <w:rFonts w:ascii="Calibri" w:hAnsi="Calibri" w:eastAsia="Calibri" w:cs="Calibri"/>
          <w:b/>
          <w:u w:val="single"/>
        </w:rPr>
        <w:t>being-in- exodus of the citizen</w:t>
      </w:r>
      <w:r>
        <w:rPr>
          <w:rFonts w:ascii="Calibri" w:hAnsi="Calibri" w:eastAsia="Calibri" w:cs="Calibri"/>
          <w:sz w:val="16"/>
          <w:szCs w:val="16"/>
        </w:rPr>
        <w:t xml:space="preserve"> (a condition that obviously could also be one of immobility). European </w:t>
      </w:r>
      <w:r>
        <w:rPr>
          <w:rFonts w:ascii="Calibri" w:hAnsi="Calibri" w:eastAsia="Calibri" w:cs="Calibri"/>
          <w:u w:val="single"/>
        </w:rPr>
        <w:t>space would thus mark an irreducible difference between birth [nascita] and nation in which the old concept of people</w:t>
      </w:r>
      <w:r>
        <w:rPr>
          <w:rFonts w:ascii="Calibri" w:hAnsi="Calibri" w:eastAsia="Calibri" w:cs="Calibri"/>
          <w:sz w:val="16"/>
          <w:szCs w:val="16"/>
        </w:rPr>
        <w:t xml:space="preserve"> (which, as is well known, is always a minority) </w:t>
      </w:r>
      <w:r>
        <w:rPr>
          <w:rFonts w:ascii="Calibri" w:hAnsi="Calibri" w:eastAsia="Calibri" w:cs="Calibri"/>
          <w:u w:val="single"/>
        </w:rPr>
        <w:t xml:space="preserve">could again find a political meaning, thus decidedly opposing itself to the concept of nation </w:t>
      </w:r>
      <w:r>
        <w:rPr>
          <w:rFonts w:ascii="Calibri" w:hAnsi="Calibri" w:eastAsia="Calibri" w:cs="Calibri"/>
          <w:sz w:val="16"/>
          <w:szCs w:val="16"/>
        </w:rPr>
        <w:t xml:space="preserve">(which has so far unduly usurped it). </w:t>
      </w:r>
      <w:r>
        <w:rPr>
          <w:rFonts w:ascii="Calibri" w:hAnsi="Calibri" w:eastAsia="Calibri" w:cs="Calibri"/>
          <w:u w:val="single"/>
        </w:rPr>
        <w:t>This space would coincide neither with any of the homogeneous national territories nor with their topographical sum, but would rather act on them by articulating and perforating them topofogically</w:t>
      </w:r>
      <w:r>
        <w:rPr>
          <w:rFonts w:ascii="Calibri" w:hAnsi="Calibri" w:eastAsia="Calibri" w:cs="Calibri"/>
          <w:sz w:val="16"/>
          <w:szCs w:val="16"/>
        </w:rPr>
        <w:t xml:space="preserve"> as in the Klein bottle or in the Mobius strip, </w:t>
      </w:r>
      <w:r>
        <w:rPr>
          <w:rFonts w:ascii="Calibri" w:hAnsi="Calibri" w:eastAsia="Calibri" w:cs="Calibri"/>
          <w:u w:val="single"/>
        </w:rPr>
        <w:t>where exterior and interior in-determine each other</w:t>
      </w:r>
      <w:r>
        <w:rPr>
          <w:rFonts w:ascii="Calibri" w:hAnsi="Calibri" w:eastAsia="Calibri" w:cs="Calibri"/>
          <w:sz w:val="16"/>
          <w:szCs w:val="16"/>
        </w:rPr>
        <w:t xml:space="preserve">. In this new space, European cities would rediscover their ancient vocation of cities of the world by entering into a relation of reciprocal extraterritoriality. </w:t>
      </w:r>
    </w:p>
    <w:p xmlns:wp14="http://schemas.microsoft.com/office/word/2010/wordml" w:rsidR="00507555" w:rsidP="00507555" w:rsidRDefault="00507555" w14:paraId="2191599E" wp14:textId="77777777"/>
    <w:p xmlns:wp14="http://schemas.microsoft.com/office/word/2010/wordml" w:rsidR="00507555" w:rsidP="00507555" w:rsidRDefault="00507555" w14:paraId="7673E5AE" wp14:textId="77777777"/>
    <w:p xmlns:wp14="http://schemas.microsoft.com/office/word/2010/wordml" w:rsidR="00507555" w:rsidP="00507555" w:rsidRDefault="00507555" w14:paraId="19F5726C" wp14:textId="77777777">
      <w:pPr>
        <w:pStyle w:val="Heading1"/>
      </w:pPr>
      <w:r>
        <w:lastRenderedPageBreak/>
        <w:t>Human Rights Good</w:t>
      </w:r>
    </w:p>
    <w:p xmlns:wp14="http://schemas.microsoft.com/office/word/2010/wordml" w:rsidR="00507555" w:rsidP="00507555" w:rsidRDefault="00507555" w14:paraId="041D98D7" wp14:textId="77777777">
      <w:pPr>
        <w:jc w:val="center"/>
      </w:pPr>
    </w:p>
    <w:p xmlns:wp14="http://schemas.microsoft.com/office/word/2010/wordml" w:rsidR="00507555" w:rsidP="00507555" w:rsidRDefault="00507555" w14:paraId="7B35767C" wp14:textId="77777777">
      <w:pPr>
        <w:pStyle w:val="Heading3"/>
        <w:rPr>
          <w:rFonts w:eastAsia="Calibri"/>
        </w:rPr>
      </w:pPr>
      <w:r>
        <w:rPr>
          <w:rFonts w:eastAsia="Calibri"/>
        </w:rPr>
        <w:lastRenderedPageBreak/>
        <w:t>I: Emergency powers</w:t>
      </w:r>
    </w:p>
    <w:p xmlns:wp14="http://schemas.microsoft.com/office/word/2010/wordml" w:rsidR="00507555" w:rsidP="00507555" w:rsidRDefault="00507555" w14:paraId="57D59362" wp14:textId="77777777">
      <w:pPr>
        <w:pStyle w:val="Heading4"/>
        <w:rPr>
          <w:rFonts w:eastAsia="Calibri"/>
        </w:rPr>
      </w:pPr>
      <w:r>
        <w:rPr>
          <w:rFonts w:eastAsia="Calibri"/>
        </w:rPr>
        <w:t xml:space="preserve">Human rights solve, other nations keep sovereignty in check </w:t>
      </w:r>
    </w:p>
    <w:p xmlns:wp14="http://schemas.microsoft.com/office/word/2010/wordml" w:rsidR="00507555" w:rsidP="00507555" w:rsidRDefault="00507555" w14:paraId="0C5A6690" wp14:textId="77777777">
      <w:pPr>
        <w:rPr>
          <w:rFonts w:ascii="Calibri" w:hAnsi="Calibri" w:eastAsia="Calibri" w:cs="Calibri"/>
        </w:rPr>
      </w:pPr>
      <w:r w:rsidRPr="00597376">
        <w:rPr>
          <w:rStyle w:val="Style13ptBold"/>
        </w:rPr>
        <w:t>Criddle et, al 12</w:t>
      </w:r>
      <w:r>
        <w:rPr>
          <w:rFonts w:ascii="Calibri" w:hAnsi="Calibri" w:eastAsia="Calibri" w:cs="Calibri"/>
        </w:rPr>
        <w:t xml:space="preserve"> (Evan and Evan (lmao not kidding). Human Rights, Emergencies, and the Rule of Law, Professor of Law. Degrees: J.D., Yale Law School //Starboy </w:t>
      </w:r>
    </w:p>
    <w:p xmlns:wp14="http://schemas.microsoft.com/office/word/2010/wordml" w:rsidR="00507555" w:rsidP="00507555" w:rsidRDefault="00507555" w14:paraId="0A6959E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00507555" w:rsidP="00507555" w:rsidRDefault="00507555" w14:paraId="7B6D4531" wp14:textId="77777777">
      <w:pPr>
        <w:rPr>
          <w:rFonts w:ascii="Calibri" w:hAnsi="Calibri" w:eastAsia="Calibri" w:cs="Calibri"/>
        </w:rPr>
      </w:pPr>
      <w:r>
        <w:rPr>
          <w:rFonts w:ascii="Calibri" w:hAnsi="Calibri" w:eastAsia="Calibri" w:cs="Calibri"/>
          <w:sz w:val="24"/>
          <w:szCs w:val="24"/>
        </w:rPr>
        <w:t xml:space="preserve">To ensure that </w:t>
      </w:r>
      <w:r>
        <w:rPr>
          <w:rFonts w:ascii="Calibri" w:hAnsi="Calibri" w:eastAsia="Calibri" w:cs="Calibri"/>
          <w:u w:val="single"/>
        </w:rPr>
        <w:t>international law’s restrictions on the commencement of states of emergency are taken seriously, each of the leading covenants on civil and political rights obligates states to notify the international community promptly—either directly or through an intermediary—when they suspend their human rights obligations during national crises</w:t>
      </w:r>
      <w:r>
        <w:rPr>
          <w:rFonts w:ascii="Calibri" w:hAnsi="Calibri" w:eastAsia="Calibri" w:cs="Calibri"/>
          <w:sz w:val="24"/>
          <w:szCs w:val="24"/>
        </w:rPr>
        <w:t xml:space="preserve">.41 Although none of these conventions requires states to notify their own people when they suspend their international human rights obligations, </w:t>
      </w:r>
      <w:r>
        <w:rPr>
          <w:rFonts w:ascii="Calibri" w:hAnsi="Calibri" w:eastAsia="Calibri" w:cs="Calibri"/>
          <w:u w:val="single"/>
        </w:rPr>
        <w:t>the UN Commission on Human Rights has suggested that states must exercise emergency powers in compliance with applicable requirements of municipal law, including requirements governing the declaration of a state of emergency.42 In sum, each of the leading human rights conventions obligates states to establish the need for a state of emergency before proceeding to consider whether particular actions taken in response to an emergency are appropriate</w:t>
      </w:r>
      <w:r>
        <w:rPr>
          <w:rFonts w:ascii="Calibri" w:hAnsi="Calibri" w:eastAsia="Calibri" w:cs="Calibri"/>
          <w:sz w:val="24"/>
          <w:szCs w:val="24"/>
        </w:rPr>
        <w:t xml:space="preserve">. Each convention furnishes discrete substantive and procedural criteria for evaluating whether exigent circumstances justify entry into a state of emergency. In this manner, </w:t>
      </w:r>
      <w:r>
        <w:rPr>
          <w:rFonts w:ascii="Calibri" w:hAnsi="Calibri" w:eastAsia="Calibri" w:cs="Calibri"/>
          <w:u w:val="single"/>
        </w:rPr>
        <w:t>each seeks to safeguard human rights by limiting states’ recourse to emergency powers. Once a state demonstrates that an actual or imminent crisis satisfies the criteria for a state of emergency (jus ad tumultum), international law’s focus shifts to the legality of a state’s responsive measures (jus in tumultu).</w:t>
      </w:r>
      <w:r>
        <w:rPr>
          <w:rFonts w:ascii="Calibri" w:hAnsi="Calibri" w:eastAsia="Calibri" w:cs="Calibri"/>
          <w:sz w:val="24"/>
          <w:szCs w:val="24"/>
        </w:rPr>
        <w:t xml:space="preserve"> Under the ICCPR, ECHR, ACHR, and Arab Charter, national emergencies do not give states carte blanche to exercise public powers indiscriminately without regard to the humanitarian costs. </w:t>
      </w:r>
      <w:r>
        <w:rPr>
          <w:rFonts w:ascii="Calibri" w:hAnsi="Calibri" w:eastAsia="Calibri" w:cs="Calibri"/>
          <w:u w:val="single"/>
        </w:rPr>
        <w:t>Instead, each of these covenants regulates states’ exercise of emergency powers by imposing substantive and procedural limitations on state action within a state of emergency. International law limits executive and legislative discretion within states of emergency by prohibiting states from employing emergency powers beyond the temporal and geographic scope specified in their notice of derogation.</w:t>
      </w:r>
      <w:r>
        <w:rPr>
          <w:rFonts w:ascii="Calibri" w:hAnsi="Calibri" w:eastAsia="Calibri" w:cs="Calibri"/>
          <w:sz w:val="24"/>
          <w:szCs w:val="24"/>
        </w:rPr>
        <w:t xml:space="preserve"> The ECtHR affirmed this principle in Sakik and Others v. Turkey43 when it considered Turkey’s suspension of human rights protections in territories outside those identified in the state’s derogation notice. The court explained that it “would be working against the object and purpose of [the ECHR’s derogation provision] if, when assessing the territorial scope of the derogation concerned, it were to extend its effects to a part of Turkish territory not explicitly named in the notice of derogation.”44 Applying this principle, </w:t>
      </w:r>
      <w:r>
        <w:rPr>
          <w:rFonts w:ascii="Calibri" w:hAnsi="Calibri" w:eastAsia="Calibri" w:cs="Calibri"/>
          <w:u w:val="single"/>
        </w:rPr>
        <w:t>the court held that Turkey’s derogation notice was inapplicable to the case at hand and that the state’s delay in presenting detainees before a judge in territories not covered by its derogation notice violated its commitments under the ECHR.45 Even within the scope of a state’s derogation notice, states must tailor their responsive measures to minimize the potential impact on human rights.</w:t>
      </w:r>
      <w:r>
        <w:rPr>
          <w:rFonts w:ascii="Calibri" w:hAnsi="Calibri" w:eastAsia="Calibri" w:cs="Calibri"/>
          <w:sz w:val="24"/>
          <w:szCs w:val="24"/>
        </w:rPr>
        <w:t xml:space="preserve"> Some human rights norms such as the jus cogens prohibitions against torture, slavery, and the arbitrary deprivation of life or liberty are not derogable under any circumstances.46 Other norms such as the rights to freedom of movement, expression, and association are subject to state derogation, but only “to the extent strictly required by the exigencies of the situation.”47 The influential Siracusa </w:t>
      </w:r>
      <w:r>
        <w:rPr>
          <w:rFonts w:ascii="Calibri" w:hAnsi="Calibri" w:eastAsia="Calibri" w:cs="Calibri"/>
          <w:u w:val="single"/>
        </w:rPr>
        <w:t xml:space="preserve">Principles on the Limitation and Derogation </w:t>
      </w:r>
      <w:r>
        <w:rPr>
          <w:rFonts w:ascii="Calibri" w:hAnsi="Calibri" w:eastAsia="Calibri" w:cs="Calibri"/>
          <w:u w:val="single"/>
        </w:rPr>
        <w:lastRenderedPageBreak/>
        <w:t>Principles in the ICCPR suggest that any measures a state undertakes to restrict or suspend human rights during emergencies must be supported by a valid state ground, a pressing public need, a legitimate aim, and proportionality</w:t>
      </w:r>
      <w:r>
        <w:rPr>
          <w:rFonts w:ascii="Calibri" w:hAnsi="Calibri" w:eastAsia="Calibri" w:cs="Calibri"/>
          <w:sz w:val="24"/>
          <w:szCs w:val="24"/>
        </w:rPr>
        <w:t xml:space="preserve">.48 States must strictly observe peremptory human rights norms during emergencies, and they may suspend non-peremptory human rights only if their responsive measures would comply with the geographic and temporal scope of the derogation, </w:t>
      </w:r>
      <w:r>
        <w:rPr>
          <w:rFonts w:ascii="Calibri" w:hAnsi="Calibri" w:eastAsia="Calibri" w:cs="Calibri"/>
          <w:u w:val="single"/>
        </w:rPr>
        <w:t xml:space="preserve">as well as a substantive conception of proportionality that requires states to use only those measures that minimally restrict the freedoms ordinarily protected by the suspended treaty rights. </w:t>
      </w:r>
      <w:r>
        <w:rPr>
          <w:rFonts w:ascii="Calibri" w:hAnsi="Calibri" w:eastAsia="Calibri" w:cs="Calibri"/>
        </w:rPr>
        <w:t xml:space="preserve"> </w:t>
      </w:r>
    </w:p>
    <w:p xmlns:wp14="http://schemas.microsoft.com/office/word/2010/wordml" w:rsidR="00507555" w:rsidP="00507555" w:rsidRDefault="00507555" w14:paraId="5AB7C0C5" wp14:textId="77777777"/>
    <w:p xmlns:wp14="http://schemas.microsoft.com/office/word/2010/wordml" w:rsidR="00507555" w:rsidP="00507555" w:rsidRDefault="00507555" w14:paraId="3887C1E9" wp14:textId="77777777">
      <w:pPr>
        <w:pStyle w:val="Heading3"/>
      </w:pPr>
      <w:r>
        <w:lastRenderedPageBreak/>
        <w:t>I: Check state power</w:t>
      </w:r>
    </w:p>
    <w:p xmlns:wp14="http://schemas.microsoft.com/office/word/2010/wordml" w:rsidR="00507555" w:rsidP="00507555" w:rsidRDefault="00507555" w14:paraId="5C1DCA8D" wp14:textId="77777777">
      <w:pPr>
        <w:pStyle w:val="Heading4"/>
        <w:rPr>
          <w:rFonts w:ascii="Calibri" w:hAnsi="Calibri" w:eastAsia="Calibri" w:cs="Calibri"/>
          <w:szCs w:val="26"/>
        </w:rPr>
      </w:pPr>
      <w:r>
        <w:t>It is the state’s fiduciary duty to provide for the human rights of its population-- human rights act as a check on the power of the state.</w:t>
      </w:r>
    </w:p>
    <w:p xmlns:wp14="http://schemas.microsoft.com/office/word/2010/wordml" w:rsidR="00507555" w:rsidP="00507555" w:rsidRDefault="00507555" w14:paraId="2E5C5A1A" wp14:textId="77777777">
      <w:pPr>
        <w:rPr>
          <w:rFonts w:ascii="Calibri" w:hAnsi="Calibri" w:eastAsia="Calibri" w:cs="Calibri"/>
          <w:sz w:val="24"/>
          <w:szCs w:val="24"/>
        </w:rPr>
      </w:pPr>
      <w:r w:rsidRPr="00664F68">
        <w:rPr>
          <w:rStyle w:val="Style13ptBold"/>
        </w:rPr>
        <w:t>Criddle et, al 12</w:t>
      </w:r>
      <w:r>
        <w:rPr>
          <w:rFonts w:ascii="Calibri" w:hAnsi="Calibri" w:eastAsia="Calibri" w:cs="Calibri"/>
          <w:sz w:val="24"/>
          <w:szCs w:val="24"/>
        </w:rPr>
        <w:t xml:space="preserve"> (Evan and Evan (lmao not kidding). Human Rights, Emergencies, and the Rule of Law, Professor of Law. Degrees: J.D., Yale Law School //Starboy </w:t>
      </w:r>
    </w:p>
    <w:p xmlns:wp14="http://schemas.microsoft.com/office/word/2010/wordml" w:rsidR="00507555" w:rsidP="00507555" w:rsidRDefault="00507555" w14:paraId="100C5B58"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Pr="00664F68" w:rsidR="00507555" w:rsidP="00507555" w:rsidRDefault="00507555" w14:paraId="40AA8019" wp14:textId="77777777">
      <w:pPr>
        <w:rPr>
          <w:rFonts w:ascii="Calibri" w:hAnsi="Calibri" w:eastAsia="Calibri" w:cs="Calibri"/>
          <w:sz w:val="16"/>
          <w:szCs w:val="24"/>
        </w:rPr>
      </w:pPr>
      <w:r w:rsidRPr="00664F68">
        <w:rPr>
          <w:rFonts w:ascii="Calibri" w:hAnsi="Calibri" w:eastAsia="Calibri" w:cs="Calibri"/>
          <w:sz w:val="16"/>
          <w:szCs w:val="24"/>
        </w:rPr>
        <w:t xml:space="preserve">We propose a theory of human rights that supports the central features of international law’s emergency constitution, addresses confusion over the scope and application of human rights, and lays a firm foundation for human rights protection in future emergencies. The theory does not pretend to explain all the distinctive features of how human rights treaty derogations work in practice. The point of the theory is to set out normative presuppositions that explain the core of international law’s emergency constitution while providing a critical perspective from which to evaluate this constitution’s particular commitments and practices. Specifically, we argue that </w:t>
      </w:r>
      <w:r>
        <w:rPr>
          <w:rFonts w:ascii="Calibri" w:hAnsi="Calibri" w:eastAsia="Calibri" w:cs="Calibri"/>
          <w:sz w:val="24"/>
          <w:szCs w:val="24"/>
          <w:u w:val="single"/>
        </w:rPr>
        <w:t xml:space="preserve">human rights emanate from a fiduciary relationship between public institutions and persons subject to public powers. As fiduciaries, public institutions bear legal obligations to safeguard their subjects against domination—subjection to the threat of arbitrary state or private interference. </w:t>
      </w:r>
      <w:r w:rsidRPr="00664F68">
        <w:rPr>
          <w:rFonts w:ascii="Calibri" w:hAnsi="Calibri" w:eastAsia="Calibri" w:cs="Calibri"/>
          <w:sz w:val="16"/>
          <w:szCs w:val="24"/>
        </w:rPr>
        <w:t xml:space="preserve">Public institutions must also satisfy the Kantian principle of non-instrumentalization by ensuring that all persons are regarded always as ends-in-themselves and never as mere means. </w:t>
      </w:r>
      <w:r>
        <w:rPr>
          <w:rFonts w:ascii="Calibri" w:hAnsi="Calibri" w:eastAsia="Calibri" w:cs="Calibri"/>
          <w:sz w:val="24"/>
          <w:szCs w:val="24"/>
          <w:u w:val="single"/>
        </w:rPr>
        <w:t xml:space="preserve">On this fiduciary theory of the state, human rights come into focus as institutionally grounded legal constraints that arise from a state’s assumption of sovereign powers. Because a state’s fiduciary obligations are constitutive of its legal authority, public institutions cannot violate these obligations during emergencies without undercutting their claim to represent their people as a sovereign actor. </w:t>
      </w:r>
      <w:r w:rsidRPr="00664F68">
        <w:rPr>
          <w:rFonts w:ascii="Calibri" w:hAnsi="Calibri" w:eastAsia="Calibri" w:cs="Calibri"/>
          <w:sz w:val="16"/>
          <w:szCs w:val="24"/>
        </w:rPr>
        <w:t>This fiduciary theory explains why some human rights can be accepted as derogable during national crises while others cannot, and it offers principled criteria for distinguishing derogable rights from non-derogable rights. The fiduciary theory also furnishes substantive and procedural principles that can be used prospectively to clarify the two-tiered structure of international law’s emergency constitution. In previous writings, we have argued that human rights are relational legal duties that are constitutive of state sovereignty under international law.55 We have argued further that one way to see the legal character of human rights is from the perspective of Immanuel Kant’s theory of law. According to Kant, all persons have an innate right to as much freedom as can be reconciled with the freedom of everyone else.56 The purpose of law on this account is to honor the dignity of all persons by enshrining legal rights within a regime of secure and equal freedom for all, such that no person can unilaterally impose terms of interaction on others. Within Kant’s regime of secure and</w:t>
      </w:r>
      <w:r w:rsidRPr="00664F68">
        <w:rPr>
          <w:rFonts w:ascii="Times New Roman" w:hAnsi="Times New Roman" w:eastAsia="Times New Roman" w:cs="Times New Roman"/>
          <w:sz w:val="16"/>
        </w:rPr>
        <w:t xml:space="preserve"> </w:t>
      </w:r>
      <w:r w:rsidRPr="00664F68">
        <w:rPr>
          <w:rFonts w:ascii="Calibri" w:hAnsi="Calibri" w:eastAsia="Calibri" w:cs="Calibri"/>
          <w:sz w:val="16"/>
          <w:szCs w:val="24"/>
        </w:rPr>
        <w:t xml:space="preserve">equal freedom, fiduciary obligations ensure that those who exercise unilateral administrative powers over others’ legal or practical interests are precluded from denying others’ innate right to equal freedom through domination or instrumentalization. Kant illustrates these principles in The Doctrine of Right when he asserts that children “have by their procreation an original innate (not acquired) right to the care of their parents until they are able to look after themselves . . . without any special act being required to establish this right.”57 When parents unilaterally create a person dependent upon them for survival, they thereby incur moral and legal duties to provide for their child’s basic wellbeing. The child’s innate right to equal freedom can be respected and the demands of legality satisfied only if the law ensures that parents treat their child as a person—as a being with dignity—and not as a thing that can be abused or abandoned at their discretion. Kant’s conception of legal right supplies a sound philosophical justification for the republican conception of public officials and institutions as fiduciaries for their people.58 Like other fiduciaries, the state’s legislative, judicial, and executive branches all assume discretionary powers that are institutional, purposive, and other-regarding. Private parties are not legally entitled to exercise the state’s powers and thus are particularly vulnerable to public authority, despite their ability within democracies to participate in democratic processes. The state’s monopolization of public powers over its people can be understood therefore as a fiduciary relationship mediated by legality—rather than a relationship of domination or instrumentalization— only if a principle of legality prevents public institutions from exploiting their position to set unilaterally the terms of interaction with their people. </w:t>
      </w:r>
      <w:r>
        <w:rPr>
          <w:rFonts w:ascii="Calibri" w:hAnsi="Calibri" w:eastAsia="Calibri" w:cs="Calibri"/>
          <w:sz w:val="24"/>
          <w:szCs w:val="24"/>
          <w:u w:val="single"/>
        </w:rPr>
        <w:t>The fiduciary principle</w:t>
      </w:r>
      <w:r w:rsidRPr="00664F68">
        <w:rPr>
          <w:rFonts w:ascii="Calibri" w:hAnsi="Calibri" w:eastAsia="Calibri" w:cs="Calibri"/>
          <w:sz w:val="16"/>
          <w:szCs w:val="24"/>
        </w:rPr>
        <w:t xml:space="preserve"> is a principle of legality that does just this: it </w:t>
      </w:r>
      <w:r>
        <w:rPr>
          <w:rFonts w:ascii="Calibri" w:hAnsi="Calibri" w:eastAsia="Calibri" w:cs="Calibri"/>
          <w:sz w:val="24"/>
          <w:szCs w:val="24"/>
          <w:u w:val="single"/>
        </w:rPr>
        <w:t>authorizes the state to exercise public powers for and on behalf of its people, but subject to strict legal constraints that safeguard subjects’ inherent dignity as free and equal beneficiaries of state action.</w:t>
      </w:r>
      <w:r w:rsidRPr="00664F68">
        <w:rPr>
          <w:rFonts w:ascii="Calibri" w:hAnsi="Calibri" w:eastAsia="Calibri" w:cs="Calibri"/>
          <w:sz w:val="16"/>
          <w:szCs w:val="24"/>
        </w:rPr>
        <w:t xml:space="preserve"> We have argued previously that </w:t>
      </w:r>
      <w:r>
        <w:rPr>
          <w:rFonts w:ascii="Calibri" w:hAnsi="Calibri" w:eastAsia="Calibri" w:cs="Calibri"/>
          <w:sz w:val="24"/>
          <w:szCs w:val="24"/>
          <w:u w:val="single"/>
        </w:rPr>
        <w:t>a state’s overarching fiduciary duty to its people is to establish a regime of secure and equal freedom, and that</w:t>
      </w:r>
      <w:r>
        <w:rPr>
          <w:rFonts w:ascii="Times New Roman" w:hAnsi="Times New Roman" w:eastAsia="Times New Roman" w:cs="Times New Roman"/>
          <w:u w:val="single"/>
        </w:rPr>
        <w:t xml:space="preserve"> </w:t>
      </w:r>
      <w:r>
        <w:rPr>
          <w:rFonts w:ascii="Calibri" w:hAnsi="Calibri" w:eastAsia="Calibri" w:cs="Calibri"/>
          <w:sz w:val="24"/>
          <w:szCs w:val="24"/>
          <w:u w:val="single"/>
        </w:rPr>
        <w:t>the fiduciary character of public administration requires respect for human rights</w:t>
      </w:r>
      <w:r w:rsidRPr="00664F68">
        <w:rPr>
          <w:rFonts w:ascii="Calibri" w:hAnsi="Calibri" w:eastAsia="Calibri" w:cs="Calibri"/>
          <w:sz w:val="16"/>
          <w:szCs w:val="24"/>
        </w:rPr>
        <w:t xml:space="preserve">.59 Because a state assumes the public powers associated with sovereignty, it also assumes a fiduciary obligation to establish legal order on behalf of the citizens and noncitizens subject to its powers. </w:t>
      </w:r>
      <w:r>
        <w:rPr>
          <w:rFonts w:ascii="Calibri" w:hAnsi="Calibri" w:eastAsia="Calibri" w:cs="Calibri"/>
          <w:sz w:val="24"/>
          <w:szCs w:val="24"/>
          <w:u w:val="single"/>
        </w:rPr>
        <w:t>All persons enjoy equal freedom within a Kantian legal order because every person is presumed to possess a capacity for rational self-</w:t>
      </w:r>
      <w:r>
        <w:rPr>
          <w:rFonts w:ascii="Calibri" w:hAnsi="Calibri" w:eastAsia="Calibri" w:cs="Calibri"/>
          <w:sz w:val="24"/>
          <w:szCs w:val="24"/>
          <w:u w:val="single"/>
        </w:rPr>
        <w:lastRenderedPageBreak/>
        <w:t>determination or agency, the agency of one person is normatively indistinguishable from the agency of another, and the law is presumed to protect the agency of every person. Thus, the only lawful freedom possible is equal freedom.</w:t>
      </w:r>
      <w:r w:rsidRPr="00664F68">
        <w:rPr>
          <w:rFonts w:ascii="Calibri" w:hAnsi="Calibri" w:eastAsia="Calibri" w:cs="Calibri"/>
          <w:sz w:val="16"/>
          <w:szCs w:val="24"/>
        </w:rPr>
        <w:t xml:space="preserve"> In practice this means that </w:t>
      </w:r>
      <w:r>
        <w:rPr>
          <w:rFonts w:ascii="Calibri" w:hAnsi="Calibri" w:eastAsia="Calibri" w:cs="Calibri"/>
          <w:sz w:val="24"/>
          <w:szCs w:val="24"/>
          <w:u w:val="single"/>
        </w:rPr>
        <w:t>the law apportions restrictions on personal freedoms evenhandedly such that no person is entitled to dominate or instrumentalize another</w:t>
      </w:r>
      <w:r w:rsidRPr="00664F68">
        <w:rPr>
          <w:rFonts w:ascii="Calibri" w:hAnsi="Calibri" w:eastAsia="Calibri" w:cs="Calibri"/>
          <w:sz w:val="16"/>
          <w:szCs w:val="24"/>
        </w:rPr>
        <w:t xml:space="preserve">. Further, the state bears an obligation to guarantee that this regime of equal freedom remains secure by enforcing the law through impartial and proportionate means. Just as the state bears a duty to adopt and enforce laws protecting persons from private domination and instrumentalization, the fiduciary principle dictates that the state itself must forebear from adopting laws, policies, or practices that deliberately victimize or arbitrarily threaten persons subject to its powers. </w:t>
      </w:r>
      <w:r>
        <w:rPr>
          <w:rFonts w:ascii="Calibri" w:hAnsi="Calibri" w:eastAsia="Calibri" w:cs="Calibri"/>
          <w:sz w:val="24"/>
          <w:szCs w:val="24"/>
          <w:u w:val="single"/>
        </w:rPr>
        <w:t>Human rights are constitutive of state sovereignty on this account because they supply a normative framework within which the state can establish a secure order of equal freedom, an order marked by the absence of private or public domination and instrumentalization. In this sense, all public powers are constrained and constituted by the state’s fiduciary duty to respect, protect, and fulfill human rights.</w:t>
      </w:r>
      <w:r w:rsidRPr="00664F68">
        <w:rPr>
          <w:rFonts w:ascii="Calibri" w:hAnsi="Calibri" w:eastAsia="Calibri" w:cs="Calibri"/>
          <w:sz w:val="16"/>
          <w:szCs w:val="24"/>
        </w:rPr>
        <w:t xml:space="preserve">  </w:t>
      </w:r>
    </w:p>
    <w:p xmlns:wp14="http://schemas.microsoft.com/office/word/2010/wordml" w:rsidR="00507555" w:rsidP="00507555" w:rsidRDefault="00507555" w14:paraId="55B33694" wp14:textId="77777777"/>
    <w:p xmlns:wp14="http://schemas.microsoft.com/office/word/2010/wordml" w:rsidR="00507555" w:rsidP="00507555" w:rsidRDefault="00507555" w14:paraId="7F9F5DE2" wp14:textId="77777777">
      <w:pPr>
        <w:pStyle w:val="Heading4"/>
      </w:pPr>
      <w:r>
        <w:t>Human rights frameworks provide checks against state power.</w:t>
      </w:r>
    </w:p>
    <w:p xmlns:wp14="http://schemas.microsoft.com/office/word/2010/wordml" w:rsidR="00507555" w:rsidP="00507555" w:rsidRDefault="00507555" w14:paraId="19DB2874" wp14:textId="77777777">
      <w:pPr>
        <w:rPr>
          <w:rFonts w:ascii="Calibri" w:hAnsi="Calibri" w:eastAsia="Calibri" w:cs="Calibri"/>
          <w:sz w:val="24"/>
          <w:szCs w:val="24"/>
        </w:rPr>
      </w:pPr>
      <w:r w:rsidRPr="00B25B66">
        <w:rPr>
          <w:rStyle w:val="Style13ptBold"/>
        </w:rPr>
        <w:t>Criddle et, al 12</w:t>
      </w:r>
      <w:r>
        <w:rPr>
          <w:rFonts w:ascii="Calibri" w:hAnsi="Calibri" w:eastAsia="Calibri" w:cs="Calibri"/>
          <w:sz w:val="24"/>
          <w:szCs w:val="24"/>
        </w:rPr>
        <w:t xml:space="preserve"> (Evan and Evan (lmao not kidding). Human Rights, Emergencies, and the Rule of Law, Professor of Law. Degrees: J.D., Yale Law School //Starboy </w:t>
      </w:r>
    </w:p>
    <w:p xmlns:wp14="http://schemas.microsoft.com/office/word/2010/wordml" w:rsidR="00507555" w:rsidP="00507555" w:rsidRDefault="00507555" w14:paraId="12F40E8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Pr="00B25B66" w:rsidR="00507555" w:rsidP="00507555" w:rsidRDefault="00507555" w14:paraId="4D5BC805" wp14:textId="77777777">
      <w:pPr>
        <w:rPr>
          <w:rFonts w:ascii="Calibri" w:hAnsi="Calibri" w:eastAsia="Calibri" w:cs="Calibri"/>
          <w:sz w:val="16"/>
          <w:szCs w:val="24"/>
        </w:rPr>
      </w:pPr>
      <w:r w:rsidRPr="00B25B66">
        <w:rPr>
          <w:rFonts w:ascii="Calibri" w:hAnsi="Calibri" w:eastAsia="Calibri" w:cs="Calibri"/>
          <w:sz w:val="16"/>
          <w:szCs w:val="24"/>
        </w:rPr>
        <w:t xml:space="preserve">The fiduciary theory also establishes a principled framework for distinguishing peremptory norms from other human rights: </w:t>
      </w:r>
      <w:r>
        <w:rPr>
          <w:rFonts w:ascii="Calibri" w:hAnsi="Calibri" w:eastAsia="Calibri" w:cs="Calibri"/>
          <w:u w:val="single"/>
        </w:rPr>
        <w:t>human rights qualify as peremptory norms if a state’s compliance with these norms is always necessary to accomplish the state’s fiduciary mission of guaranteeing secure and equal freedom</w:t>
      </w:r>
      <w:r w:rsidRPr="00B25B66">
        <w:rPr>
          <w:rFonts w:ascii="Times New Roman" w:hAnsi="Times New Roman" w:eastAsia="Times New Roman" w:cs="Times New Roman"/>
          <w:sz w:val="16"/>
          <w:szCs w:val="24"/>
        </w:rPr>
        <w:t xml:space="preserve">. </w:t>
      </w:r>
      <w:r>
        <w:rPr>
          <w:rFonts w:ascii="Calibri" w:hAnsi="Calibri" w:eastAsia="Calibri" w:cs="Calibri"/>
          <w:u w:val="single"/>
        </w:rPr>
        <w:t>Some international norms such as the prohibitions against slavery and racial discrimination qualify as jus cogens on this account because states cannot violate these prohibitions without undermining their own claim to treat all persons as equal co-beneficiaries of state action</w:t>
      </w:r>
      <w:r w:rsidRPr="00B25B66">
        <w:rPr>
          <w:rFonts w:ascii="Times New Roman" w:hAnsi="Times New Roman" w:eastAsia="Times New Roman" w:cs="Times New Roman"/>
          <w:sz w:val="16"/>
          <w:szCs w:val="24"/>
        </w:rPr>
        <w:t xml:space="preserve">. </w:t>
      </w:r>
      <w:r>
        <w:rPr>
          <w:rFonts w:ascii="Calibri" w:hAnsi="Calibri" w:eastAsia="Calibri" w:cs="Calibri"/>
          <w:u w:val="single"/>
        </w:rPr>
        <w:t>Other state practices that exploit individuals as mere instruments of state policy or as obstacles to the realization of state objectives are likewise inconsistent with states’ basic fiduciary obligation to guarantee individuals’ secure and equal freedom.</w:t>
      </w:r>
      <w:r w:rsidRPr="00B25B66">
        <w:rPr>
          <w:rFonts w:ascii="Calibri" w:hAnsi="Calibri" w:eastAsia="Calibri" w:cs="Calibri"/>
          <w:sz w:val="16"/>
          <w:szCs w:val="24"/>
        </w:rPr>
        <w:t xml:space="preserve"> For this reason, international norms that prohibit grave offenses such as genocide, crimes against humanity, summary executions, forced disappearances, prolonged arbitrary detention, torture, and cruel, inhuman, and degrading treatment all qualify as jus cogens. </w:t>
      </w:r>
      <w:r>
        <w:rPr>
          <w:rFonts w:ascii="Calibri" w:hAnsi="Calibri" w:eastAsia="Calibri" w:cs="Calibri"/>
          <w:u w:val="single"/>
        </w:rPr>
        <w:t xml:space="preserve">States cannot violate these norms under any circumstances without forfeiting their claim to possess sovereign authority because such practices always instrumentalize their victims and, as such, are never consistent with a regime of secure and equal freedom. </w:t>
      </w:r>
      <w:r w:rsidRPr="00B25B66">
        <w:rPr>
          <w:rFonts w:ascii="Calibri" w:hAnsi="Calibri" w:eastAsia="Calibri" w:cs="Calibri"/>
          <w:sz w:val="16"/>
          <w:szCs w:val="24"/>
        </w:rPr>
        <w:t>The</w:t>
      </w:r>
      <w:r w:rsidRPr="00B25B66">
        <w:rPr>
          <w:rFonts w:ascii="Times New Roman" w:hAnsi="Times New Roman" w:eastAsia="Times New Roman" w:cs="Times New Roman"/>
          <w:sz w:val="16"/>
        </w:rPr>
        <w:t xml:space="preserve"> </w:t>
      </w:r>
      <w:r w:rsidRPr="00B25B66">
        <w:rPr>
          <w:rFonts w:ascii="Calibri" w:hAnsi="Calibri" w:eastAsia="Calibri" w:cs="Calibri"/>
          <w:sz w:val="16"/>
          <w:szCs w:val="24"/>
        </w:rPr>
        <w:t xml:space="preserve">fiduciary theory thus buttresses existing IHRL by affirming the peremptory status of various norms that are characterized as non-derogable in leading human rights instruments such as the ACHR, ECHR, and ICCPR. The fiduciary theory also paves the way for expanding the circle of peremptory human rights beyond the norms currently enshrined in multilateral treaties, with significant consequences for IHRL in times of emergency. We have argued that the fiduciary theory’s criteria dictate that states must afford all individuals the fundamental protections of due process such as the right to notice of criminal charges, an opportunity to be heard and present evidence, and adjudication by an independent and impartial tribunal.62 </w:t>
      </w:r>
      <w:r>
        <w:rPr>
          <w:rFonts w:ascii="Calibri" w:hAnsi="Calibri" w:eastAsia="Calibri" w:cs="Calibri"/>
          <w:u w:val="single"/>
        </w:rPr>
        <w:t>The Guantánamo Bay regime of indefinite detention and trial by ad hoc military commissions,63 as well as the practice of secret rendition to foreign prisons, plainly violate detainees’ peremptory rights to due process under the fiduciary theory. Similarly, public corruption on any scale violates jus cogens because self-dealing behavior by public officials is the antithesis of the state’s fiduciary obligation to secure legal order for the benefit of the people</w:t>
      </w:r>
      <w:r w:rsidRPr="00B25B66">
        <w:rPr>
          <w:rFonts w:ascii="Calibri" w:hAnsi="Calibri" w:eastAsia="Calibri" w:cs="Calibri"/>
          <w:sz w:val="16"/>
          <w:szCs w:val="24"/>
        </w:rPr>
        <w:t xml:space="preserve">.64 </w:t>
      </w:r>
      <w:r>
        <w:rPr>
          <w:rFonts w:ascii="Calibri" w:hAnsi="Calibri" w:eastAsia="Calibri" w:cs="Calibri"/>
          <w:u w:val="single"/>
        </w:rPr>
        <w:t>These international norms are binding upon states regardless of whether states have ratified particular human rights conventions, irrespective of whether the persons victimized are domestic or foreign, and without concern for the particular exigent circumstances under which the state acts.</w:t>
      </w:r>
      <w:r w:rsidRPr="00B25B66">
        <w:rPr>
          <w:rFonts w:ascii="Calibri" w:hAnsi="Calibri" w:eastAsia="Calibri" w:cs="Calibri"/>
          <w:sz w:val="16"/>
          <w:szCs w:val="24"/>
        </w:rPr>
        <w:t xml:space="preserve"> For all public officials and institutions, compliance with jus cogens is a constitutive constraint upon the exercise of sovereign powers. </w:t>
      </w:r>
    </w:p>
    <w:p xmlns:wp14="http://schemas.microsoft.com/office/word/2010/wordml" w:rsidRPr="001D492C" w:rsidR="00507555" w:rsidP="00507555" w:rsidRDefault="00507555" w14:paraId="4455F193" wp14:textId="77777777"/>
    <w:p xmlns:wp14="http://schemas.microsoft.com/office/word/2010/wordml" w:rsidR="00BE38F3" w:rsidP="00BE38F3" w:rsidRDefault="00BE38F3" w14:paraId="00F1AB18" wp14:textId="77777777">
      <w:pPr>
        <w:pStyle w:val="Heading1"/>
      </w:pPr>
      <w:r>
        <w:lastRenderedPageBreak/>
        <w:t>Framework Answers Grab Bag</w:t>
      </w:r>
    </w:p>
    <w:p xmlns:wp14="http://schemas.microsoft.com/office/word/2010/wordml" w:rsidR="00BE38F3" w:rsidP="00BE38F3" w:rsidRDefault="00BE38F3" w14:paraId="22E98642" wp14:textId="77777777">
      <w:pPr>
        <w:pStyle w:val="Heading2"/>
      </w:pPr>
      <w:r>
        <w:lastRenderedPageBreak/>
        <w:t>Counter-Definitions</w:t>
      </w:r>
    </w:p>
    <w:p xmlns:wp14="http://schemas.microsoft.com/office/word/2010/wordml" w:rsidR="00BE38F3" w:rsidP="00BE38F3" w:rsidRDefault="00BE38F3" w14:paraId="7E7A0E10" wp14:textId="77777777">
      <w:pPr>
        <w:pStyle w:val="Heading3"/>
      </w:pPr>
      <w:r>
        <w:lastRenderedPageBreak/>
        <w:t>Resolved</w:t>
      </w:r>
    </w:p>
    <w:p xmlns:wp14="http://schemas.microsoft.com/office/word/2010/wordml" w:rsidR="00BE38F3" w:rsidP="00BE38F3" w:rsidRDefault="00BE38F3" w14:paraId="70D9EB06" wp14:textId="77777777">
      <w:pPr>
        <w:pStyle w:val="Heading4"/>
      </w:pPr>
      <w:r>
        <w:t>Resolved means to be determined</w:t>
      </w:r>
    </w:p>
    <w:p xmlns:wp14="http://schemas.microsoft.com/office/word/2010/wordml" w:rsidR="00BE38F3" w:rsidP="00BE38F3" w:rsidRDefault="00BE38F3" w14:paraId="68262F87" wp14:textId="77777777">
      <w:r>
        <w:t>Dictionary.com</w:t>
      </w:r>
    </w:p>
    <w:p xmlns:wp14="http://schemas.microsoft.com/office/word/2010/wordml" w:rsidR="00BE38F3" w:rsidP="00BE38F3" w:rsidRDefault="00BE38F3" w14:paraId="5CCB94A9" wp14:textId="77777777">
      <w:pPr>
        <w:rPr>
          <w:rStyle w:val="StyleUnderline"/>
        </w:rPr>
      </w:pPr>
      <w:r w:rsidRPr="00731977">
        <w:t>resolved</w:t>
      </w:r>
      <w:r>
        <w:t xml:space="preserve"> </w:t>
      </w:r>
      <w:r w:rsidRPr="00731977">
        <w:t>[ri-zolvd]</w:t>
      </w:r>
      <w:r>
        <w:t xml:space="preserve"> </w:t>
      </w:r>
      <w:r w:rsidRPr="00731977">
        <w:t>adjective</w:t>
      </w:r>
      <w:r>
        <w:t xml:space="preserve"> </w:t>
      </w:r>
      <w:r w:rsidRPr="00731977">
        <w:t xml:space="preserve">firm in purpose or intent; </w:t>
      </w:r>
      <w:r w:rsidRPr="00731977">
        <w:rPr>
          <w:rStyle w:val="StyleUnderline"/>
        </w:rPr>
        <w:t>determined.</w:t>
      </w:r>
    </w:p>
    <w:p xmlns:wp14="http://schemas.microsoft.com/office/word/2010/wordml" w:rsidRPr="00731977" w:rsidR="00BE38F3" w:rsidP="00BE38F3" w:rsidRDefault="00BE38F3" w14:paraId="1C2776EB" wp14:textId="77777777"/>
    <w:p xmlns:wp14="http://schemas.microsoft.com/office/word/2010/wordml" w:rsidR="00BE38F3" w:rsidP="00BE38F3" w:rsidRDefault="00BE38F3" w14:paraId="22155341" wp14:textId="77777777">
      <w:pPr>
        <w:pStyle w:val="Heading3"/>
      </w:pPr>
      <w:r>
        <w:lastRenderedPageBreak/>
        <w:t>USfg</w:t>
      </w:r>
    </w:p>
    <w:p xmlns:wp14="http://schemas.microsoft.com/office/word/2010/wordml" w:rsidRPr="00BD0D44" w:rsidR="00BE38F3" w:rsidP="00BE38F3" w:rsidRDefault="00BE38F3" w14:paraId="075F8E3A" wp14:textId="77777777">
      <w:pPr>
        <w:pStyle w:val="Heading4"/>
      </w:pPr>
      <w:r>
        <w:t>The United States federal government is a contestable assemblage of geographic, ethnic, moral, and technological elements</w:t>
      </w:r>
    </w:p>
    <w:p xmlns:wp14="http://schemas.microsoft.com/office/word/2010/wordml" w:rsidR="00BE38F3" w:rsidP="00BE38F3" w:rsidRDefault="00BE38F3" w14:paraId="78A2B149" wp14:textId="77777777">
      <w:r w:rsidRPr="0006022A">
        <w:rPr>
          <w:rStyle w:val="Style13ptBold"/>
        </w:rPr>
        <w:t>Muller 15</w:t>
      </w:r>
      <w:r>
        <w:t xml:space="preserve"> [Martin, Swiss National Science Foundation Professor in the Department of Geography and Sustainability at the University of Lausanne, “Assemblages and Actor-networks: Rethinking Socio-material Power, Politics and Space,” Geography Compass 9/1, p. 32//</w:t>
      </w:r>
      <w:r w:rsidRPr="00787EBD">
        <w:t xml:space="preserve"> https://onlinelibrary.wiley.com/doi/pdf/10.1111/gec3.12192</w:t>
      </w:r>
      <w:r>
        <w:t>]</w:t>
      </w:r>
    </w:p>
    <w:p xmlns:wp14="http://schemas.microsoft.com/office/word/2010/wordml" w:rsidRPr="00BD0D44" w:rsidR="00BE38F3" w:rsidP="00BE38F3" w:rsidRDefault="00BE38F3" w14:paraId="208DAE01" wp14:textId="77777777">
      <w:pPr>
        <w:rPr>
          <w:rStyle w:val="StyleUnderline"/>
        </w:rPr>
      </w:pPr>
      <w:r>
        <w:t xml:space="preserve">Particular attention has gone to that most central organisation of all for political geographers: the state. Instead of conceiving the state as a unified actor, for Deleuze and Guattari, </w:t>
      </w:r>
      <w:r w:rsidRPr="00BD0D44">
        <w:rPr>
          <w:rStyle w:val="StyleUnderline"/>
        </w:rPr>
        <w:t>the state is an assemblage</w:t>
      </w:r>
      <w:r>
        <w:t xml:space="preserve"> – ‘a phenomenon of intraconsistency. </w:t>
      </w:r>
      <w:r w:rsidRPr="00BD0D44">
        <w:rPr>
          <w:rStyle w:val="StyleUnderline"/>
        </w:rPr>
        <w:t>It makes points resonate together,</w:t>
      </w:r>
      <w:r>
        <w:t xml:space="preserve"> … very diverse points of order, </w:t>
      </w:r>
      <w:r w:rsidRPr="00BD0D44">
        <w:rPr>
          <w:rStyle w:val="StyleUnderline"/>
        </w:rPr>
        <w:t>geographic, ethnic, linguistic, moral, economic, technological particularities’</w:t>
      </w:r>
      <w:r>
        <w:t xml:space="preserve"> (Deleuze and Guattari 1987, 433). Thus, </w:t>
      </w:r>
      <w:r w:rsidRPr="00BD0D44">
        <w:rPr>
          <w:rStyle w:val="StyleUnderline"/>
        </w:rPr>
        <w:t>the state becomes an effect rather than the origin of power</w:t>
      </w:r>
      <w:r>
        <w:t xml:space="preserve"> (Mitchell 1999). </w:t>
      </w:r>
      <w:r w:rsidRPr="00BD0D44">
        <w:rPr>
          <w:rStyle w:val="StyleUnderline"/>
        </w:rPr>
        <w:t>An increasing number of scholars have</w:t>
      </w:r>
      <w:r>
        <w:t xml:space="preserve">, over the past years, </w:t>
      </w:r>
      <w:r w:rsidRPr="00BD0D44">
        <w:rPr>
          <w:rStyle w:val="StyleUnderline"/>
        </w:rPr>
        <w:t>joined</w:t>
      </w:r>
      <w:r>
        <w:t xml:space="preserve"> the chorus </w:t>
      </w:r>
      <w:r w:rsidRPr="00BD0D44">
        <w:rPr>
          <w:rStyle w:val="StyleUnderline"/>
        </w:rPr>
        <w:t>in</w:t>
      </w:r>
      <w:r>
        <w:t xml:space="preserve"> calling for </w:t>
      </w:r>
      <w:r w:rsidRPr="00BD0D44">
        <w:rPr>
          <w:rStyle w:val="StyleUnderline"/>
        </w:rPr>
        <w:t>seeing the state as an assemblage of heterogeneous elements and reconstructing the socio-material basis of its functioning</w:t>
      </w:r>
      <w:r>
        <w:t xml:space="preserve"> (Dittmer 2013a; Mountz 2004; Painter 2006; Passoth and Rowland 2010; Schueth 2012). Geographers have become particularly interested in investigating the spatial reach of state power, i.e. the question of how action is coordinated at a distance, territorial control is achieved, borders are drawn and reinforced (Allen and Cochrane 2007, 2010). After all, spatial </w:t>
      </w:r>
      <w:r w:rsidRPr="00BD0D44">
        <w:rPr>
          <w:rStyle w:val="StyleUnderline"/>
        </w:rPr>
        <w:t>state power neither exists a priori nor is it evenly distributed in space: it runs up against obstacles, works better in some places than in others, is more contested here and is less contested there.</w:t>
      </w:r>
    </w:p>
    <w:p xmlns:wp14="http://schemas.microsoft.com/office/word/2010/wordml" w:rsidR="00BE38F3" w:rsidP="00BE38F3" w:rsidRDefault="00BE38F3" w14:paraId="12399164" wp14:textId="77777777">
      <w:pPr>
        <w:pStyle w:val="Heading4"/>
      </w:pPr>
      <w:r>
        <w:t>The USfg is merely a set of protocols producing a coercive apparatus that wields power</w:t>
      </w:r>
    </w:p>
    <w:p xmlns:wp14="http://schemas.microsoft.com/office/word/2010/wordml" w:rsidRPr="005378A1" w:rsidR="00BE38F3" w:rsidP="00BE38F3" w:rsidRDefault="00BE38F3" w14:paraId="65F727AE" wp14:textId="77777777">
      <w:r w:rsidRPr="005378A1">
        <w:rPr>
          <w:rStyle w:val="Style13ptBold"/>
        </w:rPr>
        <w:t>Harney and Moten 13</w:t>
      </w:r>
      <w:r w:rsidRPr="005378A1">
        <w:t xml:space="preserve"> [The Undercommons: Fugitive Planning and Black Study, Minor Compositions, pp 142-144 // tjb]</w:t>
      </w:r>
    </w:p>
    <w:p xmlns:wp14="http://schemas.microsoft.com/office/word/2010/wordml" w:rsidRPr="003B10D9" w:rsidR="00BE38F3" w:rsidP="0673B170" w:rsidRDefault="00BE38F3" w14:paraId="43007C51" wp14:textId="145EA098">
      <w:pPr>
        <w:rPr>
          <w:sz w:val="16"/>
          <w:szCs w:val="16"/>
        </w:rPr>
      </w:pPr>
      <w:r w:rsidRPr="0673B170" w:rsidR="0673B170">
        <w:rPr>
          <w:color w:val="000000" w:themeColor="text1" w:themeTint="FF" w:themeShade="FF"/>
          <w:sz w:val="16"/>
          <w:szCs w:val="16"/>
        </w:rPr>
        <w:t xml:space="preserve">STEFANO: </w:t>
      </w:r>
      <w:r w:rsidRPr="0673B170" w:rsidR="0673B170">
        <w:rPr>
          <w:color w:val="000000" w:themeColor="text1" w:themeTint="FF" w:themeShade="FF"/>
          <w:sz w:val="16"/>
          <w:szCs w:val="16"/>
        </w:rPr>
        <w:t>Well, it’s not that I’m less reticent.</w:t>
      </w:r>
      <w:r w:rsidRPr="0673B170" w:rsidR="0673B170">
        <w:rPr>
          <w:b w:val="1"/>
          <w:bCs w:val="1"/>
          <w:color w:val="000000" w:themeColor="text1" w:themeTint="FF" w:themeShade="FF"/>
          <w:u w:val="single"/>
        </w:rPr>
        <w:t xml:space="preserve"> I’m less convinced that there’s a thing called the state, because I used to work in it.</w:t>
      </w:r>
      <w:r w:rsidRPr="0673B170" w:rsidR="0673B170">
        <w:rPr>
          <w:color w:val="000000" w:themeColor="text1" w:themeTint="FF" w:themeShade="FF"/>
          <w:sz w:val="16"/>
          <w:szCs w:val="16"/>
        </w:rPr>
        <w:t xml:space="preserve"> Okay, government and state are not the same thing, but </w:t>
      </w:r>
      <w:r w:rsidRPr="0673B170" w:rsidR="0673B170">
        <w:rPr>
          <w:b w:val="1"/>
          <w:bCs w:val="1"/>
          <w:color w:val="000000" w:themeColor="text1" w:themeTint="FF" w:themeShade="FF"/>
          <w:u w:val="single"/>
        </w:rPr>
        <w:t>I’ve never been able to understand the state except as an effect of certain kinds of labor.</w:t>
      </w:r>
      <w:r w:rsidRPr="0673B170" w:rsidR="0673B170">
        <w:rPr>
          <w:color w:val="000000" w:themeColor="text1" w:themeTint="FF" w:themeShade="FF"/>
          <w:sz w:val="16"/>
          <w:szCs w:val="16"/>
        </w:rPr>
        <w:t xml:space="preserve"> And, when I was involved with that kind of labor, there were all kinds of </w:t>
      </w:r>
      <w:proofErr w:type="spellStart"/>
      <w:r w:rsidRPr="0673B170" w:rsidR="0673B170">
        <w:rPr>
          <w:color w:val="000000" w:themeColor="text1" w:themeTint="FF" w:themeShade="FF"/>
          <w:sz w:val="16"/>
          <w:szCs w:val="16"/>
        </w:rPr>
        <w:t>undercommons</w:t>
      </w:r>
      <w:proofErr w:type="spellEnd"/>
      <w:r w:rsidRPr="0673B170" w:rsidR="0673B170">
        <w:rPr>
          <w:color w:val="000000" w:themeColor="text1" w:themeTint="FF" w:themeShade="FF"/>
          <w:sz w:val="16"/>
          <w:szCs w:val="16"/>
        </w:rPr>
        <w:t xml:space="preserve"> in the departments that I worked in. </w:t>
      </w:r>
      <w:r w:rsidRPr="0673B170" w:rsidR="0673B170">
        <w:rPr>
          <w:b w:val="1"/>
          <w:bCs w:val="1"/>
          <w:color w:val="000000" w:themeColor="text1" w:themeTint="FF" w:themeShade="FF"/>
          <w:u w:val="single"/>
        </w:rPr>
        <w:t xml:space="preserve">There was an </w:t>
      </w:r>
      <w:proofErr w:type="spellStart"/>
      <w:r w:rsidRPr="0673B170" w:rsidR="0673B170">
        <w:rPr>
          <w:b w:val="1"/>
          <w:bCs w:val="1"/>
          <w:color w:val="000000" w:themeColor="text1" w:themeTint="FF" w:themeShade="FF"/>
          <w:u w:val="single"/>
        </w:rPr>
        <w:t>underlabor</w:t>
      </w:r>
      <w:proofErr w:type="spellEnd"/>
      <w:r w:rsidRPr="0673B170" w:rsidR="0673B170">
        <w:rPr>
          <w:b w:val="1"/>
          <w:bCs w:val="1"/>
          <w:color w:val="000000" w:themeColor="text1" w:themeTint="FF" w:themeShade="FF"/>
          <w:u w:val="single"/>
        </w:rPr>
        <w:t>. There was study going on all the time in government.</w:t>
      </w:r>
      <w:r w:rsidRPr="0673B170" w:rsidR="0673B170">
        <w:rPr>
          <w:color w:val="000000" w:themeColor="text1" w:themeTint="FF" w:themeShade="FF"/>
          <w:sz w:val="16"/>
          <w:szCs w:val="16"/>
        </w:rPr>
        <w:t xml:space="preserve"> And if </w:t>
      </w:r>
      <w:r w:rsidRPr="0673B170" w:rsidR="0673B170">
        <w:rPr>
          <w:b w:val="1"/>
          <w:bCs w:val="1"/>
          <w:color w:val="000000" w:themeColor="text1" w:themeTint="FF" w:themeShade="FF"/>
          <w:u w:val="single"/>
        </w:rPr>
        <w:t>government essentially produces effects of state in various ways</w:t>
      </w:r>
      <w:r w:rsidRPr="0673B170" w:rsidR="0673B170">
        <w:rPr>
          <w:color w:val="000000" w:themeColor="text1" w:themeTint="FF" w:themeShade="FF"/>
          <w:sz w:val="16"/>
          <w:szCs w:val="16"/>
        </w:rPr>
        <w:t xml:space="preserve">, which seems to be what Tim Mitchell and some of the smart- </w:t>
      </w:r>
      <w:proofErr w:type="spellStart"/>
      <w:r w:rsidRPr="0673B170" w:rsidR="0673B170">
        <w:rPr>
          <w:color w:val="000000" w:themeColor="text1" w:themeTint="FF" w:themeShade="FF"/>
          <w:sz w:val="16"/>
          <w:szCs w:val="16"/>
        </w:rPr>
        <w:t>er</w:t>
      </w:r>
      <w:proofErr w:type="spellEnd"/>
      <w:r w:rsidRPr="0673B170" w:rsidR="0673B170">
        <w:rPr>
          <w:color w:val="000000" w:themeColor="text1" w:themeTint="FF" w:themeShade="FF"/>
          <w:sz w:val="16"/>
          <w:szCs w:val="16"/>
        </w:rPr>
        <w:t xml:space="preserve"> guys around state theory think, then for me, </w:t>
      </w:r>
      <w:r w:rsidRPr="0673B170" w:rsidR="0673B170">
        <w:rPr>
          <w:b w:val="1"/>
          <w:bCs w:val="1"/>
          <w:color w:val="000000" w:themeColor="text1" w:themeTint="FF" w:themeShade="FF"/>
          <w:u w:val="single"/>
        </w:rPr>
        <w:t>it’s not about being against or for the state, it’s being about</w:t>
      </w:r>
      <w:r w:rsidRPr="0673B170" w:rsidR="0673B170">
        <w:rPr>
          <w:color w:val="000000" w:themeColor="text1" w:themeTint="FF" w:themeShade="FF"/>
          <w:sz w:val="16"/>
          <w:szCs w:val="16"/>
        </w:rPr>
        <w:t xml:space="preserve">, as </w:t>
      </w:r>
      <w:proofErr w:type="spellStart"/>
      <w:r w:rsidRPr="0673B170" w:rsidR="0673B170">
        <w:rPr>
          <w:color w:val="000000" w:themeColor="text1" w:themeTint="FF" w:themeShade="FF"/>
          <w:sz w:val="16"/>
          <w:szCs w:val="16"/>
        </w:rPr>
        <w:t>Tronti</w:t>
      </w:r>
      <w:proofErr w:type="spellEnd"/>
      <w:r w:rsidRPr="0673B170" w:rsidR="0673B170">
        <w:rPr>
          <w:color w:val="000000" w:themeColor="text1" w:themeTint="FF" w:themeShade="FF"/>
          <w:sz w:val="16"/>
          <w:szCs w:val="16"/>
        </w:rPr>
        <w:t xml:space="preserve"> would say, </w:t>
      </w:r>
      <w:r w:rsidRPr="0673B170" w:rsidR="0673B170">
        <w:rPr>
          <w:b w:val="1"/>
          <w:bCs w:val="1"/>
          <w:color w:val="000000" w:themeColor="text1" w:themeTint="FF" w:themeShade="FF"/>
          <w:u w:val="single"/>
        </w:rPr>
        <w:t xml:space="preserve">within and against the state, but also with and for the </w:t>
      </w:r>
      <w:proofErr w:type="spellStart"/>
      <w:r w:rsidRPr="0673B170" w:rsidR="0673B170">
        <w:rPr>
          <w:b w:val="1"/>
          <w:bCs w:val="1"/>
          <w:color w:val="000000" w:themeColor="text1" w:themeTint="FF" w:themeShade="FF"/>
          <w:u w:val="single"/>
        </w:rPr>
        <w:t>undercommons</w:t>
      </w:r>
      <w:proofErr w:type="spellEnd"/>
      <w:r w:rsidRPr="0673B170" w:rsidR="0673B170">
        <w:rPr>
          <w:b w:val="1"/>
          <w:bCs w:val="1"/>
          <w:color w:val="000000" w:themeColor="text1" w:themeTint="FF" w:themeShade="FF"/>
          <w:u w:val="single"/>
        </w:rPr>
        <w:t xml:space="preserve"> of the state.</w:t>
      </w:r>
      <w:r w:rsidRPr="0673B170" w:rsidR="0673B170">
        <w:rPr>
          <w:color w:val="000000" w:themeColor="text1" w:themeTint="FF" w:themeShade="FF"/>
          <w:sz w:val="16"/>
          <w:szCs w:val="16"/>
        </w:rPr>
        <w:t xml:space="preserve"> So, I just don’t line up on the side that there’s a state, there’s an economy, there’s a society, even that there’s state and capital in such a clear way.</w:t>
      </w:r>
      <w:r w:rsidRPr="0673B170" w:rsidR="0673B170">
        <w:rPr>
          <w:b w:val="1"/>
          <w:bCs w:val="1"/>
          <w:color w:val="000000" w:themeColor="text1" w:themeTint="FF" w:themeShade="FF"/>
          <w:u w:val="single"/>
        </w:rPr>
        <w:t xml:space="preserve"> I have a </w:t>
      </w:r>
      <w:r w:rsidRPr="0673B170" w:rsidR="0673B170">
        <w:rPr>
          <w:color w:val="000000" w:themeColor="text1" w:themeTint="FF" w:themeShade="FF"/>
          <w:sz w:val="16"/>
          <w:szCs w:val="16"/>
        </w:rPr>
        <w:t xml:space="preserve">much more, sort of, </w:t>
      </w:r>
      <w:r w:rsidRPr="0673B170" w:rsidR="0673B170">
        <w:rPr>
          <w:b w:val="1"/>
          <w:bCs w:val="1"/>
          <w:color w:val="000000" w:themeColor="text1" w:themeTint="FF" w:themeShade="FF"/>
          <w:u w:val="single"/>
        </w:rPr>
        <w:t>phenomenological</w:t>
      </w:r>
      <w:r w:rsidRPr="0673B170" w:rsidR="0673B170">
        <w:rPr>
          <w:color w:val="000000" w:themeColor="text1" w:themeTint="FF" w:themeShade="FF"/>
          <w:sz w:val="16"/>
          <w:szCs w:val="16"/>
        </w:rPr>
        <w:t xml:space="preserve">, if I could use that word which I kind of hate, </w:t>
      </w:r>
      <w:r w:rsidRPr="0673B170" w:rsidR="0673B170">
        <w:rPr>
          <w:b w:val="1"/>
          <w:bCs w:val="1"/>
          <w:color w:val="000000" w:themeColor="text1" w:themeTint="FF" w:themeShade="FF"/>
          <w:u w:val="single"/>
        </w:rPr>
        <w:t xml:space="preserve">approach to the state. When you get close to it, there’s all kinds of shit going on there. Most of </w:t>
      </w:r>
      <w:proofErr w:type="gramStart"/>
      <w:r w:rsidRPr="0673B170" w:rsidR="0673B170">
        <w:rPr>
          <w:b w:val="1"/>
          <w:bCs w:val="1"/>
          <w:color w:val="000000" w:themeColor="text1" w:themeTint="FF" w:themeShade="FF"/>
          <w:u w:val="single"/>
        </w:rPr>
        <w:t>it’s</w:t>
      </w:r>
      <w:proofErr w:type="gramEnd"/>
      <w:r w:rsidRPr="0673B170" w:rsidR="0673B170">
        <w:rPr>
          <w:b w:val="1"/>
          <w:bCs w:val="1"/>
          <w:color w:val="000000" w:themeColor="text1" w:themeTint="FF" w:themeShade="FF"/>
          <w:u w:val="single"/>
        </w:rPr>
        <w:t xml:space="preserve"> bad. Most of the effects are bad</w:t>
      </w:r>
      <w:r w:rsidRPr="0673B170" w:rsidR="0673B170">
        <w:rPr>
          <w:color w:val="000000" w:themeColor="text1" w:themeTint="FF" w:themeShade="FF"/>
          <w:sz w:val="16"/>
          <w:szCs w:val="16"/>
        </w:rPr>
        <w:t xml:space="preserve">. But, at the same time, </w:t>
      </w:r>
      <w:r w:rsidRPr="0673B170" w:rsidR="0673B170">
        <w:rPr>
          <w:b w:val="1"/>
          <w:bCs w:val="1"/>
          <w:color w:val="000000" w:themeColor="text1" w:themeTint="FF" w:themeShade="FF"/>
          <w:u w:val="single"/>
        </w:rPr>
        <w:t xml:space="preserve">some of the best study, some of the craziest </w:t>
      </w:r>
      <w:proofErr w:type="spellStart"/>
      <w:r w:rsidRPr="0673B170" w:rsidR="0673B170">
        <w:rPr>
          <w:b w:val="1"/>
          <w:bCs w:val="1"/>
          <w:color w:val="000000" w:themeColor="text1" w:themeTint="FF" w:themeShade="FF"/>
          <w:u w:val="single"/>
        </w:rPr>
        <w:t>undercommons</w:t>
      </w:r>
      <w:proofErr w:type="spellEnd"/>
      <w:r w:rsidRPr="0673B170" w:rsidR="0673B170">
        <w:rPr>
          <w:b w:val="1"/>
          <w:bCs w:val="1"/>
          <w:color w:val="000000" w:themeColor="text1" w:themeTint="FF" w:themeShade="FF"/>
          <w:u w:val="single"/>
        </w:rPr>
        <w:t xml:space="preserve"> people have been working in government agencies, local government agencies at the motor vehicle department. </w:t>
      </w:r>
      <w:r w:rsidRPr="0673B170" w:rsidR="0673B170">
        <w:rPr>
          <w:color w:val="000000" w:themeColor="text1" w:themeTint="FF" w:themeShade="FF"/>
          <w:sz w:val="16"/>
          <w:szCs w:val="16"/>
        </w:rPr>
        <w:t xml:space="preserve">I remember once going in; I remember me and my friend Pete, we tried to get a cover for </w:t>
      </w:r>
      <w:r w:rsidRPr="0673B170" w:rsidR="0673B170">
        <w:rPr>
          <w:i w:val="1"/>
          <w:iCs w:val="1"/>
          <w:color w:val="000000" w:themeColor="text1" w:themeTint="FF" w:themeShade="FF"/>
          <w:sz w:val="16"/>
          <w:szCs w:val="16"/>
        </w:rPr>
        <w:t>State Work</w:t>
      </w:r>
      <w:r w:rsidRPr="0673B170" w:rsidR="0673B170">
        <w:rPr>
          <w:color w:val="000000" w:themeColor="text1" w:themeTint="FF" w:themeShade="FF"/>
          <w:sz w:val="16"/>
          <w:szCs w:val="16"/>
        </w:rPr>
        <w:t xml:space="preserve">, my book about this stuff. We went into the big post office that they later closed in downtown </w:t>
      </w:r>
      <w:proofErr w:type="spellStart"/>
      <w:r w:rsidRPr="0673B170" w:rsidR="0673B170">
        <w:rPr>
          <w:color w:val="000000" w:themeColor="text1" w:themeTint="FF" w:themeShade="FF"/>
          <w:sz w:val="16"/>
          <w:szCs w:val="16"/>
        </w:rPr>
        <w:t>Manhat</w:t>
      </w:r>
      <w:proofErr w:type="spellEnd"/>
      <w:r w:rsidRPr="0673B170" w:rsidR="0673B170">
        <w:rPr>
          <w:color w:val="000000" w:themeColor="text1" w:themeTint="FF" w:themeShade="FF"/>
          <w:sz w:val="16"/>
          <w:szCs w:val="16"/>
        </w:rPr>
        <w:t>- tan. It was in the days when the post office was just full of people actually working there, before the attacks of September 11, 2001 in New York. I went to the one in Durham very recently, actually, and it reminded me of what it used to be like in New York, before it was all securitized. It was only a few people but it was just like that: a big old post office. Everyone had their booth, and i</w:t>
      </w:r>
      <w:r w:rsidRPr="0673B170" w:rsidR="0673B170">
        <w:rPr>
          <w:b w:val="1"/>
          <w:bCs w:val="1"/>
          <w:color w:val="000000" w:themeColor="text1" w:themeTint="FF" w:themeShade="FF"/>
          <w:u w:val="single"/>
        </w:rPr>
        <w:t xml:space="preserve">n lower Manhattan’s post office behind almost every booth was a black or </w:t>
      </w:r>
      <w:proofErr w:type="spellStart"/>
      <w:r w:rsidRPr="0673B170" w:rsidR="0673B170">
        <w:rPr>
          <w:b w:val="1"/>
          <w:bCs w:val="1"/>
          <w:color w:val="000000" w:themeColor="text1" w:themeTint="FF" w:themeShade="FF"/>
          <w:u w:val="single"/>
        </w:rPr>
        <w:t>latina</w:t>
      </w:r>
      <w:proofErr w:type="spellEnd"/>
      <w:r w:rsidRPr="0673B170" w:rsidR="0673B170">
        <w:rPr>
          <w:b w:val="1"/>
          <w:bCs w:val="1"/>
          <w:color w:val="000000" w:themeColor="text1" w:themeTint="FF" w:themeShade="FF"/>
          <w:u w:val="single"/>
        </w:rPr>
        <w:t xml:space="preserve"> </w:t>
      </w:r>
      <w:r w:rsidRPr="0673B170" w:rsidR="0673B170">
        <w:rPr>
          <w:b w:val="1"/>
          <w:bCs w:val="1"/>
          <w:color w:val="000000" w:themeColor="text1" w:themeTint="FF" w:themeShade="FF"/>
          <w:u w:val="single"/>
        </w:rPr>
        <w:t>woman who had completely decorated the booth for herself. And it was full of, like, Mumia posters, pictures of kids, pictures of Michael Jackson, pictures of union stuff, everything. Every booth, so every time you went up, you got a different view.</w:t>
      </w:r>
      <w:r w:rsidRPr="0673B170" w:rsidR="0673B170">
        <w:rPr>
          <w:color w:val="000000" w:themeColor="text1" w:themeTint="FF" w:themeShade="FF"/>
          <w:sz w:val="16"/>
          <w:szCs w:val="16"/>
        </w:rPr>
        <w:t xml:space="preserve"> And I’m like, well, </w:t>
      </w:r>
      <w:r w:rsidRPr="0673B170" w:rsidR="0673B170">
        <w:rPr>
          <w:b w:val="1"/>
          <w:bCs w:val="1"/>
          <w:color w:val="000000" w:themeColor="text1" w:themeTint="FF" w:themeShade="FF"/>
          <w:u w:val="single"/>
        </w:rPr>
        <w:t xml:space="preserve">if these are the people who are supposed to be making an effect called the state, then, there’s got to be an </w:t>
      </w:r>
      <w:proofErr w:type="spellStart"/>
      <w:r w:rsidRPr="0673B170" w:rsidR="0673B170">
        <w:rPr>
          <w:b w:val="1"/>
          <w:bCs w:val="1"/>
          <w:color w:val="000000" w:themeColor="text1" w:themeTint="FF" w:themeShade="FF"/>
          <w:u w:val="single"/>
        </w:rPr>
        <w:t>undercommons</w:t>
      </w:r>
      <w:proofErr w:type="spellEnd"/>
      <w:r w:rsidRPr="0673B170" w:rsidR="0673B170">
        <w:rPr>
          <w:b w:val="1"/>
          <w:bCs w:val="1"/>
          <w:color w:val="000000" w:themeColor="text1" w:themeTint="FF" w:themeShade="FF"/>
          <w:u w:val="single"/>
        </w:rPr>
        <w:t xml:space="preserve"> here too.</w:t>
      </w:r>
      <w:r w:rsidRPr="0673B170" w:rsidR="0673B170">
        <w:rPr>
          <w:color w:val="000000" w:themeColor="text1" w:themeTint="FF" w:themeShade="FF"/>
          <w:sz w:val="16"/>
          <w:szCs w:val="16"/>
        </w:rPr>
        <w:t xml:space="preserve"> So, </w:t>
      </w:r>
      <w:r w:rsidRPr="0673B170" w:rsidR="0673B170">
        <w:rPr>
          <w:b w:val="1"/>
          <w:bCs w:val="1"/>
          <w:color w:val="000000" w:themeColor="text1" w:themeTint="FF" w:themeShade="FF"/>
          <w:u w:val="single"/>
        </w:rPr>
        <w:t>it’s not helpful for me to say I can do this and I will be invisible to the state won’t throw me in jail or doesn’t throw people in jail all the time. I just don’t like to start from that position.</w:t>
      </w:r>
      <w:r w:rsidRPr="0673B170" w:rsidR="0673B170">
        <w:rPr>
          <w:color w:val="000000" w:themeColor="text1" w:themeTint="FF" w:themeShade="FF"/>
          <w:sz w:val="16"/>
          <w:szCs w:val="16"/>
        </w:rPr>
        <w:t xml:space="preserve"> </w:t>
      </w:r>
      <w:r w:rsidRPr="0673B170" w:rsidR="0673B170">
        <w:rPr>
          <w:color w:val="000000" w:themeColor="text1" w:themeTint="FF" w:themeShade="FF"/>
          <w:sz w:val="16"/>
          <w:szCs w:val="16"/>
        </w:rPr>
        <w:t xml:space="preserve">STEVPHEN: </w:t>
      </w:r>
      <w:r w:rsidRPr="0673B170" w:rsidR="0673B170">
        <w:rPr>
          <w:color w:val="000000" w:themeColor="text1" w:themeTint="FF" w:themeShade="FF"/>
          <w:sz w:val="16"/>
          <w:szCs w:val="16"/>
        </w:rPr>
        <w:t xml:space="preserve">It sounds more like projecting sort of an accidental </w:t>
      </w:r>
      <w:proofErr w:type="spellStart"/>
      <w:r w:rsidRPr="0673B170" w:rsidR="0673B170">
        <w:rPr>
          <w:color w:val="000000" w:themeColor="text1" w:themeTint="FF" w:themeShade="FF"/>
          <w:sz w:val="16"/>
          <w:szCs w:val="16"/>
        </w:rPr>
        <w:t>fet</w:t>
      </w:r>
      <w:proofErr w:type="spellEnd"/>
      <w:r w:rsidRPr="0673B170" w:rsidR="0673B170">
        <w:rPr>
          <w:color w:val="000000" w:themeColor="text1" w:themeTint="FF" w:themeShade="FF"/>
          <w:sz w:val="16"/>
          <w:szCs w:val="16"/>
        </w:rPr>
        <w:t xml:space="preserve">- </w:t>
      </w:r>
      <w:proofErr w:type="spellStart"/>
      <w:r w:rsidRPr="0673B170" w:rsidR="0673B170">
        <w:rPr>
          <w:color w:val="000000" w:themeColor="text1" w:themeTint="FF" w:themeShade="FF"/>
          <w:sz w:val="16"/>
          <w:szCs w:val="16"/>
        </w:rPr>
        <w:t>ish</w:t>
      </w:r>
      <w:proofErr w:type="spellEnd"/>
      <w:r w:rsidRPr="0673B170" w:rsidR="0673B170">
        <w:rPr>
          <w:color w:val="000000" w:themeColor="text1" w:themeTint="FF" w:themeShade="FF"/>
          <w:sz w:val="16"/>
          <w:szCs w:val="16"/>
        </w:rPr>
        <w:t xml:space="preserve"> character of the state that sees it as whole and coordinated and, of course, very sensible. </w:t>
      </w:r>
      <w:r w:rsidRPr="0673B170" w:rsidR="0673B170">
        <w:rPr>
          <w:color w:val="000000" w:themeColor="text1" w:themeTint="FF" w:themeShade="FF"/>
          <w:sz w:val="16"/>
          <w:szCs w:val="16"/>
        </w:rPr>
        <w:t xml:space="preserve">STEFANO: </w:t>
      </w:r>
      <w:r w:rsidRPr="0673B170" w:rsidR="0673B170">
        <w:rPr>
          <w:color w:val="000000" w:themeColor="text1" w:themeTint="FF" w:themeShade="FF"/>
          <w:sz w:val="16"/>
          <w:szCs w:val="16"/>
        </w:rPr>
        <w:t xml:space="preserve">Yeah, and also, I think the fact that people work on an </w:t>
      </w:r>
      <w:proofErr w:type="spellStart"/>
      <w:r w:rsidRPr="0673B170" w:rsidR="0673B170">
        <w:rPr>
          <w:color w:val="000000" w:themeColor="text1" w:themeTint="FF" w:themeShade="FF"/>
          <w:sz w:val="16"/>
          <w:szCs w:val="16"/>
        </w:rPr>
        <w:t>af</w:t>
      </w:r>
      <w:proofErr w:type="spellEnd"/>
      <w:r w:rsidRPr="0673B170" w:rsidR="0673B170">
        <w:rPr>
          <w:color w:val="000000" w:themeColor="text1" w:themeTint="FF" w:themeShade="FF"/>
          <w:sz w:val="16"/>
          <w:szCs w:val="16"/>
        </w:rPr>
        <w:t xml:space="preserve">- </w:t>
      </w:r>
      <w:proofErr w:type="spellStart"/>
      <w:r w:rsidRPr="0673B170" w:rsidR="0673B170">
        <w:rPr>
          <w:color w:val="000000" w:themeColor="text1" w:themeTint="FF" w:themeShade="FF"/>
          <w:sz w:val="16"/>
          <w:szCs w:val="16"/>
        </w:rPr>
        <w:t>fective</w:t>
      </w:r>
      <w:proofErr w:type="spellEnd"/>
      <w:r w:rsidRPr="0673B170" w:rsidR="0673B170">
        <w:rPr>
          <w:color w:val="000000" w:themeColor="text1" w:themeTint="FF" w:themeShade="FF"/>
          <w:sz w:val="16"/>
          <w:szCs w:val="16"/>
        </w:rPr>
        <w:t xml:space="preserve"> state – and there is a certain thing that goes on that doesn’t maybe go on in private production, because you have some notion that you’re producing the effect. Now, that’s become more common everywhere else. So, there’s been a kind of way in which, well, there used to be some idea that when you’re working in productive </w:t>
      </w:r>
      <w:proofErr w:type="spellStart"/>
      <w:r w:rsidRPr="0673B170" w:rsidR="0673B170">
        <w:rPr>
          <w:color w:val="000000" w:themeColor="text1" w:themeTint="FF" w:themeShade="FF"/>
          <w:sz w:val="16"/>
          <w:szCs w:val="16"/>
        </w:rPr>
        <w:t>indus</w:t>
      </w:r>
      <w:proofErr w:type="spellEnd"/>
      <w:r w:rsidRPr="0673B170" w:rsidR="0673B170">
        <w:rPr>
          <w:color w:val="000000" w:themeColor="text1" w:themeTint="FF" w:themeShade="FF"/>
          <w:sz w:val="16"/>
          <w:szCs w:val="16"/>
        </w:rPr>
        <w:t xml:space="preserve">- tries you’re producing stuff. Now of course everybody thinks they’re producing effects everywhere they’re working. So, also, it seems to me that a certain kind of distinction has broken down around that – and I think that’s interesting. Also, I’m not against the production of </w:t>
      </w:r>
      <w:proofErr w:type="spellStart"/>
      <w:r w:rsidRPr="0673B170" w:rsidR="0673B170">
        <w:rPr>
          <w:color w:val="000000" w:themeColor="text1" w:themeTint="FF" w:themeShade="FF"/>
          <w:sz w:val="16"/>
          <w:szCs w:val="16"/>
        </w:rPr>
        <w:t>ef</w:t>
      </w:r>
      <w:proofErr w:type="spellEnd"/>
      <w:r w:rsidRPr="0673B170" w:rsidR="0673B170">
        <w:rPr>
          <w:color w:val="000000" w:themeColor="text1" w:themeTint="FF" w:themeShade="FF"/>
          <w:sz w:val="16"/>
          <w:szCs w:val="16"/>
        </w:rPr>
        <w:t xml:space="preserve">- </w:t>
      </w:r>
      <w:proofErr w:type="spellStart"/>
      <w:r w:rsidRPr="0673B170" w:rsidR="0673B170">
        <w:rPr>
          <w:color w:val="000000" w:themeColor="text1" w:themeTint="FF" w:themeShade="FF"/>
          <w:sz w:val="16"/>
          <w:szCs w:val="16"/>
        </w:rPr>
        <w:t>fects</w:t>
      </w:r>
      <w:proofErr w:type="spellEnd"/>
      <w:r w:rsidRPr="0673B170" w:rsidR="0673B170">
        <w:rPr>
          <w:color w:val="000000" w:themeColor="text1" w:themeTint="FF" w:themeShade="FF"/>
          <w:sz w:val="16"/>
          <w:szCs w:val="16"/>
        </w:rPr>
        <w:t xml:space="preserve">. </w:t>
      </w:r>
      <w:r w:rsidRPr="0673B170" w:rsidR="0673B170">
        <w:rPr>
          <w:b w:val="1"/>
          <w:bCs w:val="1"/>
          <w:color w:val="000000" w:themeColor="text1" w:themeTint="FF" w:themeShade="FF"/>
          <w:u w:val="single"/>
        </w:rPr>
        <w:t>I don’t think that it’s bad that people should get together and imagine that they’re producing something hard to see. It’s just bad that they happen to imagine nation-states.</w:t>
      </w:r>
      <w:r w:rsidRPr="0673B170" w:rsidR="0673B170">
        <w:rPr>
          <w:color w:val="000000" w:themeColor="text1" w:themeTint="FF" w:themeShade="FF"/>
          <w:sz w:val="16"/>
          <w:szCs w:val="16"/>
        </w:rPr>
        <w:t xml:space="preserve"> I guess that’s my position on James Scott [laughs]. You know, I get enough shit for attacking James Scott. I really never give the guy a thought! I used to get </w:t>
      </w:r>
      <w:proofErr w:type="spellStart"/>
      <w:r w:rsidRPr="0673B170" w:rsidR="0673B170">
        <w:rPr>
          <w:color w:val="000000" w:themeColor="text1" w:themeTint="FF" w:themeShade="FF"/>
          <w:sz w:val="16"/>
          <w:szCs w:val="16"/>
        </w:rPr>
        <w:t>criticised</w:t>
      </w:r>
      <w:proofErr w:type="spellEnd"/>
      <w:r w:rsidRPr="0673B170" w:rsidR="0673B170">
        <w:rPr>
          <w:color w:val="000000" w:themeColor="text1" w:themeTint="FF" w:themeShade="FF"/>
          <w:sz w:val="16"/>
          <w:szCs w:val="16"/>
        </w:rPr>
        <w:t xml:space="preserve"> all the time when the </w:t>
      </w:r>
      <w:r w:rsidRPr="0673B170" w:rsidR="0673B170">
        <w:rPr>
          <w:i w:val="1"/>
          <w:iCs w:val="1"/>
          <w:color w:val="000000" w:themeColor="text1" w:themeTint="FF" w:themeShade="FF"/>
          <w:sz w:val="16"/>
          <w:szCs w:val="16"/>
        </w:rPr>
        <w:t xml:space="preserve">State Work </w:t>
      </w:r>
      <w:r w:rsidRPr="0673B170" w:rsidR="0673B170">
        <w:rPr>
          <w:color w:val="000000" w:themeColor="text1" w:themeTint="FF" w:themeShade="FF"/>
          <w:sz w:val="16"/>
          <w:szCs w:val="16"/>
        </w:rPr>
        <w:t xml:space="preserve">book came out, from my development studies friends because apparently I called him “an anti-communist,” and that really made everybody berserk. But I just meant in the technical sense that he was against communism. </w:t>
      </w:r>
      <w:r w:rsidRPr="0673B170" w:rsidR="0673B170">
        <w:rPr>
          <w:color w:val="000000" w:themeColor="text1" w:themeTint="FF" w:themeShade="FF"/>
          <w:sz w:val="16"/>
          <w:szCs w:val="16"/>
        </w:rPr>
        <w:t xml:space="preserve">STEVPHEN: </w:t>
      </w:r>
      <w:r w:rsidRPr="0673B170" w:rsidR="0673B170">
        <w:rPr>
          <w:color w:val="000000" w:themeColor="text1" w:themeTint="FF" w:themeShade="FF"/>
          <w:sz w:val="16"/>
          <w:szCs w:val="16"/>
        </w:rPr>
        <w:t xml:space="preserve">In the technical sense! [laughs] </w:t>
      </w:r>
      <w:r w:rsidRPr="0673B170" w:rsidR="0673B170">
        <w:rPr>
          <w:color w:val="000000" w:themeColor="text1" w:themeTint="FF" w:themeShade="FF"/>
          <w:sz w:val="16"/>
          <w:szCs w:val="16"/>
        </w:rPr>
        <w:t xml:space="preserve">FRED: </w:t>
      </w:r>
      <w:r w:rsidRPr="0673B170" w:rsidR="0673B170">
        <w:rPr>
          <w:color w:val="000000" w:themeColor="text1" w:themeTint="FF" w:themeShade="FF"/>
          <w:sz w:val="16"/>
          <w:szCs w:val="16"/>
        </w:rPr>
        <w:t xml:space="preserve">I’m actually asking the question now, because I want you to say something more, Stefano, about this, because I actually think it’s </w:t>
      </w:r>
      <w:proofErr w:type="spellStart"/>
      <w:r w:rsidRPr="0673B170" w:rsidR="0673B170">
        <w:rPr>
          <w:color w:val="000000" w:themeColor="text1" w:themeTint="FF" w:themeShade="FF"/>
          <w:sz w:val="16"/>
          <w:szCs w:val="16"/>
        </w:rPr>
        <w:t>im</w:t>
      </w:r>
      <w:proofErr w:type="spellEnd"/>
      <w:r w:rsidRPr="0673B170" w:rsidR="0673B170">
        <w:rPr>
          <w:color w:val="000000" w:themeColor="text1" w:themeTint="FF" w:themeShade="FF"/>
          <w:sz w:val="16"/>
          <w:szCs w:val="16"/>
        </w:rPr>
        <w:t xml:space="preserve">- </w:t>
      </w:r>
      <w:proofErr w:type="spellStart"/>
      <w:r w:rsidRPr="0673B170" w:rsidR="0673B170">
        <w:rPr>
          <w:color w:val="000000" w:themeColor="text1" w:themeTint="FF" w:themeShade="FF"/>
          <w:sz w:val="16"/>
          <w:szCs w:val="16"/>
        </w:rPr>
        <w:t>portant</w:t>
      </w:r>
      <w:proofErr w:type="spellEnd"/>
      <w:r w:rsidRPr="0673B170" w:rsidR="0673B170">
        <w:rPr>
          <w:color w:val="000000" w:themeColor="text1" w:themeTint="FF" w:themeShade="FF"/>
          <w:sz w:val="16"/>
          <w:szCs w:val="16"/>
        </w:rPr>
        <w:t>. For Scott, what is it that he thinks he means by the state? Be- cause what you’re saying, Stefano, is that th</w:t>
      </w:r>
      <w:r w:rsidRPr="0673B170" w:rsidR="0673B170">
        <w:rPr>
          <w:b w:val="1"/>
          <w:bCs w:val="1"/>
          <w:color w:val="000000" w:themeColor="text1" w:themeTint="FF" w:themeShade="FF"/>
          <w:u w:val="single"/>
        </w:rPr>
        <w:t xml:space="preserve">ere’s this monolithic thing that appears to be the referent when people utter the word ‘state.’ </w:t>
      </w:r>
      <w:r w:rsidRPr="0673B170" w:rsidR="0673B170">
        <w:rPr>
          <w:color w:val="000000" w:themeColor="text1" w:themeTint="FF" w:themeShade="FF"/>
          <w:sz w:val="16"/>
          <w:szCs w:val="16"/>
        </w:rPr>
        <w:t xml:space="preserve">And you’re saying it’s not monolithic at all, and </w:t>
      </w:r>
      <w:r w:rsidRPr="0673B170" w:rsidR="0673B170">
        <w:rPr>
          <w:b w:val="1"/>
          <w:bCs w:val="1"/>
          <w:color w:val="000000" w:themeColor="text1" w:themeTint="FF" w:themeShade="FF"/>
          <w:u w:val="single"/>
        </w:rPr>
        <w:t>not only is it not a monolith but it’s very, very thoroughly aerated</w:t>
      </w:r>
      <w:r w:rsidRPr="0673B170" w:rsidR="0673B170">
        <w:rPr>
          <w:color w:val="000000" w:themeColor="text1" w:themeTint="FF" w:themeShade="FF"/>
          <w:sz w:val="16"/>
          <w:szCs w:val="16"/>
        </w:rPr>
        <w:t xml:space="preserve">. </w:t>
      </w:r>
      <w:r w:rsidRPr="0673B170" w:rsidR="0673B170">
        <w:rPr>
          <w:b w:val="1"/>
          <w:bCs w:val="1"/>
          <w:color w:val="000000" w:themeColor="text1" w:themeTint="FF" w:themeShade="FF"/>
          <w:u w:val="single"/>
        </w:rPr>
        <w:t xml:space="preserve">There are all kinds of little holes and tunnels and ditches and highways and byways </w:t>
      </w:r>
      <w:r w:rsidRPr="0673B170" w:rsidR="0673B170">
        <w:rPr>
          <w:b w:val="1"/>
          <w:bCs w:val="1"/>
          <w:i w:val="1"/>
          <w:iCs w:val="1"/>
          <w:color w:val="000000" w:themeColor="text1" w:themeTint="FF" w:themeShade="FF"/>
          <w:u w:val="single"/>
        </w:rPr>
        <w:t xml:space="preserve">through the state </w:t>
      </w:r>
      <w:r w:rsidRPr="0673B170" w:rsidR="0673B170">
        <w:rPr>
          <w:b w:val="1"/>
          <w:bCs w:val="1"/>
          <w:color w:val="000000" w:themeColor="text1" w:themeTint="FF" w:themeShade="FF"/>
          <w:u w:val="single"/>
        </w:rPr>
        <w:t xml:space="preserve">that are being produced and maintained constantly by the people who are also at the same time doing this labor that ends in the production </w:t>
      </w:r>
      <w:r w:rsidRPr="0673B170" w:rsidR="0673B170">
        <w:rPr>
          <w:b w:val="1"/>
          <w:bCs w:val="1"/>
          <w:i w:val="1"/>
          <w:iCs w:val="1"/>
          <w:color w:val="000000" w:themeColor="text1" w:themeTint="FF" w:themeShade="FF"/>
          <w:u w:val="single"/>
        </w:rPr>
        <w:t>of the state</w:t>
      </w:r>
      <w:r w:rsidRPr="0673B170" w:rsidR="0673B170">
        <w:rPr>
          <w:b w:val="1"/>
          <w:bCs w:val="1"/>
          <w:color w:val="000000" w:themeColor="text1" w:themeTint="FF" w:themeShade="FF"/>
          <w:u w:val="single"/>
        </w:rPr>
        <w:t>.</w:t>
      </w:r>
      <w:r w:rsidRPr="0673B170" w:rsidR="0673B170">
        <w:rPr>
          <w:color w:val="000000" w:themeColor="text1" w:themeTint="FF" w:themeShade="FF"/>
          <w:sz w:val="16"/>
          <w:szCs w:val="16"/>
        </w:rPr>
        <w:t xml:space="preserve"> So, what is it that these folks are producing? Scott seems to refer to a monolith that is unbroken by and in the very process of its construction. He’s one of the ones who gets us back to the point where we ask, </w:t>
      </w:r>
      <w:r w:rsidRPr="0673B170" w:rsidR="0673B170">
        <w:rPr>
          <w:b w:val="1"/>
          <w:bCs w:val="1"/>
          <w:color w:val="000000" w:themeColor="text1" w:themeTint="FF" w:themeShade="FF"/>
          <w:u w:val="single"/>
        </w:rPr>
        <w:t>what is it that we don’t like about that monolith. Well, its coercive power or its power to police or its power to make policy or to foster the making of policy or its power to govern or to foster governance and governmentality.</w:t>
      </w:r>
      <w:r w:rsidRPr="0673B170" w:rsidR="0673B170">
        <w:rPr>
          <w:color w:val="000000" w:themeColor="text1" w:themeTint="FF" w:themeShade="FF"/>
          <w:sz w:val="16"/>
          <w:szCs w:val="16"/>
        </w:rPr>
        <w:t xml:space="preserve"> So, what is he talking about? I give him credit, or I believe, however anti-communist he is, I believe he’s sincere in his antipathy towards the monolith. T</w:t>
      </w:r>
      <w:r w:rsidRPr="0673B170" w:rsidR="0673B170">
        <w:rPr>
          <w:b w:val="1"/>
          <w:bCs w:val="1"/>
          <w:color w:val="000000" w:themeColor="text1" w:themeTint="FF" w:themeShade="FF"/>
          <w:u w:val="single"/>
        </w:rPr>
        <w:t xml:space="preserve">o the extent that it exists, I hate it, too. But, then, there are other people on the left who have no antipathy towards the state at all. And then I think they mean, it’s not some sort of monolithic mode of existence that we are all captured by and contained within at the level of our own </w:t>
      </w:r>
      <w:r w:rsidRPr="0673B170" w:rsidR="0673B170">
        <w:rPr>
          <w:b w:val="1"/>
          <w:bCs w:val="1"/>
          <w:color w:val="000000" w:themeColor="text1" w:themeTint="FF" w:themeShade="FF"/>
          <w:u w:val="single"/>
        </w:rPr>
        <w:t>affe</w:t>
      </w:r>
      <w:r w:rsidRPr="0673B170" w:rsidR="0673B170">
        <w:rPr>
          <w:b w:val="1"/>
          <w:bCs w:val="1"/>
          <w:color w:val="000000" w:themeColor="text1" w:themeTint="FF" w:themeShade="FF"/>
          <w:u w:val="single"/>
        </w:rPr>
        <w:t xml:space="preserve"> </w:t>
      </w:r>
      <w:r w:rsidRPr="0673B170" w:rsidR="0673B170">
        <w:rPr>
          <w:b w:val="1"/>
          <w:bCs w:val="1"/>
          <w:color w:val="000000" w:themeColor="text1" w:themeTint="FF" w:themeShade="FF"/>
          <w:u w:val="single"/>
        </w:rPr>
        <w:t>ctive</w:t>
      </w:r>
      <w:r w:rsidRPr="0673B170" w:rsidR="0673B170">
        <w:rPr>
          <w:b w:val="1"/>
          <w:bCs w:val="1"/>
          <w:color w:val="000000" w:themeColor="text1" w:themeTint="FF" w:themeShade="FF"/>
          <w:u w:val="single"/>
        </w:rPr>
        <w:t xml:space="preserve"> relations to one another and our everyday practices </w:t>
      </w:r>
      <w:r w:rsidRPr="0673B170" w:rsidR="0673B170">
        <w:rPr>
          <w:color w:val="000000" w:themeColor="text1" w:themeTint="FF" w:themeShade="FF"/>
          <w:sz w:val="16"/>
          <w:szCs w:val="16"/>
        </w:rPr>
        <w:t xml:space="preserve">– because I think that’s part of what Scott means. But </w:t>
      </w:r>
      <w:r w:rsidRPr="0673B170" w:rsidR="0673B170">
        <w:rPr>
          <w:b w:val="1"/>
          <w:bCs w:val="1"/>
          <w:color w:val="000000" w:themeColor="text1" w:themeTint="FF" w:themeShade="FF"/>
          <w:u w:val="single"/>
        </w:rPr>
        <w:t>what they’re basically saying is, “no, what I’m interested in is this thing that has a certain kind of coercive power, and rather than that coercive power being granted to some other mug, I want it to be granted to me because I’ll do the right thing with it. And also the main reason is I not only believe that I would do the right thing with it but I also believe that the kinds of things that I want to do at the level of scale can only be done by way of some sort of state or state apparatuses.</w:t>
      </w:r>
      <w:r w:rsidRPr="0673B170" w:rsidR="0673B170">
        <w:rPr>
          <w:color w:val="000000" w:themeColor="text1" w:themeTint="FF" w:themeShade="FF"/>
          <w:sz w:val="16"/>
          <w:szCs w:val="16"/>
        </w:rPr>
        <w:t xml:space="preserve">” So, </w:t>
      </w:r>
      <w:r w:rsidRPr="0673B170" w:rsidR="0673B170">
        <w:rPr>
          <w:b w:val="1"/>
          <w:bCs w:val="1"/>
          <w:color w:val="000000" w:themeColor="text1" w:themeTint="FF" w:themeShade="FF"/>
          <w:u w:val="single"/>
        </w:rPr>
        <w:t xml:space="preserve">their ploy is: “(a) I’ll do it better and (b) I’m thinking about shit at the level of scale and you’re just being silly and all you care about is these four people that you’re talking to right now.” </w:t>
      </w:r>
      <w:r w:rsidRPr="0673B170" w:rsidR="0673B170">
        <w:rPr>
          <w:color w:val="000000" w:themeColor="text1" w:themeTint="FF" w:themeShade="FF"/>
          <w:sz w:val="16"/>
          <w:szCs w:val="16"/>
        </w:rPr>
        <w:t xml:space="preserve">See? </w:t>
      </w:r>
      <w:r w:rsidRPr="0673B170" w:rsidR="0673B170">
        <w:rPr>
          <w:color w:val="000000" w:themeColor="text1" w:themeTint="FF" w:themeShade="FF"/>
          <w:sz w:val="16"/>
          <w:szCs w:val="16"/>
        </w:rPr>
        <w:t xml:space="preserve">STEFANO: </w:t>
      </w:r>
      <w:r w:rsidRPr="0673B170" w:rsidR="0673B170">
        <w:rPr>
          <w:color w:val="000000" w:themeColor="text1" w:themeTint="FF" w:themeShade="FF"/>
          <w:sz w:val="16"/>
          <w:szCs w:val="16"/>
        </w:rPr>
        <w:t xml:space="preserve">I do see, and </w:t>
      </w:r>
      <w:r w:rsidRPr="0673B170" w:rsidR="0673B170">
        <w:rPr>
          <w:b w:val="1"/>
          <w:bCs w:val="1"/>
          <w:color w:val="000000" w:themeColor="text1" w:themeTint="FF" w:themeShade="FF"/>
          <w:u w:val="single"/>
        </w:rPr>
        <w:t>I’m also interested in this question of scale, because that’s the side of the argument scale ends up on and who it ends up on and with.</w:t>
      </w:r>
      <w:r w:rsidRPr="0673B170" w:rsidR="0673B170">
        <w:rPr>
          <w:color w:val="000000" w:themeColor="text1" w:themeTint="FF" w:themeShade="FF"/>
          <w:sz w:val="16"/>
          <w:szCs w:val="16"/>
        </w:rPr>
        <w:t xml:space="preserve"> But, one of the things I’m interested in, in the history of communism, let’s say, is: </w:t>
      </w:r>
      <w:r w:rsidRPr="0673B170" w:rsidR="0673B170">
        <w:rPr>
          <w:b w:val="1"/>
          <w:bCs w:val="1"/>
          <w:color w:val="000000" w:themeColor="text1" w:themeTint="FF" w:themeShade="FF"/>
          <w:u w:val="single"/>
        </w:rPr>
        <w:t>under what circumstances could I allow myself to be taken up and possessed by others, be in the hands of others, give up anything like a kind of sovereign self-determination that I will vote on every decision, that I will oversee, that I will be like Lenin’s inspectors, coming in to make sure the state’s doing what it wants?</w:t>
      </w:r>
      <w:r w:rsidRPr="0673B170" w:rsidR="0673B170">
        <w:rPr>
          <w:color w:val="000000" w:themeColor="text1" w:themeTint="FF" w:themeShade="FF"/>
          <w:sz w:val="16"/>
          <w:szCs w:val="16"/>
        </w:rPr>
        <w:t xml:space="preserve"> What kind of communism could there be where I could just allow some people to do some shit for me, at the level of scale, and at the same time those people would also at other moments allow me to be doing that kind of thing? So, in what ways are we </w:t>
      </w:r>
      <w:r w:rsidRPr="0673B170" w:rsidR="0673B170">
        <w:rPr>
          <w:color w:val="000000" w:themeColor="text1" w:themeTint="FF" w:themeShade="FF"/>
          <w:sz w:val="16"/>
          <w:szCs w:val="16"/>
        </w:rPr>
        <w:t xml:space="preserve">practicing, when we’re for a dispossession of ourselves and allowing ourselves to be possessed in certain other ways, allowing ourselves to consent not to be one, at a moment that also lets people act on us and through us, and doesn’t constantly require us re-constituting ourselves, which I think is implied? And this is, I think, the anti-communism of Scott. Scott’s smallness is about self-determined autonomy. When you’re small and in resistance, you’re always in control. Now, it’s not that then instead we go for the state, because obviously the state, despite the fact that, as I say, it’s not the thing he thinks it is, but a whole series of different kinds of shit – its effects are basically bad in the end. But, I’m interested in the way in which </w:t>
      </w:r>
      <w:r w:rsidRPr="0673B170" w:rsidR="0673B170">
        <w:rPr>
          <w:b w:val="1"/>
          <w:bCs w:val="1"/>
          <w:color w:val="000000" w:themeColor="text1" w:themeTint="FF" w:themeShade="FF"/>
          <w:u w:val="single"/>
        </w:rPr>
        <w:t>what we’re doing already is and can be completely complex, that it doesn’t require some other step and that we need to practice something else.</w:t>
      </w:r>
      <w:r w:rsidRPr="0673B170" w:rsidR="0673B170">
        <w:rPr>
          <w:color w:val="000000" w:themeColor="text1" w:themeTint="FF" w:themeShade="FF"/>
          <w:sz w:val="16"/>
          <w:szCs w:val="16"/>
        </w:rPr>
        <w:t xml:space="preserve"> </w:t>
      </w:r>
      <w:proofErr w:type="spellStart"/>
      <w:r w:rsidRPr="0673B170" w:rsidR="0673B170">
        <w:rPr>
          <w:color w:val="000000" w:themeColor="text1" w:themeTint="FF" w:themeShade="FF"/>
          <w:sz w:val="16"/>
          <w:szCs w:val="16"/>
        </w:rPr>
        <w:t>Autono</w:t>
      </w:r>
      <w:proofErr w:type="spellEnd"/>
      <w:r w:rsidRPr="0673B170" w:rsidR="0673B170">
        <w:rPr>
          <w:color w:val="000000" w:themeColor="text1" w:themeTint="FF" w:themeShade="FF"/>
          <w:sz w:val="16"/>
          <w:szCs w:val="16"/>
        </w:rPr>
        <w:t xml:space="preserve">- mists get this all the time in Europe: </w:t>
      </w:r>
      <w:r w:rsidRPr="0673B170" w:rsidR="0673B170">
        <w:rPr>
          <w:b w:val="1"/>
          <w:bCs w:val="1"/>
          <w:color w:val="000000" w:themeColor="text1" w:themeTint="FF" w:themeShade="FF"/>
          <w:u w:val="single"/>
        </w:rPr>
        <w:t>critics are like, ‘oh, it’s fine, you guys can go o and do that together, but we’ve got a hydro-electric system to run here.’ And they often fall for that, and then sometimes you’ll hear the autonomists saying, ‘what would it mean to build autonomist institutions?’ And maybe I misunderstood them but I think you don’t need to build an autonomist institution.</w:t>
      </w:r>
      <w:r w:rsidRPr="0673B170" w:rsidR="0673B170">
        <w:rPr>
          <w:color w:val="000000" w:themeColor="text1" w:themeTint="FF" w:themeShade="FF"/>
          <w:sz w:val="16"/>
          <w:szCs w:val="16"/>
        </w:rPr>
        <w:t xml:space="preserve"> You need to </w:t>
      </w:r>
      <w:proofErr w:type="spellStart"/>
      <w:r w:rsidRPr="0673B170" w:rsidR="0673B170">
        <w:rPr>
          <w:color w:val="000000" w:themeColor="text1" w:themeTint="FF" w:themeShade="FF"/>
          <w:sz w:val="16"/>
          <w:szCs w:val="16"/>
        </w:rPr>
        <w:t>elabo</w:t>
      </w:r>
      <w:proofErr w:type="spellEnd"/>
      <w:r w:rsidRPr="0673B170" w:rsidR="0673B170">
        <w:rPr>
          <w:color w:val="000000" w:themeColor="text1" w:themeTint="FF" w:themeShade="FF"/>
          <w:sz w:val="16"/>
          <w:szCs w:val="16"/>
        </w:rPr>
        <w:t xml:space="preserve">- rate the principle of autonomy in a way in which you become even less of yourself; or you </w:t>
      </w:r>
      <w:proofErr w:type="spellStart"/>
      <w:r w:rsidRPr="0673B170" w:rsidR="0673B170">
        <w:rPr>
          <w:color w:val="000000" w:themeColor="text1" w:themeTint="FF" w:themeShade="FF"/>
          <w:sz w:val="16"/>
          <w:szCs w:val="16"/>
        </w:rPr>
        <w:t>overthow</w:t>
      </w:r>
      <w:proofErr w:type="spellEnd"/>
      <w:r w:rsidRPr="0673B170" w:rsidR="0673B170">
        <w:rPr>
          <w:color w:val="000000" w:themeColor="text1" w:themeTint="FF" w:themeShade="FF"/>
          <w:sz w:val="16"/>
          <w:szCs w:val="16"/>
        </w:rPr>
        <w:t xml:space="preserve"> yourself more than what you’re doing right now. </w:t>
      </w:r>
      <w:r w:rsidRPr="0673B170" w:rsidR="0673B170">
        <w:rPr>
          <w:b w:val="1"/>
          <w:bCs w:val="1"/>
          <w:color w:val="000000" w:themeColor="text1" w:themeTint="FF" w:themeShade="FF"/>
          <w:u w:val="single"/>
        </w:rPr>
        <w:t>You just need to do more of the shit that you’re doing right now, and that will produce the scale.</w:t>
      </w:r>
      <w:r w:rsidRPr="0673B170" w:rsidR="0673B170">
        <w:rPr>
          <w:color w:val="000000" w:themeColor="text1" w:themeTint="FF" w:themeShade="FF"/>
          <w:sz w:val="16"/>
          <w:szCs w:val="16"/>
        </w:rPr>
        <w:t xml:space="preserve"> So, that’s what’s interesting to me. </w:t>
      </w:r>
      <w:r w:rsidRPr="0673B170" w:rsidR="0673B170">
        <w:rPr>
          <w:b w:val="1"/>
          <w:bCs w:val="1"/>
          <w:color w:val="000000" w:themeColor="text1" w:themeTint="FF" w:themeShade="FF"/>
          <w:u w:val="single"/>
        </w:rPr>
        <w:t xml:space="preserve">I’m interested in the way in which a deepening of autonomy is a deepening, not just among few people, not just that intensity which I value, but also it’s a deepening of scale and the potentials of scale. </w:t>
      </w:r>
      <w:r w:rsidRPr="0673B170" w:rsidR="0673B170">
        <w:rPr>
          <w:color w:val="000000" w:themeColor="text1" w:themeTint="FF" w:themeShade="FF"/>
          <w:sz w:val="16"/>
          <w:szCs w:val="16"/>
        </w:rPr>
        <w:t xml:space="preserve">FRED: </w:t>
      </w:r>
      <w:r w:rsidRPr="0673B170" w:rsidR="0673B170">
        <w:rPr>
          <w:color w:val="000000" w:themeColor="text1" w:themeTint="FF" w:themeShade="FF"/>
          <w:sz w:val="16"/>
          <w:szCs w:val="16"/>
        </w:rPr>
        <w:t xml:space="preserve">Yes, I agree. I bring up scale, not to denigrate scale, but to say, </w:t>
      </w:r>
      <w:r w:rsidRPr="0673B170" w:rsidR="0673B170">
        <w:rPr>
          <w:b w:val="1"/>
          <w:bCs w:val="1"/>
          <w:color w:val="000000" w:themeColor="text1" w:themeTint="FF" w:themeShade="FF"/>
          <w:u w:val="single"/>
        </w:rPr>
        <w:t>we can’t cede scale to the people who assume that scale is inseparable from the state, or from what they mean by the state, which is a set of apparatuses and institutions which wield coercive power.</w:t>
      </w:r>
    </w:p>
    <w:p xmlns:wp14="http://schemas.microsoft.com/office/word/2010/wordml" w:rsidR="00BE38F3" w:rsidP="00BE38F3" w:rsidRDefault="00BE38F3" w14:paraId="15342E60" wp14:textId="77777777">
      <w:pPr>
        <w:rPr>
          <w:rFonts w:asciiTheme="minorHAnsi" w:hAnsiTheme="minorHAnsi" w:cstheme="minorBidi"/>
        </w:rPr>
      </w:pPr>
    </w:p>
    <w:p xmlns:wp14="http://schemas.microsoft.com/office/word/2010/wordml" w:rsidR="00BE38F3" w:rsidP="00BE38F3" w:rsidRDefault="00BE38F3" w14:paraId="3963466B" wp14:textId="77777777">
      <w:pPr>
        <w:pStyle w:val="Heading2"/>
      </w:pPr>
      <w:r>
        <w:lastRenderedPageBreak/>
        <w:t>Other things</w:t>
      </w:r>
    </w:p>
    <w:p xmlns:wp14="http://schemas.microsoft.com/office/word/2010/wordml" w:rsidR="00BE38F3" w:rsidP="00BE38F3" w:rsidRDefault="00BE38F3" w14:paraId="2C7E83B4" wp14:textId="77777777">
      <w:pPr>
        <w:pStyle w:val="Heading3"/>
      </w:pPr>
      <w:r>
        <w:lastRenderedPageBreak/>
        <w:t>No stable meaning</w:t>
      </w:r>
    </w:p>
    <w:p xmlns:wp14="http://schemas.microsoft.com/office/word/2010/wordml" w:rsidRPr="006C71B6" w:rsidR="00BE38F3" w:rsidP="00BE38F3" w:rsidRDefault="00BE38F3" w14:paraId="56219328" wp14:textId="77777777">
      <w:pPr>
        <w:pStyle w:val="Heading4"/>
        <w:rPr>
          <w:rFonts w:cs="Calibri"/>
        </w:rPr>
      </w:pPr>
      <w:r w:rsidRPr="006C71B6">
        <w:rPr>
          <w:rFonts w:cs="Calibri"/>
        </w:rPr>
        <w:t>Their violation attempts to find stable meaning where it does not exist – numerous different social positions influence the meaning we garner from the resolution – embracing this fluidity is key to finding political possibility</w:t>
      </w:r>
    </w:p>
    <w:p xmlns:wp14="http://schemas.microsoft.com/office/word/2010/wordml" w:rsidRPr="006C71B6" w:rsidR="00BE38F3" w:rsidP="00BE38F3" w:rsidRDefault="00BE38F3" w14:paraId="60770CB7" wp14:textId="77777777">
      <w:pPr>
        <w:rPr>
          <w:rFonts w:eastAsia="Times New Roman" w:cs="Calibri"/>
        </w:rPr>
      </w:pPr>
      <w:r w:rsidRPr="006C71B6">
        <w:rPr>
          <w:rFonts w:eastAsia="Times New Roman" w:cs="Calibri"/>
          <w:b/>
          <w:bCs/>
          <w:sz w:val="26"/>
        </w:rPr>
        <w:t xml:space="preserve">Young 2011 </w:t>
      </w:r>
      <w:r w:rsidRPr="006C71B6">
        <w:rPr>
          <w:rFonts w:eastAsia="Times New Roman" w:cs="Calibri"/>
        </w:rPr>
        <w:t xml:space="preserve">[Kelly, Direct of Forensics and </w:t>
      </w:r>
      <w:r w:rsidRPr="006C71B6">
        <w:rPr>
          <w:rFonts w:eastAsia="Times New Roman" w:cs="Calibri"/>
          <w:i/>
        </w:rPr>
        <w:t>Tenure</w:t>
      </w:r>
      <w:r w:rsidRPr="006C71B6">
        <w:rPr>
          <w:rFonts w:eastAsia="Times New Roman" w:cs="Calibri"/>
        </w:rPr>
        <w:t xml:space="preserve"> Professor of Communication Studies at Wayne State University, Impossible Convictions: Convictions and Intentionality in Performance and Switch Side Debate Contemporary Argumentation &amp; Debate, 2011] Awirth</w:t>
      </w:r>
    </w:p>
    <w:p xmlns:wp14="http://schemas.microsoft.com/office/word/2010/wordml" w:rsidRPr="006C71B6" w:rsidR="00BE38F3" w:rsidP="00BE38F3" w:rsidRDefault="00BE38F3" w14:paraId="78C215DD" wp14:textId="77777777">
      <w:pPr>
        <w:rPr>
          <w:rFonts w:eastAsia="Times New Roman" w:cs="Calibri"/>
          <w:b/>
          <w:bCs/>
          <w:u w:val="single"/>
        </w:rPr>
      </w:pPr>
      <w:r w:rsidRPr="006C71B6">
        <w:rPr>
          <w:rFonts w:eastAsia="Times New Roman" w:cs="Calibri"/>
          <w:b/>
          <w:bCs/>
          <w:u w:val="single"/>
        </w:rPr>
        <w:t>We should not define switch-side debate in reaction to fears about the conservative</w:t>
      </w:r>
      <w:r w:rsidRPr="006C71B6">
        <w:rPr>
          <w:rFonts w:eastAsia="Times New Roman" w:cs="Calibri"/>
          <w:sz w:val="16"/>
        </w:rPr>
        <w:t xml:space="preserve"> (e.g., “acting in support of communist China makes one a communist”) </w:t>
      </w:r>
      <w:r w:rsidRPr="006C71B6">
        <w:rPr>
          <w:rFonts w:eastAsia="Times New Roman" w:cs="Calibri"/>
          <w:b/>
          <w:bCs/>
          <w:u w:val="single"/>
        </w:rPr>
        <w:t>or liberal</w:t>
      </w:r>
      <w:r w:rsidRPr="006C71B6">
        <w:rPr>
          <w:rFonts w:eastAsia="Times New Roman" w:cs="Calibri"/>
          <w:sz w:val="16"/>
        </w:rPr>
        <w:t xml:space="preserve"> (e.g., “roleplaying as the state is imperialist”) </w:t>
      </w:r>
      <w:r w:rsidRPr="006C71B6">
        <w:rPr>
          <w:rFonts w:eastAsia="Times New Roman" w:cs="Calibri"/>
          <w:b/>
          <w:bCs/>
          <w:u w:val="single"/>
        </w:rPr>
        <w:t>ideological indoctrination of students and the ethics of those pedagogical choices. These concerns misunderstand the inherent and ontological instability or play or polysemy contained in all communication and its effects</w:t>
      </w:r>
      <w:r w:rsidRPr="006C71B6">
        <w:rPr>
          <w:rFonts w:eastAsia="Times New Roman" w:cs="Calibri"/>
          <w:sz w:val="16"/>
        </w:rPr>
        <w:t xml:space="preserve"> (Pada, 2009). Rather than viewing the resolution as defining and demarcating each side of that </w:t>
      </w:r>
      <w:r w:rsidRPr="006C71B6">
        <w:rPr>
          <w:rFonts w:cs="Calibri"/>
          <w:sz w:val="16"/>
        </w:rPr>
        <w:t xml:space="preserve">statement, </w:t>
      </w:r>
      <w:r w:rsidRPr="006C71B6">
        <w:rPr>
          <w:rStyle w:val="StyleUnderline"/>
          <w:rFonts w:cs="Calibri"/>
        </w:rPr>
        <w:t>we should view the resolution as an artifact that has unstable and contestable meaning. The</w:t>
      </w:r>
      <w:r w:rsidRPr="006C71B6">
        <w:rPr>
          <w:rFonts w:eastAsia="Times New Roman" w:cs="Calibri"/>
          <w:b/>
          <w:bCs/>
          <w:u w:val="single"/>
        </w:rPr>
        <w:t xml:space="preserve"> instability of the resolution as an artifact is inevitable as different teams, judges, tournaments, and documents deploy the resolution in different contexts in many different ways. Even when exact meaning is policed through topicality, no single topicality debate ever plays out the same way, thus ensuring variation and difference through citation.</w:t>
      </w:r>
      <w:r w:rsidRPr="006C71B6">
        <w:rPr>
          <w:rFonts w:eastAsia="Times New Roman" w:cs="Calibri"/>
          <w:sz w:val="16"/>
        </w:rPr>
        <w:t xml:space="preserve"> In this perspective, </w:t>
      </w:r>
      <w:r w:rsidRPr="006C71B6">
        <w:rPr>
          <w:rFonts w:eastAsia="Times New Roman" w:cs="Calibri"/>
          <w:b/>
          <w:bCs/>
          <w:u w:val="single"/>
        </w:rPr>
        <w:t>SSD does not have to be at odds with performative speech acts</w:t>
      </w:r>
      <w:r w:rsidRPr="006C71B6">
        <w:rPr>
          <w:rFonts w:eastAsia="Times New Roman" w:cs="Calibri"/>
          <w:sz w:val="16"/>
        </w:rPr>
        <w:t xml:space="preserve">. Instead, </w:t>
      </w:r>
      <w:r w:rsidRPr="006C71B6">
        <w:rPr>
          <w:rFonts w:eastAsia="Times New Roman" w:cs="Calibri"/>
          <w:b/>
          <w:bCs/>
          <w:u w:val="single"/>
        </w:rPr>
        <w:t>SSD should be defined as switching sides on an orientation or perspective towards a set of words that operate as an unfixed resolutional text. These orientations would exist on a continuum with many ways to approach the resolution.</w:t>
      </w:r>
      <w:r w:rsidRPr="006C71B6">
        <w:rPr>
          <w:rFonts w:eastAsia="Times New Roman" w:cs="Calibri"/>
          <w:sz w:val="16"/>
        </w:rPr>
        <w:t xml:space="preserve"> One of those orientations could be to read for the presence of framers’ intention located in the syntax and arrangement of the resolution’s terms as a “partial, if not, a total glimpse of the author’s intentions” (Pada, 2009, p. 87). </w:t>
      </w:r>
      <w:r w:rsidRPr="006C71B6">
        <w:rPr>
          <w:rFonts w:eastAsia="Times New Roman" w:cs="Calibri"/>
          <w:b/>
          <w:bCs/>
          <w:u w:val="single"/>
        </w:rPr>
        <w:t>This perspective would likely best serve traditional federal government-centered policy debate as it provides a source of predictability found in an unstable resolution</w:t>
      </w:r>
      <w:r w:rsidRPr="006C71B6">
        <w:rPr>
          <w:rFonts w:eastAsia="Times New Roman" w:cs="Calibri"/>
          <w:sz w:val="16"/>
        </w:rPr>
        <w:t xml:space="preserve">. On the other end of the continuum, affirmatives might approach the resolution as a debate about identities and experiences that are both included and excluded by the text. </w:t>
      </w:r>
      <w:r w:rsidRPr="006C71B6">
        <w:rPr>
          <w:rFonts w:eastAsia="Times New Roman" w:cs="Calibri"/>
          <w:b/>
          <w:bCs/>
          <w:u w:val="single"/>
        </w:rPr>
        <w:t>These debates should not be determined on a strict ethical system defined by the authenticity or sincerity of beliefs or performances, but instead on the perlocutionary effects that the speech acts have</w:t>
      </w:r>
      <w:r w:rsidRPr="006C71B6">
        <w:rPr>
          <w:rFonts w:eastAsia="Times New Roman" w:cs="Calibri"/>
          <w:sz w:val="16"/>
        </w:rPr>
        <w:t xml:space="preserve">. This would best preserve a space for performance- style debate while allowing for negative arguments like counterplans and disadvantages. </w:t>
      </w:r>
      <w:r w:rsidRPr="006C71B6">
        <w:rPr>
          <w:rFonts w:eastAsia="Times New Roman" w:cs="Calibri"/>
          <w:b/>
          <w:bCs/>
          <w:u w:val="single"/>
        </w:rPr>
        <w:t>Maintaining that the resolution is an unstable artifact does not default us into a nihilistic situation without stable communication or debate</w:t>
      </w:r>
      <w:r w:rsidRPr="006C71B6">
        <w:rPr>
          <w:rFonts w:eastAsia="Times New Roman" w:cs="Calibri"/>
          <w:sz w:val="16"/>
        </w:rPr>
        <w:t xml:space="preserve"> (Pada, 2009). According to Derrida (1988), </w:t>
      </w:r>
      <w:r w:rsidRPr="006C71B6">
        <w:rPr>
          <w:rFonts w:eastAsia="Times New Roman" w:cs="Calibri"/>
          <w:b/>
          <w:bCs/>
          <w:u w:val="single"/>
        </w:rPr>
        <w:t>the ontological possibility of play and stable resolution is impossible</w:t>
      </w:r>
      <w:r w:rsidRPr="006C71B6">
        <w:rPr>
          <w:rFonts w:eastAsia="Times New Roman" w:cs="Calibri"/>
          <w:sz w:val="16"/>
        </w:rPr>
        <w:t xml:space="preserve">. As Pada (2009) explains, </w:t>
      </w:r>
      <w:r w:rsidRPr="006C71B6">
        <w:rPr>
          <w:rFonts w:eastAsia="Times New Roman" w:cs="Calibri"/>
          <w:b/>
          <w:bCs/>
          <w:u w:val="single"/>
        </w:rPr>
        <w:t>play always “implies a possibility and not an absolute condition of mis-communication....Différance does not mark the end of communication</w:t>
      </w:r>
      <w:r w:rsidRPr="006C71B6">
        <w:rPr>
          <w:rFonts w:eastAsia="Times New Roman" w:cs="Calibri"/>
          <w:sz w:val="16"/>
        </w:rPr>
        <w:t xml:space="preserve">, rather, for Derrida, </w:t>
      </w:r>
      <w:r w:rsidRPr="006C71B6">
        <w:rPr>
          <w:rFonts w:eastAsia="Times New Roman" w:cs="Calibri"/>
          <w:b/>
          <w:bCs/>
          <w:u w:val="single"/>
        </w:rPr>
        <w:t>it opens new possibilities that are latent behind the text”</w:t>
      </w:r>
      <w:r w:rsidRPr="006C71B6">
        <w:rPr>
          <w:rFonts w:eastAsia="Times New Roman" w:cs="Calibri"/>
          <w:sz w:val="16"/>
        </w:rPr>
        <w:t xml:space="preserve"> (pp. 82-83). </w:t>
      </w:r>
      <w:r w:rsidRPr="006C71B6">
        <w:rPr>
          <w:rFonts w:eastAsia="Times New Roman" w:cs="Calibri"/>
          <w:b/>
          <w:iCs/>
          <w:u w:val="single"/>
          <w:bdr w:val="single" w:color="auto" w:sz="18" w:space="0"/>
        </w:rPr>
        <w:t>Thus, debate can begin with grammar and other cues for intent and meaning of the resolution, but there must always be room for a critique of that reading’s exclusions and consequences</w:t>
      </w:r>
      <w:r w:rsidRPr="006C71B6">
        <w:rPr>
          <w:rFonts w:eastAsia="Times New Roman" w:cs="Calibri"/>
          <w:b/>
          <w:bCs/>
          <w:u w:val="single"/>
        </w:rPr>
        <w:t xml:space="preserve">. This redefinition of switch- side debate allows a great deal of space for both traditional policy and conviction and performance-style debaters to operate. </w:t>
      </w:r>
      <w:r w:rsidRPr="006C71B6">
        <w:rPr>
          <w:rFonts w:eastAsia="Times New Roman" w:cs="Calibri"/>
          <w:sz w:val="16"/>
        </w:rPr>
        <w:t xml:space="preserve">Additionally, </w:t>
      </w:r>
      <w:r w:rsidRPr="006C71B6">
        <w:rPr>
          <w:rFonts w:eastAsia="Times New Roman" w:cs="Calibri"/>
          <w:b/>
          <w:bCs/>
          <w:u w:val="single"/>
        </w:rPr>
        <w:t>it acknowledges the ontological instability of speech acts and their illocutionary effects, which opens up a number of possibilities for both policy and performance-styles of debate.</w:t>
      </w:r>
    </w:p>
    <w:p xmlns:wp14="http://schemas.microsoft.com/office/word/2010/wordml" w:rsidRPr="006C71B6" w:rsidR="00BE38F3" w:rsidP="00BE38F3" w:rsidRDefault="00BE38F3" w14:paraId="65F4BEC4" wp14:textId="77777777">
      <w:pPr>
        <w:pStyle w:val="Heading4"/>
        <w:rPr>
          <w:rFonts w:cs="Calibri"/>
        </w:rPr>
      </w:pPr>
      <w:r w:rsidRPr="006C71B6">
        <w:rPr>
          <w:rFonts w:cs="Calibri"/>
        </w:rPr>
        <w:lastRenderedPageBreak/>
        <w:t>The traditional framework of policy debate assumes that discourse is a neutral medium through which thoughts are transmitted. This whitewashes the fact that discourses are produced such that they define what can and cannot be said through a violent process of control and exclusion</w:t>
      </w:r>
    </w:p>
    <w:p xmlns:wp14="http://schemas.microsoft.com/office/word/2010/wordml" w:rsidRPr="006C71B6" w:rsidR="00BE38F3" w:rsidP="00BE38F3" w:rsidRDefault="00BE38F3" w14:paraId="5A06BCAF" wp14:textId="77777777">
      <w:pPr>
        <w:rPr>
          <w:rFonts w:cs="Calibri"/>
          <w:b/>
        </w:rPr>
      </w:pPr>
      <w:r w:rsidRPr="006C71B6">
        <w:rPr>
          <w:rFonts w:cs="Calibri"/>
        </w:rPr>
        <w:t xml:space="preserve">Roland </w:t>
      </w:r>
      <w:r w:rsidRPr="006C71B6">
        <w:rPr>
          <w:rStyle w:val="Style13ptBold"/>
          <w:rFonts w:cs="Calibri"/>
        </w:rPr>
        <w:t>Bleiker,</w:t>
      </w:r>
      <w:r w:rsidRPr="006C71B6">
        <w:rPr>
          <w:rFonts w:cs="Calibri"/>
        </w:rPr>
        <w:t xml:space="preserve"> “Forget IR Theory,” </w:t>
      </w:r>
      <w:r w:rsidRPr="006C71B6">
        <w:rPr>
          <w:rFonts w:cs="Calibri"/>
          <w:i/>
        </w:rPr>
        <w:t>Alternatives</w:t>
      </w:r>
      <w:r w:rsidRPr="006C71B6">
        <w:rPr>
          <w:rFonts w:cs="Calibri"/>
        </w:rPr>
        <w:t xml:space="preserve">; </w:t>
      </w:r>
      <w:r w:rsidRPr="006C71B6">
        <w:rPr>
          <w:rStyle w:val="Style13ptBold"/>
          <w:rFonts w:cs="Calibri"/>
        </w:rPr>
        <w:t>1997</w:t>
      </w:r>
    </w:p>
    <w:p xmlns:wp14="http://schemas.microsoft.com/office/word/2010/wordml" w:rsidRPr="006C71B6" w:rsidR="00BE38F3" w:rsidP="00BE38F3" w:rsidRDefault="00BE38F3" w14:paraId="448B5B30" wp14:textId="77777777">
      <w:pPr>
        <w:rPr>
          <w:rFonts w:cs="Calibri"/>
          <w:sz w:val="16"/>
        </w:rPr>
      </w:pPr>
      <w:r w:rsidRPr="006C71B6">
        <w:rPr>
          <w:rFonts w:cs="Calibri"/>
          <w:b/>
          <w:u w:val="single"/>
        </w:rPr>
        <w:t>The doorkeepers</w:t>
      </w:r>
      <w:r w:rsidRPr="006C71B6">
        <w:rPr>
          <w:rFonts w:cs="Calibri"/>
          <w:sz w:val="16"/>
        </w:rPr>
        <w:t xml:space="preserve"> of IR are those who, knowingly or unknowingly, </w:t>
      </w:r>
      <w:r w:rsidRPr="006C71B6">
        <w:rPr>
          <w:rFonts w:cs="Calibri"/>
          <w:b/>
          <w:u w:val="single"/>
        </w:rPr>
        <w:t>make sure that the discipline’s discursive boundaries remain intact. Discourses</w:t>
      </w:r>
      <w:r w:rsidRPr="006C71B6">
        <w:rPr>
          <w:rFonts w:cs="Calibri"/>
          <w:sz w:val="16"/>
        </w:rPr>
        <w:t xml:space="preserve">, in a Foucaultian sense, </w:t>
      </w:r>
      <w:r w:rsidRPr="006C71B6">
        <w:rPr>
          <w:rFonts w:cs="Calibri"/>
          <w:b/>
          <w:u w:val="single"/>
        </w:rPr>
        <w:t>are subtle mechanisms that frame our thinking process. They determine the limits of what can be thought, talked, and written of in a normal and rational way. In every society the production of discourses is controlled, selected, organized, and diffused by certain procedures. They create systems of exclusion that elevate one group of discourses to a hegemonic status while condemning others to exile</w:t>
      </w:r>
      <w:r w:rsidRPr="006C71B6">
        <w:rPr>
          <w:rFonts w:cs="Calibri"/>
          <w:sz w:val="16"/>
        </w:rPr>
        <w:t xml:space="preserve">. Although the boundaries of discourses change, at times gradually, at times abruptly, they maintain a certain unity across time, a unity that dominates and transgresses individual authors, texts, or social practices. </w:t>
      </w:r>
      <w:r w:rsidRPr="006C71B6">
        <w:rPr>
          <w:rFonts w:cs="Calibri"/>
          <w:b/>
          <w:u w:val="single"/>
        </w:rPr>
        <w:t>They explain</w:t>
      </w:r>
      <w:r w:rsidRPr="006C71B6">
        <w:rPr>
          <w:rFonts w:cs="Calibri"/>
          <w:sz w:val="16"/>
        </w:rPr>
        <w:t xml:space="preserve">, to return to Nietzsche, </w:t>
      </w:r>
      <w:r w:rsidRPr="006C71B6">
        <w:rPr>
          <w:rFonts w:cs="Calibri"/>
          <w:b/>
          <w:u w:val="single"/>
        </w:rPr>
        <w:t>why “all things that live long are gradually so saturated with reason that their origin in unreason thereby becomes improbable.”28 Academic disciplines are powerful mechanisms to direct and control the production and diffusion of discourses. They establish the rules of intellectual exchange and define the methods, techniques, and instruments that are considered proper for the pursuit of knowledge. Within these margins, each discipline recognizes true and false propositions based on the standards of evaluation it established to assess them.29</w:t>
      </w:r>
      <w:r w:rsidRPr="006C71B6">
        <w:rPr>
          <w:rFonts w:cs="Calibri"/>
          <w:sz w:val="16"/>
        </w:rPr>
        <w:t xml:space="preserve"> &lt;63-64&gt;</w:t>
      </w:r>
    </w:p>
    <w:p xmlns:wp14="http://schemas.microsoft.com/office/word/2010/wordml" w:rsidR="00BE38F3" w:rsidP="00BE38F3" w:rsidRDefault="00BE38F3" w14:paraId="38149193" wp14:textId="77777777">
      <w:pPr>
        <w:pStyle w:val="Heading3"/>
      </w:pPr>
      <w:r>
        <w:lastRenderedPageBreak/>
        <w:t>Rights bad</w:t>
      </w:r>
    </w:p>
    <w:p xmlns:wp14="http://schemas.microsoft.com/office/word/2010/wordml" w:rsidRPr="002E0135" w:rsidR="00BE38F3" w:rsidP="00BE38F3" w:rsidRDefault="00BE38F3" w14:paraId="0BF486F9" wp14:textId="77777777">
      <w:pPr>
        <w:pStyle w:val="Heading4"/>
      </w:pPr>
      <w:r>
        <w:t>Rights normalize racial terror and domestic warfare, redirects insurgency into a white supremacist genocidal form of life</w:t>
      </w:r>
    </w:p>
    <w:p xmlns:wp14="http://schemas.microsoft.com/office/word/2010/wordml" w:rsidR="00BE38F3" w:rsidP="00BE38F3" w:rsidRDefault="00BE38F3" w14:paraId="4A861373" wp14:textId="77777777">
      <w:r w:rsidRPr="009E7561">
        <w:rPr>
          <w:rStyle w:val="Style13ptBold"/>
        </w:rPr>
        <w:t>Goonan and Rodriguez 16</w:t>
      </w:r>
      <w:r>
        <w:t xml:space="preserve"> [Casey, ed. of True Leap Press, and Dylan, Professor and Chair of the Department of Ethnic Studies at the University of California, Riverside, “Policing and the Violence of White Being: An Interview with Dylan Rodríguez,” The Black Scholar, September 12, </w:t>
      </w:r>
      <w:r w:rsidRPr="009E7561">
        <w:t>http://centerforartandthought.org/work/contributor/dylan-rodriguez</w:t>
      </w:r>
      <w:r>
        <w:t>]</w:t>
      </w:r>
    </w:p>
    <w:p xmlns:wp14="http://schemas.microsoft.com/office/word/2010/wordml" w:rsidR="00BE38F3" w:rsidP="00BE38F3" w:rsidRDefault="00BE38F3" w14:paraId="4EBEECCE" wp14:textId="77777777">
      <w:pPr>
        <w:rPr>
          <w:rStyle w:val="StyleUnderline"/>
        </w:rPr>
      </w:pPr>
      <w:r w:rsidRPr="00277320">
        <w:rPr>
          <w:sz w:val="12"/>
        </w:rPr>
        <w:t xml:space="preserve">Casey Goonan: </w:t>
      </w:r>
      <w:r w:rsidRPr="00277320">
        <w:rPr>
          <w:rStyle w:val="StyleUnderline"/>
        </w:rPr>
        <w:t>The US white-supremacist state operates today through a different set of discourses and cultural structures than in previous epochs.</w:t>
      </w:r>
      <w:r w:rsidRPr="00277320">
        <w:rPr>
          <w:sz w:val="12"/>
        </w:rPr>
        <w:t xml:space="preserve"> Your work interrogates such shifts at a level of </w:t>
      </w:r>
      <w:r w:rsidRPr="00277320">
        <w:rPr>
          <w:rStyle w:val="StyleUnderline"/>
        </w:rPr>
        <w:t>depth and nuance</w:t>
      </w:r>
      <w:r w:rsidRPr="00277320">
        <w:rPr>
          <w:sz w:val="12"/>
        </w:rPr>
        <w:t xml:space="preserve"> </w:t>
      </w:r>
      <w:r w:rsidRPr="00277320">
        <w:rPr>
          <w:rStyle w:val="StyleUnderline"/>
        </w:rPr>
        <w:t>that is of particular importance for emergent struggles against racist state violence. “Multiculturalist white supremacy,” “post-racial liberal optimism,”</w:t>
      </w:r>
      <w:r w:rsidRPr="00277320">
        <w:rPr>
          <w:sz w:val="12"/>
        </w:rPr>
        <w:t xml:space="preserve"> “white academic raciality”—</w:t>
      </w:r>
      <w:r w:rsidRPr="00277320">
        <w:rPr>
          <w:rStyle w:val="StyleUnderline"/>
        </w:rPr>
        <w:t>such terms</w:t>
      </w:r>
      <w:r w:rsidRPr="00277320">
        <w:rPr>
          <w:sz w:val="12"/>
        </w:rPr>
        <w:t xml:space="preserve"> are utilized throughout your work to </w:t>
      </w:r>
      <w:r w:rsidRPr="00277320">
        <w:rPr>
          <w:rStyle w:val="StyleUnderline"/>
        </w:rPr>
        <w:t xml:space="preserve">interrogate a myriad of theoretical and historical conundrums that define the post-Civil Rights era, particularly in regards to racial violence and subjectivity. </w:t>
      </w:r>
      <w:r w:rsidRPr="00277320">
        <w:rPr>
          <w:sz w:val="12"/>
        </w:rPr>
        <w:t xml:space="preserve">Can you, in very broad strokes, lay out what you are trying to accomplish with these interventions in the discourses, practices, and forms of embodiment that so violently delimit the possibilities for radical social change in the United States? Dylan Rodríguez: The aftermath of American apartheid’s formal abolition has been overwhelmed by a grand national-cultural vindication of </w:t>
      </w:r>
      <w:r w:rsidRPr="00277320">
        <w:rPr>
          <w:rStyle w:val="StyleUnderline"/>
        </w:rPr>
        <w:t>“Civil Rights”</w:t>
      </w:r>
      <w:r w:rsidRPr="00277320">
        <w:rPr>
          <w:sz w:val="12"/>
        </w:rPr>
        <w:t xml:space="preserve"> as the vessel of fully actualized gendered-racial citizenship. This fraud </w:t>
      </w:r>
      <w:r w:rsidRPr="00277320">
        <w:rPr>
          <w:rStyle w:val="StyleUnderline"/>
        </w:rPr>
        <w:t>has, in various ways, facilitated rather than interrupted the full, horrific exercise of a domestic war-waging regime.</w:t>
      </w:r>
      <w:r w:rsidRPr="00277320">
        <w:rPr>
          <w:sz w:val="12"/>
        </w:rPr>
        <w:t xml:space="preserve"> For the sake of momentary simplicity, we can think about it along these lines: </w:t>
      </w:r>
      <w:r w:rsidRPr="00277320">
        <w:rPr>
          <w:rStyle w:val="StyleUnderline"/>
        </w:rPr>
        <w:t>the half-century narrative of Civil Rights victory rests on an always-fragile but persistent common sense—the idea that national political culture (“America”) and the spirit of law and statecraft (let’s call this “The Dream”) endorse formal racial equality. Bound by this narrative-political context, the racist state’s mechanics shift and multiply to rearticulate a condition of normalized racist violence that is condoned or even applauded by the institutionalized regimes of Civil Rights.</w:t>
      </w:r>
      <w:r w:rsidRPr="00277320">
        <w:rPr>
          <w:sz w:val="12"/>
        </w:rPr>
        <w:t xml:space="preserve"> </w:t>
      </w:r>
      <w:r w:rsidRPr="00277320">
        <w:rPr>
          <w:rStyle w:val="StyleUnderline"/>
        </w:rPr>
        <w:t>(It is not difficult to see how the NAACP</w:t>
      </w:r>
      <w:r w:rsidRPr="00277320">
        <w:rPr>
          <w:sz w:val="12"/>
        </w:rPr>
        <w:t xml:space="preserve">, JACL, LULAC, Lambda, NOW, Urban League and other like-minded organizations </w:t>
      </w:r>
      <w:r w:rsidRPr="00277320">
        <w:rPr>
          <w:rStyle w:val="StyleUnderline"/>
        </w:rPr>
        <w:t>condone or applaud domestic racial war, so long as it is directed at the correct targets: gang members, drug dealers, “violent criminals,” terrorists, etc.).</w:t>
      </w:r>
      <w:r w:rsidRPr="00277320">
        <w:rPr>
          <w:sz w:val="12"/>
        </w:rPr>
        <w:t xml:space="preserve"> </w:t>
      </w:r>
      <w:r w:rsidRPr="00277320">
        <w:rPr>
          <w:rStyle w:val="StyleUnderline"/>
        </w:rPr>
        <w:t xml:space="preserve">In other words, the contemporary crisis of racist state violence is not reducible to “police brutality” and homicidal policing, or even the structuring asymmetries of incarceration: it is also a primary derivative of the Civil Rights regime. </w:t>
      </w:r>
      <w:r w:rsidRPr="00277320">
        <w:rPr>
          <w:sz w:val="12"/>
        </w:rPr>
        <w:t xml:space="preserve">This regime is in some ways inseparable from the emergence of post-1960s </w:t>
      </w:r>
      <w:r w:rsidRPr="00277320">
        <w:rPr>
          <w:rStyle w:val="StyleUnderline"/>
        </w:rPr>
        <w:t>technologies of criminalization</w:t>
      </w:r>
      <w:r w:rsidRPr="00277320">
        <w:rPr>
          <w:sz w:val="12"/>
        </w:rPr>
        <w:t xml:space="preserve"> that </w:t>
      </w:r>
      <w:r w:rsidRPr="00277320">
        <w:rPr>
          <w:rStyle w:val="StyleUnderline"/>
        </w:rPr>
        <w:t>resonate with—rather than offend</w:t>
      </w:r>
      <w:r w:rsidRPr="00277320">
        <w:rPr>
          <w:sz w:val="12"/>
        </w:rPr>
        <w:t>—</w:t>
      </w:r>
      <w:r w:rsidRPr="00277320">
        <w:rPr>
          <w:rStyle w:val="StyleUnderline"/>
        </w:rPr>
        <w:t>the (defrauded) dream of vindicated Civil Rights citizenship.</w:t>
      </w:r>
      <w:r w:rsidRPr="00277320">
        <w:rPr>
          <w:sz w:val="12"/>
        </w:rPr>
        <w:t xml:space="preserve"> After all, </w:t>
      </w:r>
      <w:r w:rsidRPr="00277320">
        <w:rPr>
          <w:rStyle w:val="StyleUnderline"/>
        </w:rPr>
        <w:t>the racial/racist state is still being called upon to legislate, protect, and serve the Civil Rights Citizen</w:t>
      </w:r>
      <w:r w:rsidRPr="00277320">
        <w:rPr>
          <w:sz w:val="12"/>
        </w:rPr>
        <w:t xml:space="preserve">, even as it is the subject of militant demands for reform that will align it with the Civil Rights versions of America and The Dream. This is the contradiction that yields more and more layers of gendered racist statecraft in the post-optimist’s Age of Obama. </w:t>
      </w:r>
      <w:r w:rsidRPr="00277320">
        <w:rPr>
          <w:rStyle w:val="StyleUnderline"/>
        </w:rPr>
        <w:t xml:space="preserve">The widespread, Black-populated and Black-led resistance and revolt that is responding to legally-sanctioned racist police killings should therefore be interpreted as a complex form of insurgency. It is, in significant part, a strike against the respectable, non-scandalous, legitimated forms of policing that have constituted the everyday racist truth of post-Civil Rights nation-building. This insurgency is also, then, a critique of the Civil Rights regime’s complicity in that fifty-year process of national-racial reconstruction. </w:t>
      </w:r>
      <w:r w:rsidRPr="00277320">
        <w:rPr>
          <w:sz w:val="12"/>
        </w:rPr>
        <w:t xml:space="preserve">So </w:t>
      </w:r>
      <w:r w:rsidRPr="00277320">
        <w:rPr>
          <w:rStyle w:val="StyleUnderline"/>
        </w:rPr>
        <w:t xml:space="preserve">the racist state has metastasized in the last half century, and created new infrastructures and protocols of civil and social death (the industrialized, militarized policing and criminalization complexes) as well as proto-genocidal methods of targeted, utterly normalized suffering, misery, and physiological vulnerability for peoples on the other side of White Being (the paradigm and methodology of human being that we have inherited as universal, unquestioned, and godlike—here I’m referencing Sylvia Wynter’s lifework, of course). I’m </w:t>
      </w:r>
      <w:r w:rsidRPr="00277320">
        <w:rPr>
          <w:rStyle w:val="StyleUnderline"/>
        </w:rPr>
        <w:lastRenderedPageBreak/>
        <w:t xml:space="preserve">thinking, among so many other things, of the levees in New Orleans’ Ninth Ward, strategic ecological disruption of indigenous lifeways throughout the hemisphere and in Native Hawaii, redirection and isolation of toxic water to the poorest, Blackest, and Brownest of places, and the seemingly endless continuity of legalized police assassinations of ordinary (and asymmetrically poor, Black, and Brown) people that stretches back as far as modern policing has existed. </w:t>
      </w:r>
      <w:r w:rsidRPr="00277320">
        <w:rPr>
          <w:sz w:val="12"/>
        </w:rPr>
        <w:t xml:space="preserve">So, if shit is this bad—and it’s so, so stunningly clear that it is almost always worse than we want to believe it is—what is the historical responsibility borne by people who differently inherit and inhabit this condition? </w:t>
      </w:r>
      <w:r w:rsidRPr="00277320">
        <w:rPr>
          <w:rStyle w:val="StyleUnderline"/>
        </w:rPr>
        <w:t>I am against “unity”—militantly so—and full of desire for radical community (militantly so).</w:t>
      </w:r>
      <w:r w:rsidRPr="00277320">
        <w:rPr>
          <w:sz w:val="12"/>
        </w:rPr>
        <w:t xml:space="preserve"> At the risk of making the case too bluntly: </w:t>
      </w:r>
      <w:r w:rsidRPr="00277320">
        <w:rPr>
          <w:rStyle w:val="StyleUnderline"/>
        </w:rPr>
        <w:t>we experience and condone banal liberal calls to unity (which are often depressingly nationalist or patriotic) so incessantly that they are inescapable</w:t>
      </w:r>
      <w:r w:rsidRPr="00277320">
        <w:rPr>
          <w:sz w:val="12"/>
        </w:rPr>
        <w:t xml:space="preserve"> (e.g. those stupid fucking French flag colors that folks superimposed on their Facebook profile pictures after the street attacks in Paris, which was like global advertising for White Lives Matter; or the absurd compulsion to insist that one is not “anti-police” when mourning yet another life destroyed by the full force of the police apparatus—because it’s never just one or two or five racist cops, it’s what protects and enables them). </w:t>
      </w:r>
      <w:r w:rsidRPr="00277320">
        <w:rPr>
          <w:rStyle w:val="StyleUnderline"/>
        </w:rPr>
        <w:t>These are concessions to a form of political life (which is to say a particular genre of human life—White Being) that cannot be tolerated as such, if some of us expect to live or see others live.</w:t>
      </w:r>
      <w:r w:rsidRPr="00277320">
        <w:rPr>
          <w:sz w:val="12"/>
        </w:rPr>
        <w:t xml:space="preserve"> I think </w:t>
      </w:r>
      <w:r w:rsidRPr="00277320">
        <w:rPr>
          <w:rStyle w:val="StyleUnderline"/>
        </w:rPr>
        <w:t>such concessions must be critically exposed for what they are: disciplinary exercises in assimilating different peoples’ political dreams to the conformities of White Being.</w:t>
      </w:r>
      <w:r w:rsidRPr="00277320">
        <w:rPr>
          <w:sz w:val="12"/>
        </w:rPr>
        <w:t xml:space="preserve"> At the very same time—and this is the hard part—</w:t>
      </w:r>
      <w:r w:rsidRPr="00277320">
        <w:rPr>
          <w:rStyle w:val="StyleUnderline"/>
        </w:rPr>
        <w:t>these critical gestures have to somehow participate in creating possibilities for collective exercises of radical, creative, political-cultural genius that demystify White Being and embolden</w:t>
      </w:r>
      <w:r w:rsidRPr="00277320">
        <w:rPr>
          <w:sz w:val="12"/>
        </w:rPr>
        <w:t xml:space="preserve"> (or even productively weaponize) </w:t>
      </w:r>
      <w:r w:rsidRPr="00277320">
        <w:rPr>
          <w:rStyle w:val="StyleUnderline"/>
        </w:rPr>
        <w:t>other insurgent practices and methodologies of human life. This is difficult, scary, and beautiful work. And if more people don’t attempt to engage in it, we know who will be the first to disappear.</w:t>
      </w:r>
    </w:p>
    <w:p xmlns:wp14="http://schemas.microsoft.com/office/word/2010/wordml" w:rsidRPr="001664AE" w:rsidR="00507555" w:rsidP="00665594" w:rsidRDefault="00665594" w14:paraId="6124B7F8" wp14:textId="77777777">
      <w:pPr>
        <w:pStyle w:val="Heading3"/>
      </w:pPr>
      <w:r>
        <w:lastRenderedPageBreak/>
        <w:t>A2:</w:t>
      </w:r>
      <w:r w:rsidR="00E756EE">
        <w:t xml:space="preserve"> </w:t>
      </w:r>
      <w:r>
        <w:t>Must engage institutions</w:t>
      </w:r>
    </w:p>
    <w:p xmlns:wp14="http://schemas.microsoft.com/office/word/2010/wordml" w:rsidR="00665594" w:rsidP="00665594" w:rsidRDefault="00665594" w14:paraId="46405D48" wp14:textId="77777777">
      <w:pPr>
        <w:pStyle w:val="Heading4"/>
      </w:pPr>
      <w:r>
        <w:t>Their argument is that we should “engage with institutions” which is a vacuous claim that doesn’t make sense. Institutions are not discrete entities but immanent social formations that order the social and political schema. We are constantly solicited by institutional protocols-- thus the 1ac does engage with institutions.</w:t>
      </w:r>
    </w:p>
    <w:p xmlns:wp14="http://schemas.microsoft.com/office/word/2010/wordml" w:rsidR="00665594" w:rsidP="00665594" w:rsidRDefault="00665594" w14:paraId="0F416618" wp14:textId="77777777">
      <w:pPr>
        <w:pStyle w:val="Heading4"/>
      </w:pPr>
      <w:r>
        <w:t>In the age of multiculturalism, we should not make appeals to institutions on the basis of inclusion, but rather engage with how we have been solicited by institutions in order to refuse the capture of institutionality.</w:t>
      </w:r>
    </w:p>
    <w:p xmlns:wp14="http://schemas.microsoft.com/office/word/2010/wordml" w:rsidR="00665594" w:rsidP="00665594" w:rsidRDefault="00665594" w14:paraId="279FC219" wp14:textId="77777777">
      <w:pPr>
        <w:rPr>
          <w:sz w:val="20"/>
          <w:szCs w:val="20"/>
        </w:rPr>
      </w:pPr>
      <w:r w:rsidRPr="00665594">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224-226]</w:t>
      </w:r>
    </w:p>
    <w:p xmlns:wp14="http://schemas.microsoft.com/office/word/2010/wordml" w:rsidR="00665594" w:rsidP="00665594" w:rsidRDefault="00665594" w14:paraId="236FDB50" wp14:textId="77777777">
      <w:pPr>
        <w:rPr>
          <w:b/>
          <w:sz w:val="20"/>
          <w:szCs w:val="20"/>
          <w:u w:val="single"/>
        </w:rPr>
      </w:pPr>
      <w:r>
        <w:rPr>
          <w:sz w:val="20"/>
          <w:szCs w:val="20"/>
        </w:rPr>
        <w:t xml:space="preserve">We might in fact read Foucault's early theorizations about discourses as theorizations about institutions and their exploitation of discourses. For instance, in "The Discourse on Language," a lecture that Foucault gave at the College de France on December 2, 1970, he begins by addressing the relationship between knowledge and institutions: "Inclination speaks out: 'I don't want to have to enter this risky world of discourse; I want nothing to do with it insofar as it </w:t>
      </w:r>
      <w:r>
        <w:rPr>
          <w:sz w:val="18"/>
          <w:szCs w:val="18"/>
        </w:rPr>
        <w:t xml:space="preserve">is </w:t>
      </w:r>
      <w:r>
        <w:rPr>
          <w:sz w:val="20"/>
          <w:szCs w:val="20"/>
        </w:rPr>
        <w:t xml:space="preserve">decisive and final; I would like to feel it </w:t>
      </w:r>
      <w:r>
        <w:rPr>
          <w:sz w:val="18"/>
          <w:szCs w:val="18"/>
        </w:rPr>
        <w:t xml:space="preserve">all </w:t>
      </w:r>
      <w:r>
        <w:rPr>
          <w:sz w:val="20"/>
          <w:szCs w:val="20"/>
        </w:rPr>
        <w:t xml:space="preserve">around me, calm and transparent, profound, infinitely open, with others responding to my expectations, and truth emerging, one by one."'35 </w:t>
      </w:r>
      <w:r>
        <w:rPr>
          <w:sz w:val="20"/>
          <w:szCs w:val="20"/>
          <w:u w:val="single"/>
        </w:rPr>
        <w:t xml:space="preserve">Institutions, Foucault says, will arise to manage that risk, and to our anxious inclination Institutions reply: "But you have nothing to fear from launching out; we're here </w:t>
      </w:r>
      <w:r>
        <w:rPr>
          <w:sz w:val="16"/>
          <w:szCs w:val="16"/>
          <w:u w:val="single"/>
        </w:rPr>
        <w:t xml:space="preserve">to </w:t>
      </w:r>
      <w:r>
        <w:rPr>
          <w:sz w:val="20"/>
          <w:szCs w:val="20"/>
          <w:u w:val="single"/>
        </w:rPr>
        <w:t xml:space="preserve">show </w:t>
      </w:r>
      <w:r>
        <w:rPr>
          <w:sz w:val="18"/>
          <w:szCs w:val="18"/>
          <w:u w:val="single"/>
        </w:rPr>
        <w:t xml:space="preserve">you </w:t>
      </w:r>
      <w:r>
        <w:rPr>
          <w:sz w:val="20"/>
          <w:szCs w:val="20"/>
          <w:u w:val="single"/>
        </w:rPr>
        <w:t xml:space="preserve">discourse </w:t>
      </w:r>
      <w:r>
        <w:rPr>
          <w:sz w:val="18"/>
          <w:szCs w:val="18"/>
          <w:u w:val="single"/>
        </w:rPr>
        <w:t xml:space="preserve">is </w:t>
      </w:r>
      <w:r>
        <w:rPr>
          <w:sz w:val="20"/>
          <w:szCs w:val="20"/>
          <w:u w:val="single"/>
        </w:rPr>
        <w:t xml:space="preserve">within the established order of things, that we've waited a long time for its arrival, that a place has been set aside for </w:t>
      </w:r>
      <w:r>
        <w:rPr>
          <w:u w:val="single"/>
        </w:rPr>
        <w:t xml:space="preserve">it - a </w:t>
      </w:r>
      <w:r>
        <w:rPr>
          <w:sz w:val="20"/>
          <w:szCs w:val="20"/>
          <w:u w:val="single"/>
        </w:rPr>
        <w:t xml:space="preserve">place which both honours and disarms it; and if it should happen to have a certain power, then it </w:t>
      </w:r>
      <w:r>
        <w:rPr>
          <w:sz w:val="18"/>
          <w:szCs w:val="18"/>
          <w:u w:val="single"/>
        </w:rPr>
        <w:t xml:space="preserve">is </w:t>
      </w:r>
      <w:r>
        <w:rPr>
          <w:sz w:val="20"/>
          <w:szCs w:val="20"/>
          <w:u w:val="single"/>
        </w:rPr>
        <w:t xml:space="preserve">we, and </w:t>
      </w:r>
      <w:r>
        <w:rPr>
          <w:sz w:val="18"/>
          <w:szCs w:val="18"/>
          <w:u w:val="single"/>
        </w:rPr>
        <w:t xml:space="preserve">we </w:t>
      </w:r>
      <w:r>
        <w:rPr>
          <w:sz w:val="20"/>
          <w:szCs w:val="20"/>
          <w:u w:val="single"/>
        </w:rPr>
        <w:t xml:space="preserve">alone, who </w:t>
      </w:r>
      <w:r>
        <w:rPr>
          <w:sz w:val="18"/>
          <w:szCs w:val="18"/>
          <w:u w:val="single"/>
        </w:rPr>
        <w:t xml:space="preserve">give </w:t>
      </w:r>
      <w:r>
        <w:rPr>
          <w:sz w:val="20"/>
          <w:szCs w:val="20"/>
          <w:u w:val="single"/>
        </w:rPr>
        <w:t>it that power.</w:t>
      </w:r>
      <w:r>
        <w:rPr>
          <w:sz w:val="20"/>
          <w:szCs w:val="20"/>
        </w:rPr>
        <w:t xml:space="preserve">" (216) </w:t>
      </w:r>
      <w:r>
        <w:rPr>
          <w:b/>
          <w:sz w:val="20"/>
          <w:szCs w:val="20"/>
          <w:u w:val="single"/>
        </w:rPr>
        <w:t xml:space="preserve">Foucault begins with the subject that </w:t>
      </w:r>
      <w:r>
        <w:rPr>
          <w:b/>
          <w:sz w:val="18"/>
          <w:szCs w:val="18"/>
          <w:u w:val="single"/>
        </w:rPr>
        <w:t xml:space="preserve">is </w:t>
      </w:r>
      <w:r>
        <w:rPr>
          <w:b/>
          <w:sz w:val="20"/>
          <w:szCs w:val="20"/>
          <w:u w:val="single"/>
        </w:rPr>
        <w:t xml:space="preserve">anxious about the unruly and </w:t>
      </w:r>
      <w:r>
        <w:rPr>
          <w:b/>
          <w:sz w:val="18"/>
          <w:szCs w:val="18"/>
          <w:u w:val="single"/>
        </w:rPr>
        <w:t>dis</w:t>
      </w:r>
      <w:r>
        <w:rPr>
          <w:b/>
          <w:sz w:val="20"/>
          <w:szCs w:val="20"/>
          <w:u w:val="single"/>
        </w:rPr>
        <w:t xml:space="preserve">obedient nature of discourse, its penchant to steal away from human </w:t>
      </w:r>
      <w:r>
        <w:rPr>
          <w:b/>
          <w:sz w:val="18"/>
          <w:szCs w:val="18"/>
          <w:u w:val="single"/>
        </w:rPr>
        <w:t>in</w:t>
      </w:r>
      <w:r>
        <w:rPr>
          <w:b/>
          <w:sz w:val="20"/>
          <w:szCs w:val="20"/>
          <w:u w:val="single"/>
        </w:rPr>
        <w:t>tentions</w:t>
      </w:r>
      <w:r>
        <w:rPr>
          <w:sz w:val="20"/>
          <w:szCs w:val="20"/>
        </w:rPr>
        <w:t xml:space="preserve">. </w:t>
      </w:r>
      <w:r>
        <w:rPr>
          <w:b/>
          <w:sz w:val="20"/>
          <w:szCs w:val="20"/>
          <w:u w:val="single"/>
        </w:rPr>
        <w:t>The subject desperately wishes for the innocence of discourse and for the promise of truth. The voice of comfort comes from the institution, telling the subject that discourse will bend to human agency and institutional protocols.</w:t>
      </w:r>
      <w:r>
        <w:rPr>
          <w:sz w:val="20"/>
          <w:szCs w:val="20"/>
        </w:rPr>
        <w:t xml:space="preserve"> </w:t>
      </w:r>
      <w:r>
        <w:rPr>
          <w:b/>
          <w:sz w:val="20"/>
          <w:szCs w:val="20"/>
          <w:u w:val="single"/>
        </w:rPr>
        <w:t xml:space="preserve">Under the will to knowledge, the institution arises as that which will help the subject produce and tame discourse. And so we have the narrative of the rational and authoritative subject and the artifact known </w:t>
      </w:r>
      <w:r>
        <w:rPr>
          <w:b/>
          <w:sz w:val="18"/>
          <w:szCs w:val="18"/>
          <w:u w:val="single"/>
        </w:rPr>
        <w:t xml:space="preserve">as </w:t>
      </w:r>
      <w:r>
        <w:rPr>
          <w:b/>
          <w:sz w:val="20"/>
          <w:szCs w:val="20"/>
          <w:u w:val="single"/>
        </w:rPr>
        <w:t xml:space="preserve">truth - the dramatis personae and the central props that comprise the will to knowledge. </w:t>
      </w:r>
      <w:r>
        <w:rPr>
          <w:sz w:val="18"/>
          <w:szCs w:val="18"/>
        </w:rPr>
        <w:t xml:space="preserve">As </w:t>
      </w:r>
      <w:r>
        <w:rPr>
          <w:sz w:val="20"/>
          <w:szCs w:val="20"/>
        </w:rPr>
        <w:t xml:space="preserve">Foucault states, "This will to truth ... relies on institutional support: it </w:t>
      </w:r>
      <w:r>
        <w:rPr>
          <w:sz w:val="18"/>
          <w:szCs w:val="18"/>
        </w:rPr>
        <w:t xml:space="preserve">is </w:t>
      </w:r>
      <w:r>
        <w:rPr>
          <w:sz w:val="20"/>
          <w:szCs w:val="20"/>
        </w:rPr>
        <w:t xml:space="preserve">both reinforced and accompanied by whole strata of practices such as pedagogy-naturally-the book system, publishing, libraries, such as the learned societies in the past, and laboratories today" (219). Foucault contends that </w:t>
      </w:r>
      <w:r>
        <w:rPr>
          <w:b/>
          <w:sz w:val="20"/>
          <w:szCs w:val="20"/>
          <w:u w:val="single"/>
        </w:rPr>
        <w:t>the will to truth and the will to knowledge depend on a distinction between reason and folly or evidence and falsehood</w:t>
      </w:r>
      <w:r>
        <w:rPr>
          <w:sz w:val="20"/>
          <w:szCs w:val="20"/>
        </w:rPr>
        <w:t>. This distinction has several functions. First, i</w:t>
      </w:r>
      <w:r>
        <w:rPr>
          <w:sz w:val="20"/>
          <w:szCs w:val="20"/>
          <w:u w:val="single"/>
        </w:rPr>
        <w:t>t becomes the organizing principle of discourse--think here of the argument that sexuality constitutes the "ultimate" truth of the individual.</w:t>
      </w:r>
      <w:r>
        <w:rPr>
          <w:sz w:val="20"/>
          <w:szCs w:val="20"/>
        </w:rPr>
        <w:t xml:space="preserve"> </w:t>
      </w:r>
      <w:r>
        <w:rPr>
          <w:b/>
          <w:sz w:val="20"/>
          <w:szCs w:val="20"/>
          <w:u w:val="single"/>
        </w:rPr>
        <w:t xml:space="preserve">The distinction also operates as a system of exclusion, admitting only those forms of knowledge that operate under a will to truth and excluding those subject and social formations marked as irrational. </w:t>
      </w:r>
      <w:r>
        <w:rPr>
          <w:sz w:val="20"/>
          <w:szCs w:val="20"/>
        </w:rPr>
        <w:t xml:space="preserve">In addition, the division between truth and untruth works to conceal the very thing that it constitutes: "The will to truth, hav- ing imposed itself upon us for so long, </w:t>
      </w:r>
      <w:r>
        <w:rPr>
          <w:sz w:val="18"/>
          <w:szCs w:val="18"/>
        </w:rPr>
        <w:t xml:space="preserve">is </w:t>
      </w:r>
      <w:r>
        <w:rPr>
          <w:sz w:val="20"/>
          <w:szCs w:val="20"/>
        </w:rPr>
        <w:t xml:space="preserve">such that the truth it seeks to reveal cannot fail to mask it </w:t>
      </w:r>
      <w:r>
        <w:rPr>
          <w:sz w:val="26"/>
          <w:szCs w:val="26"/>
        </w:rPr>
        <w:t xml:space="preserve">. . . </w:t>
      </w:r>
      <w:r>
        <w:rPr>
          <w:sz w:val="20"/>
          <w:szCs w:val="20"/>
        </w:rPr>
        <w:t xml:space="preserve">thus only one truth appears before our </w:t>
      </w:r>
      <w:r>
        <w:rPr>
          <w:sz w:val="18"/>
          <w:szCs w:val="18"/>
        </w:rPr>
        <w:t xml:space="preserve">eyes; </w:t>
      </w:r>
      <w:r>
        <w:rPr>
          <w:sz w:val="20"/>
          <w:szCs w:val="20"/>
        </w:rPr>
        <w:t xml:space="preserve">wealth, fertility, and sweet strength in all its insidious universality. In contrast we are unaware of the prodigious machinery of the will to truth, with its vocation of exclusion" (220). The will to truth was constituted in the eighteenth century, a historical moment organized around the discourses of universal humanism, homo- geneity, and canonicity. But a new world has come into being in the era of feminist theory, ethnic studies, postcolonial studies, queer theory, and other forms of scholarship and activism engaged with the politics of identity and difference. One could argue that </w:t>
      </w:r>
      <w:r>
        <w:rPr>
          <w:sz w:val="20"/>
          <w:szCs w:val="20"/>
          <w:u w:val="single"/>
        </w:rPr>
        <w:t xml:space="preserve">the will to institutionality among groups and communities associated with difference emerged precisely after the </w:t>
      </w:r>
      <w:r>
        <w:rPr>
          <w:sz w:val="20"/>
          <w:szCs w:val="20"/>
          <w:u w:val="single"/>
        </w:rPr>
        <w:lastRenderedPageBreak/>
        <w:t>crit-</w:t>
      </w:r>
      <w:r>
        <w:rPr>
          <w:sz w:val="18"/>
          <w:szCs w:val="18"/>
          <w:u w:val="single"/>
        </w:rPr>
        <w:t xml:space="preserve">ical </w:t>
      </w:r>
      <w:r>
        <w:rPr>
          <w:sz w:val="20"/>
          <w:szCs w:val="20"/>
          <w:u w:val="single"/>
        </w:rPr>
        <w:t>upheavals of race, gender, and sexuality of the post-civil rights era.</w:t>
      </w:r>
      <w:r>
        <w:rPr>
          <w:sz w:val="20"/>
          <w:szCs w:val="20"/>
        </w:rPr>
        <w:t xml:space="preserve"> </w:t>
      </w:r>
      <w:r>
        <w:rPr>
          <w:sz w:val="18"/>
          <w:szCs w:val="18"/>
        </w:rPr>
        <w:t xml:space="preserve">We </w:t>
      </w:r>
      <w:r>
        <w:rPr>
          <w:sz w:val="20"/>
          <w:szCs w:val="20"/>
        </w:rPr>
        <w:t xml:space="preserve">might say that </w:t>
      </w:r>
      <w:r>
        <w:rPr>
          <w:sz w:val="20"/>
          <w:szCs w:val="20"/>
          <w:u w:val="single"/>
        </w:rPr>
        <w:t xml:space="preserve">the will to institutionality </w:t>
      </w:r>
      <w:r>
        <w:rPr>
          <w:sz w:val="18"/>
          <w:szCs w:val="18"/>
          <w:u w:val="single"/>
        </w:rPr>
        <w:t xml:space="preserve">is </w:t>
      </w:r>
      <w:r>
        <w:rPr>
          <w:sz w:val="20"/>
          <w:szCs w:val="20"/>
          <w:u w:val="single"/>
        </w:rPr>
        <w:t xml:space="preserve">founded on divisions between legitimacy and illegitimacy. </w:t>
      </w:r>
      <w:r>
        <w:rPr>
          <w:sz w:val="20"/>
          <w:szCs w:val="20"/>
        </w:rPr>
        <w:t xml:space="preserve">For example, </w:t>
      </w:r>
      <w:r>
        <w:rPr>
          <w:sz w:val="20"/>
          <w:szCs w:val="20"/>
          <w:u w:val="single"/>
        </w:rPr>
        <w:t xml:space="preserve">capital and the academy </w:t>
      </w:r>
      <w:r>
        <w:rPr>
          <w:sz w:val="18"/>
          <w:szCs w:val="18"/>
          <w:u w:val="single"/>
        </w:rPr>
        <w:t xml:space="preserve">have </w:t>
      </w:r>
      <w:r>
        <w:rPr>
          <w:sz w:val="20"/>
          <w:szCs w:val="20"/>
          <w:u w:val="single"/>
        </w:rPr>
        <w:t>to work through and with difference in the global moment if they can claim any integrity at all.</w:t>
      </w:r>
      <w:r>
        <w:rPr>
          <w:sz w:val="20"/>
          <w:szCs w:val="20"/>
        </w:rPr>
        <w:t xml:space="preserve"> </w:t>
      </w:r>
      <w:r>
        <w:rPr>
          <w:b/>
          <w:sz w:val="20"/>
          <w:szCs w:val="20"/>
          <w:u w:val="single"/>
        </w:rPr>
        <w:t>The will to institutionality also seems to presume another distinction - between the promise of formality and the presumed ephemeral nature of informality.</w:t>
      </w:r>
      <w:r>
        <w:rPr>
          <w:sz w:val="20"/>
          <w:szCs w:val="20"/>
        </w:rPr>
        <w:t xml:space="preserve"> </w:t>
      </w:r>
      <w:r>
        <w:rPr>
          <w:b/>
          <w:sz w:val="20"/>
          <w:szCs w:val="20"/>
          <w:u w:val="single"/>
        </w:rPr>
        <w:t xml:space="preserve">Formalizing certain forms of difference gives those forms permanence and institutional protection and will lift dif- ference from the netherworld of marginalization and informal curiosity. </w:t>
      </w:r>
      <w:r>
        <w:rPr>
          <w:sz w:val="20"/>
          <w:szCs w:val="20"/>
        </w:rPr>
        <w:t xml:space="preserve">The will to knowledge, according to Foucault, obliges discourse to truth. That obligation represents an engagement with institutionality as well. In "The Discourse on Language," Foucault states: "Education may be, as of right, the instrument whereby every individual, in a society like our own, can gain access to any kind of discourse. But we well know that in its dis- tribution, in what it permits and in what it prevents, it follows the well- trodden battle-lines of social conflict. </w:t>
      </w:r>
      <w:r>
        <w:rPr>
          <w:sz w:val="20"/>
          <w:szCs w:val="20"/>
          <w:u w:val="single"/>
        </w:rPr>
        <w:t>Every educational system is a political means of maintaining or of modifying the appropriation of a discourse, with the knowledge and the powers it carries with it</w:t>
      </w:r>
      <w:r>
        <w:rPr>
          <w:sz w:val="20"/>
          <w:szCs w:val="20"/>
        </w:rPr>
        <w:t xml:space="preserve">" (227). </w:t>
      </w:r>
      <w:r>
        <w:rPr>
          <w:b/>
          <w:sz w:val="20"/>
          <w:szCs w:val="20"/>
          <w:u w:val="single"/>
        </w:rPr>
        <w:t>This will to institutionality suggests that minority difference can achieve effectiveness and agency by investing in dominant institutions, making institutionalization a historical necessity rather than one item on a menu of interventions, suggesting that minority difference can only be achieved through the forms that dominant institutions offer.</w:t>
      </w:r>
      <w:r>
        <w:rPr>
          <w:sz w:val="20"/>
          <w:szCs w:val="20"/>
        </w:rPr>
        <w:t xml:space="preserve"> Now </w:t>
      </w:r>
      <w:r>
        <w:rPr>
          <w:sz w:val="18"/>
          <w:szCs w:val="18"/>
        </w:rPr>
        <w:t xml:space="preserve">is </w:t>
      </w:r>
      <w:r>
        <w:rPr>
          <w:sz w:val="20"/>
          <w:szCs w:val="20"/>
        </w:rPr>
        <w:t xml:space="preserve">the time to pause and interrogate the subtle and silent transformations that knowledge and the subjects of knowledge have undergone. </w:t>
      </w:r>
      <w:r>
        <w:rPr>
          <w:b/>
          <w:sz w:val="20"/>
          <w:szCs w:val="20"/>
          <w:u w:val="single"/>
        </w:rPr>
        <w:t>Now is the time to scrutinize this will to institutionality if we are to create alternative forms of agency and subjectivity not beholden to the logics of state, capital, and academy.</w:t>
      </w:r>
      <w:r>
        <w:rPr>
          <w:sz w:val="20"/>
          <w:szCs w:val="20"/>
        </w:rPr>
        <w:t xml:space="preserve"> </w:t>
      </w:r>
      <w:r>
        <w:rPr>
          <w:b/>
          <w:sz w:val="18"/>
          <w:szCs w:val="18"/>
          <w:u w:val="single"/>
        </w:rPr>
        <w:t xml:space="preserve">We </w:t>
      </w:r>
      <w:r>
        <w:rPr>
          <w:b/>
          <w:sz w:val="20"/>
          <w:szCs w:val="20"/>
          <w:u w:val="single"/>
        </w:rPr>
        <w:t xml:space="preserve">are now in a moment in which institutionalization </w:t>
      </w:r>
      <w:r>
        <w:rPr>
          <w:b/>
          <w:sz w:val="18"/>
          <w:szCs w:val="18"/>
          <w:u w:val="single"/>
        </w:rPr>
        <w:t xml:space="preserve">is </w:t>
      </w:r>
      <w:r>
        <w:rPr>
          <w:b/>
          <w:sz w:val="20"/>
          <w:szCs w:val="20"/>
          <w:u w:val="single"/>
        </w:rPr>
        <w:t>the standard of the evolved and developed critical subject</w:t>
      </w:r>
      <w:r>
        <w:rPr>
          <w:sz w:val="20"/>
          <w:szCs w:val="20"/>
        </w:rPr>
        <w:t xml:space="preserve">. If genealogy is a form of history that can account for the constitution of knowledges, discourses, domains of objects, </w:t>
      </w:r>
      <w:r>
        <w:rPr>
          <w:b/>
          <w:sz w:val="20"/>
          <w:szCs w:val="20"/>
          <w:u w:val="single"/>
        </w:rPr>
        <w:t>now is the time to make genealogy into a form of history that can account for the inlititutionalization of knowledge, modes of difference, and critical agency.</w:t>
      </w:r>
      <w:r>
        <w:rPr>
          <w:sz w:val="20"/>
          <w:szCs w:val="20"/>
        </w:rPr>
        <w:t xml:space="preserve"> In doing so, we have to ask, </w:t>
      </w:r>
      <w:r>
        <w:rPr>
          <w:b/>
          <w:sz w:val="18"/>
          <w:szCs w:val="18"/>
          <w:u w:val="single"/>
        </w:rPr>
        <w:t xml:space="preserve">By </w:t>
      </w:r>
      <w:r>
        <w:rPr>
          <w:b/>
          <w:sz w:val="20"/>
          <w:szCs w:val="20"/>
          <w:u w:val="single"/>
        </w:rPr>
        <w:t>what counter-calculus can we maneuver difference for the purposes of rupture? Answering this question requires that queer intellectual, artistic, and social practices constantly engage power's apprehension of sexuality and other modes of minority difference.</w:t>
      </w:r>
      <w:r>
        <w:rPr>
          <w:sz w:val="20"/>
          <w:szCs w:val="20"/>
        </w:rPr>
        <w:t xml:space="preserve"> </w:t>
      </w:r>
      <w:r>
        <w:rPr>
          <w:b/>
          <w:sz w:val="20"/>
          <w:szCs w:val="20"/>
          <w:u w:val="single"/>
        </w:rPr>
        <w:t xml:space="preserve">Whether as intellectuals, artists, or simply people trying to live examined lives, engaging minority difference today means that we must negotiate with and struggle against the steady closure of critical universes brokered in a time of affirmation. </w:t>
      </w:r>
    </w:p>
    <w:p xmlns:wp14="http://schemas.microsoft.com/office/word/2010/wordml" w:rsidR="00665594" w:rsidP="00665594" w:rsidRDefault="00665594" w14:paraId="5EB89DE8" wp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665594" w:rsidP="00E756EE" w:rsidRDefault="00665594" w14:paraId="51ABA4F6" wp14:textId="77777777">
      <w:pPr>
        <w:pStyle w:val="Heading4"/>
      </w:pPr>
      <w:r>
        <w:t>The insurgent social movements of the 1960s ushered in the age of multiculturalism that disciplined minoritized subjects who were newly included in institutions under the guise of recognition. It is not a question of whether our aff “can be included” in your model of debate or in state reforms, but rather a question of the insidious domestication of insurgency through those institutions.</w:t>
      </w:r>
    </w:p>
    <w:p xmlns:wp14="http://schemas.microsoft.com/office/word/2010/wordml" w:rsidR="00665594" w:rsidP="00665594" w:rsidRDefault="00665594" w14:paraId="6846F9D5" wp14:textId="77777777">
      <w:pPr>
        <w:rPr>
          <w:sz w:val="20"/>
          <w:szCs w:val="20"/>
        </w:rPr>
      </w:pPr>
      <w:r w:rsidRPr="00E756EE">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197-199]</w:t>
      </w:r>
    </w:p>
    <w:p xmlns:wp14="http://schemas.microsoft.com/office/word/2010/wordml" w:rsidR="00665594" w:rsidP="00665594" w:rsidRDefault="00665594" w14:paraId="6A33B38D" wp14:textId="77777777">
      <w:pPr>
        <w:rPr>
          <w:b/>
          <w:sz w:val="20"/>
          <w:szCs w:val="20"/>
          <w:u w:val="single"/>
        </w:rPr>
      </w:pPr>
      <w:r>
        <w:rPr>
          <w:sz w:val="18"/>
          <w:szCs w:val="18"/>
          <w:u w:val="single"/>
        </w:rPr>
        <w:t xml:space="preserve">We </w:t>
      </w:r>
      <w:r>
        <w:rPr>
          <w:sz w:val="20"/>
          <w:szCs w:val="20"/>
          <w:u w:val="single"/>
        </w:rPr>
        <w:t>might frame the social transformations wrought by the radical move- ments of the 1960s as contradictory occurrences that, on the one hand, ushered in a new dawn of minority culture and difference and, on the other hand, shipped "new" forms of racial hegemony onto shore</w:t>
      </w:r>
      <w:r>
        <w:rPr>
          <w:sz w:val="20"/>
          <w:szCs w:val="20"/>
        </w:rPr>
        <w:t xml:space="preserve">. This contra- diction would account for </w:t>
      </w:r>
      <w:r>
        <w:rPr>
          <w:b/>
          <w:sz w:val="20"/>
          <w:szCs w:val="20"/>
          <w:u w:val="single"/>
        </w:rPr>
        <w:t>the new character of U.S. institutions</w:t>
      </w:r>
      <w:r>
        <w:rPr>
          <w:sz w:val="20"/>
          <w:szCs w:val="20"/>
        </w:rPr>
        <w:t>, one that</w:t>
      </w:r>
      <w:r>
        <w:rPr>
          <w:b/>
          <w:sz w:val="20"/>
          <w:szCs w:val="20"/>
          <w:u w:val="single"/>
        </w:rPr>
        <w:t xml:space="preserve"> would solicit, regulate, and exclude minorities all at the same time.</w:t>
      </w:r>
      <w:r>
        <w:rPr>
          <w:sz w:val="20"/>
          <w:szCs w:val="20"/>
        </w:rPr>
        <w:t xml:space="preserve"> In the divergent circumstances of minority difference, </w:t>
      </w:r>
      <w:r>
        <w:rPr>
          <w:b/>
          <w:sz w:val="20"/>
          <w:szCs w:val="20"/>
          <w:u w:val="single"/>
        </w:rPr>
        <w:t xml:space="preserve">the hegemonic foundations of aesthetic culture would rear their audacious heads and take minorities </w:t>
      </w:r>
      <w:r>
        <w:rPr>
          <w:b/>
          <w:sz w:val="18"/>
          <w:szCs w:val="18"/>
          <w:u w:val="single"/>
        </w:rPr>
        <w:t xml:space="preserve">as </w:t>
      </w:r>
      <w:r>
        <w:rPr>
          <w:b/>
          <w:sz w:val="20"/>
          <w:szCs w:val="20"/>
          <w:u w:val="single"/>
        </w:rPr>
        <w:t>objects for whom institutional preparedness would need to be determined.</w:t>
      </w:r>
      <w:r>
        <w:rPr>
          <w:sz w:val="20"/>
          <w:szCs w:val="20"/>
        </w:rPr>
        <w:t xml:space="preserve"> With the </w:t>
      </w:r>
      <w:r>
        <w:rPr>
          <w:sz w:val="18"/>
          <w:szCs w:val="18"/>
        </w:rPr>
        <w:t xml:space="preserve">rise </w:t>
      </w:r>
      <w:r>
        <w:rPr>
          <w:sz w:val="20"/>
          <w:szCs w:val="20"/>
        </w:rPr>
        <w:t xml:space="preserve">of this new historical contradiction, </w:t>
      </w:r>
      <w:r>
        <w:rPr>
          <w:b/>
          <w:sz w:val="20"/>
          <w:szCs w:val="20"/>
          <w:u w:val="single"/>
        </w:rPr>
        <w:t xml:space="preserve">evaluative systems would emerge that would compromise and prevent </w:t>
      </w:r>
      <w:r>
        <w:rPr>
          <w:b/>
          <w:sz w:val="20"/>
          <w:szCs w:val="20"/>
          <w:u w:val="single"/>
        </w:rPr>
        <w:lastRenderedPageBreak/>
        <w:t>various modes of redistribution geared toward the supplying of material resources, the transformation of discursive arrangements, and the reorganization of social relations and formations.</w:t>
      </w:r>
      <w:r>
        <w:rPr>
          <w:sz w:val="20"/>
          <w:szCs w:val="20"/>
        </w:rPr>
        <w:t xml:space="preserve"> In this tragedy of redistribution and non-redistribution, the contradic- tory elements that inhere within the concept of the "minority" would shine </w:t>
      </w:r>
      <w:r>
        <w:rPr>
          <w:sz w:val="18"/>
          <w:szCs w:val="18"/>
        </w:rPr>
        <w:t xml:space="preserve">as </w:t>
      </w:r>
      <w:r>
        <w:rPr>
          <w:sz w:val="20"/>
          <w:szCs w:val="20"/>
        </w:rPr>
        <w:t xml:space="preserve">never before. </w:t>
      </w:r>
      <w:r>
        <w:rPr>
          <w:b/>
          <w:sz w:val="20"/>
          <w:szCs w:val="20"/>
          <w:u w:val="single"/>
        </w:rPr>
        <w:t>Because the minority is founded in notions of development, suppression, and exclusion, the category makes institutional access not simply a question of admission and privilege but one of discipline and exclusion as well</w:t>
      </w:r>
      <w:r>
        <w:rPr>
          <w:sz w:val="20"/>
          <w:szCs w:val="20"/>
        </w:rPr>
        <w:t xml:space="preserve">. When we leave the sphere of institutional admittance, we observe that minoritized subjects and knowledges risk a bale of measurements and limitations. </w:t>
      </w:r>
      <w:r>
        <w:rPr>
          <w:sz w:val="20"/>
          <w:szCs w:val="20"/>
          <w:u w:val="single"/>
        </w:rPr>
        <w:t xml:space="preserve">In the years following the civil rights movement, the question of how minorities were made into theoretical, political, and cultural categories would begin to share space with the question of how minorities were discursively constituted as </w:t>
      </w:r>
      <w:r>
        <w:rPr>
          <w:i/>
          <w:sz w:val="20"/>
          <w:szCs w:val="20"/>
          <w:u w:val="single"/>
        </w:rPr>
        <w:t xml:space="preserve">institutional </w:t>
      </w:r>
      <w:r>
        <w:rPr>
          <w:sz w:val="20"/>
          <w:szCs w:val="20"/>
          <w:u w:val="single"/>
        </w:rPr>
        <w:t>categories, simultaneously fit for and excluded from a whole host of social institutions</w:t>
      </w:r>
      <w:r>
        <w:rPr>
          <w:sz w:val="20"/>
          <w:szCs w:val="20"/>
        </w:rPr>
        <w:t xml:space="preserve">. </w:t>
      </w:r>
      <w:r>
        <w:rPr>
          <w:b/>
          <w:sz w:val="20"/>
          <w:szCs w:val="20"/>
          <w:u w:val="single"/>
        </w:rPr>
        <w:t xml:space="preserve">The entrance of minoritized subjects into the dominant institutions of U.S. society provided the conditions for the reassertion of evaluative </w:t>
      </w:r>
      <w:r>
        <w:rPr>
          <w:b/>
          <w:sz w:val="18"/>
          <w:szCs w:val="18"/>
          <w:u w:val="single"/>
        </w:rPr>
        <w:t xml:space="preserve">dis- </w:t>
      </w:r>
      <w:r>
        <w:rPr>
          <w:b/>
          <w:sz w:val="20"/>
          <w:szCs w:val="20"/>
          <w:u w:val="single"/>
        </w:rPr>
        <w:t>courses.</w:t>
      </w:r>
      <w:r>
        <w:rPr>
          <w:sz w:val="20"/>
          <w:szCs w:val="20"/>
        </w:rPr>
        <w:t xml:space="preserve"> Crenshaw, Gotanda, Peller, and Thomas discuss how those dis- courses resulted from a narrowing of the civil rights movement's vision for social reorganization: </w:t>
      </w:r>
      <w:r>
        <w:rPr>
          <w:sz w:val="20"/>
          <w:szCs w:val="20"/>
          <w:u w:val="single"/>
        </w:rPr>
        <w:t xml:space="preserve">In institution after institution, progressive reformers found themselves struggling over the implementation of integrationist policy with the </w:t>
      </w:r>
      <w:r>
        <w:rPr>
          <w:sz w:val="18"/>
          <w:szCs w:val="18"/>
          <w:u w:val="single"/>
        </w:rPr>
        <w:t>for</w:t>
      </w:r>
      <w:r>
        <w:rPr>
          <w:sz w:val="20"/>
          <w:szCs w:val="20"/>
          <w:u w:val="single"/>
        </w:rPr>
        <w:t xml:space="preserve">mer administrators of segregation who soon regrouped </w:t>
      </w:r>
      <w:r>
        <w:rPr>
          <w:sz w:val="18"/>
          <w:szCs w:val="18"/>
          <w:u w:val="single"/>
        </w:rPr>
        <w:t xml:space="preserve">as </w:t>
      </w:r>
      <w:r>
        <w:rPr>
          <w:sz w:val="20"/>
          <w:szCs w:val="20"/>
          <w:u w:val="single"/>
        </w:rPr>
        <w:t>an old guard "concerned" over the deterioration of standards</w:t>
      </w:r>
      <w:r>
        <w:rPr>
          <w:sz w:val="20"/>
          <w:szCs w:val="20"/>
        </w:rPr>
        <w:t xml:space="preserve"> </w:t>
      </w:r>
      <w:r>
        <w:rPr>
          <w:sz w:val="24"/>
          <w:szCs w:val="24"/>
        </w:rPr>
        <w:t xml:space="preserve">. . . </w:t>
      </w:r>
      <w:r>
        <w:rPr>
          <w:sz w:val="20"/>
          <w:szCs w:val="20"/>
        </w:rPr>
        <w:t xml:space="preserve">Even more dra- matic, </w:t>
      </w:r>
      <w:r>
        <w:rPr>
          <w:sz w:val="20"/>
          <w:szCs w:val="20"/>
          <w:u w:val="single"/>
        </w:rPr>
        <w:t xml:space="preserve">the same criteria for defining "qualifications" and "merit" used during the period of explicit racial exclusion continued to </w:t>
      </w:r>
      <w:r>
        <w:rPr>
          <w:sz w:val="18"/>
          <w:szCs w:val="18"/>
          <w:u w:val="single"/>
        </w:rPr>
        <w:t xml:space="preserve">be </w:t>
      </w:r>
      <w:r>
        <w:rPr>
          <w:sz w:val="20"/>
          <w:szCs w:val="20"/>
          <w:u w:val="single"/>
        </w:rPr>
        <w:t xml:space="preserve">used, </w:t>
      </w:r>
      <w:r>
        <w:rPr>
          <w:sz w:val="18"/>
          <w:szCs w:val="18"/>
          <w:u w:val="single"/>
        </w:rPr>
        <w:t xml:space="preserve">so </w:t>
      </w:r>
      <w:r>
        <w:rPr>
          <w:sz w:val="20"/>
          <w:szCs w:val="20"/>
          <w:u w:val="single"/>
        </w:rPr>
        <w:t xml:space="preserve">long </w:t>
      </w:r>
      <w:r>
        <w:rPr>
          <w:sz w:val="18"/>
          <w:szCs w:val="18"/>
          <w:u w:val="single"/>
        </w:rPr>
        <w:t xml:space="preserve">as </w:t>
      </w:r>
      <w:r>
        <w:rPr>
          <w:sz w:val="20"/>
          <w:szCs w:val="20"/>
          <w:u w:val="single"/>
        </w:rPr>
        <w:t xml:space="preserve">they were not directly "racial. </w:t>
      </w:r>
      <w:r>
        <w:rPr>
          <w:sz w:val="18"/>
          <w:szCs w:val="18"/>
        </w:rPr>
        <w:t xml:space="preserve">"41 </w:t>
      </w:r>
      <w:r>
        <w:rPr>
          <w:sz w:val="20"/>
          <w:szCs w:val="20"/>
        </w:rPr>
        <w:t xml:space="preserve">As the authors suggest, </w:t>
      </w:r>
      <w:r>
        <w:rPr>
          <w:b/>
          <w:sz w:val="20"/>
          <w:szCs w:val="20"/>
          <w:u w:val="single"/>
        </w:rPr>
        <w:t>evaluative ideals like "qualifications" and "merit" bridged the racial state organized around segregation to a racial state organized around racial reform. Those ideals would mediate between the in- clusion and exclusion of the minority, arbitrating between the disciplining of those that were included and the exclusion of those that were not</w:t>
      </w:r>
      <w:r>
        <w:rPr>
          <w:sz w:val="20"/>
          <w:szCs w:val="20"/>
        </w:rPr>
        <w:t xml:space="preserve">. </w:t>
      </w:r>
      <w:r>
        <w:rPr>
          <w:sz w:val="18"/>
          <w:szCs w:val="18"/>
        </w:rPr>
        <w:t xml:space="preserve">As </w:t>
      </w:r>
      <w:r>
        <w:rPr>
          <w:sz w:val="20"/>
          <w:szCs w:val="20"/>
        </w:rPr>
        <w:t xml:space="preserve">the question of the political and cultural constitution of minorities neces- sitated thinking through the genealogy of state and capitalist formations, so the question of the institutional constitution of minorities requires a similar genealogical move. Because of its constant practices of evaluation and certification, the academy arose as a testing ground and model for the disciplines and exclu- sions that would attend institutional discourses and protocols for inclusion. In the context of the post-civil rights academy, certain models of ethical development have been produced as the condition for admission. In her essay "An Affirmative View," Judith Butler, for example, argues that in the period of the dismantling of affirmative action, a "morally sanctified individualism" counters analyses of institutional discrimination that "once supported the rationale for affirmative action." </w:t>
      </w:r>
      <w:r>
        <w:rPr>
          <w:sz w:val="18"/>
          <w:szCs w:val="18"/>
        </w:rPr>
        <w:t xml:space="preserve">As </w:t>
      </w:r>
      <w:r>
        <w:rPr>
          <w:sz w:val="20"/>
          <w:szCs w:val="20"/>
        </w:rPr>
        <w:t xml:space="preserve">a result, "The drama of the heroic individual </w:t>
      </w:r>
      <w:r>
        <w:rPr>
          <w:sz w:val="18"/>
          <w:szCs w:val="18"/>
        </w:rPr>
        <w:t xml:space="preserve">is </w:t>
      </w:r>
      <w:r>
        <w:rPr>
          <w:sz w:val="20"/>
          <w:szCs w:val="20"/>
        </w:rPr>
        <w:t xml:space="preserve">reaffirmed as the proper replacement for affirma- </w:t>
      </w:r>
      <w:r>
        <w:rPr>
          <w:sz w:val="18"/>
          <w:szCs w:val="18"/>
        </w:rPr>
        <w:t xml:space="preserve">tive </w:t>
      </w:r>
      <w:r>
        <w:rPr>
          <w:sz w:val="20"/>
          <w:szCs w:val="20"/>
        </w:rPr>
        <w:t>action policies, where the latter are understood as remedial actions.</w:t>
      </w:r>
      <w:r>
        <w:rPr>
          <w:sz w:val="18"/>
          <w:szCs w:val="18"/>
        </w:rPr>
        <w:t xml:space="preserve">"42 </w:t>
      </w:r>
      <w:r>
        <w:rPr>
          <w:sz w:val="20"/>
          <w:szCs w:val="20"/>
        </w:rPr>
        <w:t xml:space="preserve">Not surprisingly, the figure of the heroic individual recenters the hegemonic authority of academic institutions to articulate minority life: "The institu- tion </w:t>
      </w:r>
      <w:r>
        <w:rPr>
          <w:sz w:val="18"/>
          <w:szCs w:val="18"/>
        </w:rPr>
        <w:t xml:space="preserve">is </w:t>
      </w:r>
      <w:r>
        <w:rPr>
          <w:sz w:val="20"/>
          <w:szCs w:val="20"/>
        </w:rPr>
        <w:t xml:space="preserve">under no obligation to give special consideration to those who have suffered discrimination; on the contrary, the institution will now reward those who have overcome their adverse circumstances with the resources of individual character. </w:t>
      </w:r>
      <w:r>
        <w:rPr>
          <w:sz w:val="18"/>
          <w:szCs w:val="18"/>
        </w:rPr>
        <w:t xml:space="preserve">"43 </w:t>
      </w:r>
      <w:r>
        <w:rPr>
          <w:sz w:val="20"/>
          <w:szCs w:val="20"/>
        </w:rPr>
        <w:t xml:space="preserve">If we read Butler's comments about affirmative action alongside David Lloyd's theorizations about minorities and representative democracy, we see that the American academy derived much of its grammar for institutional representation from theorizations of representative democracy, making the ethical development of the abstract individual into the measurement of achievement and capacity. The academy also inherited and revised repre- democracy's regulatory engagement with and construction of minoritized subjects. </w:t>
      </w:r>
      <w:r>
        <w:rPr>
          <w:b/>
          <w:sz w:val="20"/>
          <w:szCs w:val="20"/>
          <w:u w:val="single"/>
        </w:rPr>
        <w:t xml:space="preserve">As the academy engaged the modern nation-state's understanding of representative democracy, perfecting that understanding </w:t>
      </w:r>
      <w:r>
        <w:rPr>
          <w:b/>
          <w:sz w:val="18"/>
          <w:szCs w:val="18"/>
          <w:u w:val="single"/>
        </w:rPr>
        <w:t xml:space="preserve">in </w:t>
      </w:r>
      <w:r>
        <w:rPr>
          <w:b/>
          <w:sz w:val="20"/>
          <w:szCs w:val="20"/>
          <w:u w:val="single"/>
        </w:rPr>
        <w:t xml:space="preserve">relation to racial and gender minorities, it also offered the minority as the embodiment of a permanent inadequacy whose development </w:t>
      </w:r>
      <w:r>
        <w:rPr>
          <w:b/>
          <w:sz w:val="18"/>
          <w:szCs w:val="18"/>
          <w:u w:val="single"/>
        </w:rPr>
        <w:t xml:space="preserve">is </w:t>
      </w:r>
      <w:r>
        <w:rPr>
          <w:b/>
          <w:sz w:val="20"/>
          <w:szCs w:val="20"/>
          <w:u w:val="single"/>
        </w:rPr>
        <w:t>precarious at worst and uneven at best.</w:t>
      </w:r>
      <w:r>
        <w:rPr>
          <w:sz w:val="20"/>
          <w:szCs w:val="20"/>
        </w:rPr>
        <w:t xml:space="preserve"> In addition to narrowing the transfor- mative potential of the civil rights movement by shirking a "broad scale inquiry into why jobs, wealth, education, and power are distributed as they are,"44 the academy, along with other </w:t>
      </w:r>
      <w:r>
        <w:rPr>
          <w:b/>
          <w:sz w:val="20"/>
          <w:szCs w:val="20"/>
          <w:u w:val="single"/>
        </w:rPr>
        <w:t xml:space="preserve">social institutions, narrowed the potential of those transformations by continuing to articulate the liberal individual as the horizon of cultural value and development, and in doing </w:t>
      </w:r>
      <w:r>
        <w:rPr>
          <w:b/>
          <w:sz w:val="18"/>
          <w:szCs w:val="18"/>
          <w:u w:val="single"/>
        </w:rPr>
        <w:t xml:space="preserve">so </w:t>
      </w:r>
      <w:r>
        <w:rPr>
          <w:b/>
          <w:sz w:val="20"/>
          <w:szCs w:val="20"/>
          <w:u w:val="single"/>
        </w:rPr>
        <w:t xml:space="preserve">refortified rather than displaced Western man. </w:t>
      </w:r>
    </w:p>
    <w:p xmlns:wp14="http://schemas.microsoft.com/office/word/2010/wordml" w:rsidR="00665594" w:rsidP="00665594" w:rsidRDefault="00665594" w14:paraId="7D62D461" wp14:textId="77777777"/>
    <w:p xmlns:wp14="http://schemas.microsoft.com/office/word/2010/wordml" w:rsidR="00665594" w:rsidP="00E756EE" w:rsidRDefault="00665594" w14:paraId="58B82B55" wp14:textId="77777777">
      <w:pPr>
        <w:pStyle w:val="Heading4"/>
      </w:pPr>
      <w:r w:rsidRPr="00E756EE">
        <w:lastRenderedPageBreak/>
        <w:t>Institutions’ incorporative capacities for reform “make race a factor” only insofar as their administrative qualifications and metrics can disassociate institutional changes from the insurgent movements that bring them about, which results in institutionalizing essentialist and fixed notions of race.</w:t>
      </w:r>
    </w:p>
    <w:p xmlns:wp14="http://schemas.microsoft.com/office/word/2010/wordml" w:rsidR="00665594" w:rsidP="00665594" w:rsidRDefault="00665594" w14:paraId="74465498" wp14:textId="77777777">
      <w:pPr>
        <w:rPr>
          <w:sz w:val="20"/>
          <w:szCs w:val="20"/>
        </w:rPr>
      </w:pPr>
      <w:r w:rsidRPr="00E756EE">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104-106]</w:t>
      </w:r>
      <w:r>
        <w:rPr>
          <w:sz w:val="20"/>
          <w:szCs w:val="20"/>
        </w:rPr>
        <w:tab/>
      </w:r>
    </w:p>
    <w:p xmlns:wp14="http://schemas.microsoft.com/office/word/2010/wordml" w:rsidR="00665594" w:rsidP="00665594" w:rsidRDefault="00665594" w14:paraId="409C49C2" wp14:textId="77777777">
      <w:pPr>
        <w:rPr>
          <w:sz w:val="20"/>
          <w:szCs w:val="20"/>
        </w:rPr>
      </w:pPr>
      <w:r>
        <w:rPr>
          <w:sz w:val="20"/>
          <w:szCs w:val="20"/>
        </w:rPr>
        <w:t xml:space="preserve">In the context of the American academy, one way of practicing affir- mative action and reconciling excellence with democratic change was </w:t>
      </w:r>
      <w:r>
        <w:rPr>
          <w:sz w:val="18"/>
          <w:szCs w:val="18"/>
        </w:rPr>
        <w:t xml:space="preserve">by </w:t>
      </w:r>
      <w:r>
        <w:rPr>
          <w:sz w:val="20"/>
          <w:szCs w:val="20"/>
        </w:rPr>
        <w:t xml:space="preserve">making race "a factor" among others, such as test scores, grade point aver- ages, recommendation letters, and so on. Yet, </w:t>
      </w:r>
      <w:r>
        <w:rPr>
          <w:b/>
          <w:sz w:val="20"/>
          <w:szCs w:val="20"/>
          <w:u w:val="single"/>
        </w:rPr>
        <w:t xml:space="preserve">turning race into a factor would not circumvent power so much </w:t>
      </w:r>
      <w:r>
        <w:rPr>
          <w:b/>
          <w:sz w:val="18"/>
          <w:szCs w:val="18"/>
          <w:u w:val="single"/>
        </w:rPr>
        <w:t xml:space="preserve">as </w:t>
      </w:r>
      <w:r>
        <w:rPr>
          <w:b/>
          <w:sz w:val="20"/>
          <w:szCs w:val="20"/>
          <w:u w:val="single"/>
        </w:rPr>
        <w:t xml:space="preserve">confirm it. </w:t>
      </w:r>
      <w:r>
        <w:rPr>
          <w:sz w:val="20"/>
          <w:szCs w:val="20"/>
        </w:rPr>
        <w:t xml:space="preserve">In truth, turning race into a fixed and stable entity would strip the category of the very dyna- mism that the student movements helped to reveal. Discussing the idea of race as a "factor" in affirmative-action considerations, Judith Butler con- cludes: "Even if we understand such categories to be one among many that enter into the constitution of a student's profile, the language of the factor still presumes that minority status might be contained and repre- sented in a quantifiable form. </w:t>
      </w:r>
      <w:r>
        <w:rPr>
          <w:sz w:val="18"/>
          <w:szCs w:val="18"/>
        </w:rPr>
        <w:t>"48</w:t>
      </w:r>
      <w:r>
        <w:rPr>
          <w:b/>
          <w:sz w:val="18"/>
          <w:szCs w:val="18"/>
          <w:u w:val="single"/>
        </w:rPr>
        <w:t xml:space="preserve"> </w:t>
      </w:r>
      <w:r>
        <w:rPr>
          <w:b/>
          <w:sz w:val="20"/>
          <w:szCs w:val="20"/>
          <w:u w:val="single"/>
        </w:rPr>
        <w:t>Although affirmative action and excellence signaled new times and new possibilities for minority participation, they would at the same time be moments that ensured minority representation and regulation</w:t>
      </w:r>
      <w:r>
        <w:rPr>
          <w:sz w:val="20"/>
          <w:szCs w:val="20"/>
        </w:rPr>
        <w:t xml:space="preserve">. Butler notes that even as the language of "one factor among many" suggests an </w:t>
      </w:r>
      <w:r>
        <w:rPr>
          <w:b/>
          <w:sz w:val="20"/>
          <w:szCs w:val="20"/>
          <w:u w:val="single"/>
        </w:rPr>
        <w:t>appreciation for the partial significance of a student's racial background</w:t>
      </w:r>
      <w:r>
        <w:rPr>
          <w:sz w:val="20"/>
          <w:szCs w:val="20"/>
        </w:rPr>
        <w:t xml:space="preserve">, that "language </w:t>
      </w:r>
      <w:r>
        <w:rPr>
          <w:b/>
          <w:sz w:val="20"/>
          <w:szCs w:val="20"/>
          <w:u w:val="single"/>
        </w:rPr>
        <w:t>nevertheless performs a totalization of the status, suggesting its containment and representability as a statistical unit or discrete attribute</w:t>
      </w:r>
      <w:r>
        <w:rPr>
          <w:sz w:val="20"/>
          <w:szCs w:val="20"/>
        </w:rPr>
        <w:t xml:space="preserve">."49 </w:t>
      </w:r>
      <w:r>
        <w:rPr>
          <w:sz w:val="18"/>
          <w:szCs w:val="18"/>
        </w:rPr>
        <w:t xml:space="preserve">By </w:t>
      </w:r>
      <w:r>
        <w:rPr>
          <w:sz w:val="20"/>
          <w:szCs w:val="20"/>
        </w:rPr>
        <w:t xml:space="preserve">"factoring" race, what the antiracist move- ments demonstrated as the protean and dynamic character of racial mean-ing would be turned into the fixed and discrete unit of academic calculation. In other words, what was publicly shown to be a category of considerable innovation and experimentation was turned into a stable and totalizing factor in the name of integration. </w:t>
      </w:r>
      <w:r>
        <w:rPr>
          <w:sz w:val="18"/>
          <w:szCs w:val="18"/>
        </w:rPr>
        <w:t xml:space="preserve">As </w:t>
      </w:r>
      <w:r>
        <w:rPr>
          <w:sz w:val="20"/>
          <w:szCs w:val="20"/>
        </w:rPr>
        <w:t xml:space="preserve">quantification became the standard by which to incorporate racial- ized subjects, race would be read ironically as an abstraction divorced from historical contexts. </w:t>
      </w:r>
      <w:r>
        <w:rPr>
          <w:sz w:val="18"/>
          <w:szCs w:val="18"/>
        </w:rPr>
        <w:t xml:space="preserve">As </w:t>
      </w:r>
      <w:r>
        <w:rPr>
          <w:sz w:val="20"/>
          <w:szCs w:val="20"/>
        </w:rPr>
        <w:t xml:space="preserve">Butler writes, </w:t>
      </w:r>
      <w:r>
        <w:rPr>
          <w:b/>
          <w:sz w:val="20"/>
          <w:szCs w:val="20"/>
          <w:u w:val="single"/>
        </w:rPr>
        <w:t xml:space="preserve">quantifying minorities "not only abstracts from the qualitative considerations of background, history, environment, opportunity, and cultural forms of expression and ideals," it also arrests and destroys the historicity of minoritized subjects by throwing the category "minority" into an "ahistorical vacuum" and "subjecting it to a logic of calculability." </w:t>
      </w:r>
      <w:r>
        <w:rPr>
          <w:sz w:val="20"/>
          <w:szCs w:val="20"/>
        </w:rPr>
        <w:t xml:space="preserve">Quantifying minority categories negates their potential as "points of departure for interpretation" and as "ways of locat- ing accomplishments culturally," rendering those categories instead into ontological certainties that assert, "this </w:t>
      </w:r>
      <w:r>
        <w:rPr>
          <w:sz w:val="18"/>
          <w:szCs w:val="18"/>
        </w:rPr>
        <w:t xml:space="preserve">is </w:t>
      </w:r>
      <w:r>
        <w:rPr>
          <w:sz w:val="20"/>
          <w:szCs w:val="20"/>
        </w:rPr>
        <w:t>what this person is.''50</w:t>
      </w:r>
      <w:r>
        <w:rPr>
          <w:b/>
          <w:sz w:val="20"/>
          <w:szCs w:val="20"/>
          <w:u w:val="single"/>
        </w:rPr>
        <w:t xml:space="preserve"> This onto- logical move was actually a way to discipline the historic maneuvers of the antiracist movements.</w:t>
      </w:r>
      <w:r>
        <w:rPr>
          <w:sz w:val="20"/>
          <w:szCs w:val="20"/>
        </w:rPr>
        <w:t xml:space="preserve"> </w:t>
      </w:r>
      <w:r>
        <w:t xml:space="preserve">If </w:t>
      </w:r>
      <w:r>
        <w:rPr>
          <w:sz w:val="20"/>
          <w:szCs w:val="20"/>
        </w:rPr>
        <w:t xml:space="preserve">those movements partly emphasized race as a mode of becoming, then discourses that quantified race, in effect, attempted to arrest its potential for transformation and rearticulation. </w:t>
      </w:r>
      <w:r>
        <w:t xml:space="preserve">If </w:t>
      </w:r>
      <w:r>
        <w:rPr>
          <w:sz w:val="20"/>
          <w:szCs w:val="20"/>
        </w:rPr>
        <w:t xml:space="preserve">quantification "[destroys] the very referent it seeks to represent,"51 </w:t>
      </w:r>
      <w:r>
        <w:rPr>
          <w:b/>
          <w:sz w:val="20"/>
          <w:szCs w:val="20"/>
          <w:u w:val="single"/>
        </w:rPr>
        <w:t>quantification annihilates not only the applicant but the social movements that made the applicant possible in the first place</w:t>
      </w:r>
      <w:r>
        <w:rPr>
          <w:sz w:val="20"/>
          <w:szCs w:val="20"/>
        </w:rPr>
        <w:t xml:space="preserve">. </w:t>
      </w:r>
      <w:r>
        <w:rPr>
          <w:sz w:val="18"/>
          <w:szCs w:val="18"/>
        </w:rPr>
        <w:t xml:space="preserve">By </w:t>
      </w:r>
      <w:r>
        <w:rPr>
          <w:sz w:val="20"/>
          <w:szCs w:val="20"/>
        </w:rPr>
        <w:t xml:space="preserve">naming the ways in which race is fixed in discrete units, Butler's arguments about the quantification of minorities reveal how the university institutionalizes essentialist discourses of race, gender, class, and sexuality, reading them as discrete and calculable units rather than points of depar- ture for locating subjects historically and culturally. We have been led to believe that essentialist discourses arise primarily as an effect of the student movements themselves, but Butler's arguments compel us to interrogate the ways in which those discourses arise as part of bureaucratic protocols and metrics. The contradictory articulation of the student movements meant that </w:t>
      </w:r>
      <w:r>
        <w:rPr>
          <w:b/>
          <w:sz w:val="20"/>
          <w:szCs w:val="20"/>
          <w:u w:val="single"/>
        </w:rPr>
        <w:t xml:space="preserve">those elements that arrested the dynamism of minority differ- ence invoked institutional hegemony rather than repelling it, inviting academic institutions to fix otherwise dynamic notions of racial difference. Fixed and stable notions of race might thus be understood not </w:t>
      </w:r>
      <w:r>
        <w:rPr>
          <w:sz w:val="20"/>
          <w:szCs w:val="20"/>
        </w:rPr>
        <w:t>simply</w:t>
      </w:r>
      <w:r>
        <w:rPr>
          <w:b/>
          <w:sz w:val="20"/>
          <w:szCs w:val="20"/>
          <w:u w:val="single"/>
        </w:rPr>
        <w:t xml:space="preserve"> as epistemological constructions but as administrative procedures</w:t>
      </w:r>
      <w:r>
        <w:rPr>
          <w:sz w:val="20"/>
          <w:szCs w:val="20"/>
        </w:rPr>
        <w:t xml:space="preserve"> as well. </w:t>
      </w:r>
    </w:p>
    <w:p xmlns:wp14="http://schemas.microsoft.com/office/word/2010/wordml" w:rsidR="00665594" w:rsidP="00665594" w:rsidRDefault="00665594" w14:paraId="078B034E" wp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p>
    <w:p xmlns:wp14="http://schemas.microsoft.com/office/word/2010/wordml" w:rsidR="00750993" w:rsidP="00750993" w:rsidRDefault="00750993" w14:paraId="6476E110" wp14:textId="77777777">
      <w:pPr>
        <w:pStyle w:val="Heading3"/>
      </w:pPr>
      <w:r>
        <w:lastRenderedPageBreak/>
        <w:t>A2: You are irresponsible</w:t>
      </w:r>
    </w:p>
    <w:p xmlns:wp14="http://schemas.microsoft.com/office/word/2010/wordml" w:rsidRPr="00916F16" w:rsidR="00750993" w:rsidP="00750993" w:rsidRDefault="00750993" w14:paraId="7EA0FD09" wp14:textId="77777777">
      <w:pPr>
        <w:pStyle w:val="Heading4"/>
      </w:pPr>
      <w:r w:rsidRPr="00916F16">
        <w:t>The concept of the non-institutional community to which we must be “responsible” is a manifestation of power operating as it is supposed to-- in order to consolidate the academy as the arbiter of proper subjectivity and inclusion, the discourse of “responsibility” enacts a civilizing, domesticating mission designed to coerce new populations into the institution’s purview.</w:t>
      </w:r>
    </w:p>
    <w:p xmlns:wp14="http://schemas.microsoft.com/office/word/2010/wordml" w:rsidR="00750993" w:rsidP="00750993" w:rsidRDefault="00750993" w14:paraId="2E4FFBF5" wp14:textId="77777777">
      <w:pPr>
        <w:rPr>
          <w:sz w:val="18"/>
          <w:szCs w:val="18"/>
        </w:rPr>
      </w:pPr>
      <w:r w:rsidRPr="00916F16">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w:t>
      </w:r>
      <w:r>
        <w:rPr>
          <w:sz w:val="18"/>
          <w:szCs w:val="18"/>
        </w:rPr>
        <w:t>P 111-112]</w:t>
      </w:r>
      <w:r>
        <w:rPr>
          <w:sz w:val="18"/>
          <w:szCs w:val="18"/>
        </w:rPr>
        <w:tab/>
      </w:r>
      <w:r>
        <w:rPr>
          <w:sz w:val="18"/>
          <w:szCs w:val="18"/>
        </w:rPr>
        <w:tab/>
      </w:r>
      <w:r>
        <w:rPr>
          <w:sz w:val="18"/>
          <w:szCs w:val="18"/>
        </w:rPr>
        <w:tab/>
      </w:r>
    </w:p>
    <w:p xmlns:wp14="http://schemas.microsoft.com/office/word/2010/wordml" w:rsidR="00750993" w:rsidP="00750993" w:rsidRDefault="00750993" w14:paraId="498CBA3C" wp14:textId="77777777">
      <w:pPr>
        <w:rPr>
          <w:sz w:val="20"/>
          <w:szCs w:val="20"/>
        </w:rPr>
      </w:pPr>
      <w:r>
        <w:rPr>
          <w:sz w:val="18"/>
          <w:szCs w:val="18"/>
        </w:rPr>
        <w:t xml:space="preserve">As </w:t>
      </w:r>
      <w:r>
        <w:rPr>
          <w:sz w:val="20"/>
          <w:szCs w:val="20"/>
        </w:rPr>
        <w:t xml:space="preserve">the history of black studies and the social movements implies, </w:t>
      </w:r>
      <w:r>
        <w:rPr>
          <w:b/>
          <w:sz w:val="20"/>
          <w:szCs w:val="20"/>
          <w:u w:val="single"/>
        </w:rPr>
        <w:t>the interdisciplines were both the midwives and the children of affirmative and regulatory modes of power</w:t>
      </w:r>
      <w:r>
        <w:rPr>
          <w:sz w:val="20"/>
          <w:szCs w:val="20"/>
        </w:rPr>
        <w:t xml:space="preserve">. </w:t>
      </w:r>
      <w:r>
        <w:rPr>
          <w:u w:val="single"/>
        </w:rPr>
        <w:t xml:space="preserve">If </w:t>
      </w:r>
      <w:r>
        <w:rPr>
          <w:sz w:val="20"/>
          <w:szCs w:val="20"/>
          <w:u w:val="single"/>
        </w:rPr>
        <w:t>the modern university is</w:t>
      </w:r>
      <w:r>
        <w:rPr>
          <w:sz w:val="20"/>
          <w:szCs w:val="20"/>
        </w:rPr>
        <w:t>, as Derrida char- acterized it, "</w:t>
      </w:r>
      <w:r>
        <w:rPr>
          <w:sz w:val="20"/>
          <w:szCs w:val="20"/>
          <w:u w:val="single"/>
        </w:rPr>
        <w:t>responsible to a nonuniversity agency," then the student move- ments and the interdisciplines helped to broaden the scope and meaning of "nonuniversity agency</w:t>
      </w:r>
      <w:r>
        <w:rPr>
          <w:sz w:val="20"/>
          <w:szCs w:val="20"/>
        </w:rPr>
        <w:t xml:space="preserve">."s For instance, after the social movements of the fifties and sixties, </w:t>
      </w:r>
      <w:r>
        <w:rPr>
          <w:b/>
          <w:sz w:val="20"/>
          <w:szCs w:val="20"/>
          <w:u w:val="single"/>
        </w:rPr>
        <w:t>the university would begin to be responsible to minori- tized populations and communities, groups previously held outside the modern academy's range of interests and connections.</w:t>
      </w:r>
      <w:r>
        <w:rPr>
          <w:sz w:val="20"/>
          <w:szCs w:val="20"/>
        </w:rPr>
        <w:t xml:space="preserve"> Indeed, </w:t>
      </w:r>
      <w:r>
        <w:rPr>
          <w:sz w:val="20"/>
          <w:szCs w:val="20"/>
          <w:u w:val="single"/>
        </w:rPr>
        <w:t>we might think of the post-World War II U.S. academic environment as one charac- terized not only by the expansion of university structures but by the ampli- fication of new forms of "nonuniversity" communities, communities to which the academy would establish new kinds of responsibility</w:t>
      </w:r>
      <w:r>
        <w:rPr>
          <w:sz w:val="20"/>
          <w:szCs w:val="20"/>
        </w:rPr>
        <w:t xml:space="preserve">. In this regard, the social movements of the 1960s-along with the forms of study that they generated-helped to articulate contemporary horizons of re- sponsibility for women, blacks, Asian Americans, Native Americans, and Latinos. But, as the history shows, </w:t>
      </w:r>
      <w:r>
        <w:rPr>
          <w:b/>
          <w:sz w:val="20"/>
          <w:szCs w:val="20"/>
          <w:u w:val="single"/>
        </w:rPr>
        <w:t>responsibility has always been a doubled- edged matter.</w:t>
      </w:r>
      <w:r>
        <w:rPr>
          <w:sz w:val="20"/>
          <w:szCs w:val="20"/>
        </w:rPr>
        <w:t xml:space="preserve"> On the one hand, responsibility-in the post-World War II moment of national liberation and civil rights-was the means to estab- lish an ethical commitment to the well-being of communities minoritized by colonization, racial segregation, gender exploitation, and sexual regu- lation. Yet, </w:t>
      </w:r>
      <w:r>
        <w:rPr>
          <w:b/>
          <w:sz w:val="20"/>
          <w:szCs w:val="20"/>
          <w:u w:val="single"/>
        </w:rPr>
        <w:t>as responsibility was increasingly defined through nationalist politics that idealized heteropatriarchal, able-ist, and ethnically homoge- neous notions of community, responsibility-as an ideal-was often used to establish elaborate systems of regulation designed to determine what activities, interests, spaces, and experiences needed to be disciplined to the point of docility.</w:t>
      </w:r>
      <w:r>
        <w:rPr>
          <w:sz w:val="20"/>
          <w:szCs w:val="20"/>
        </w:rPr>
        <w:t xml:space="preserve"> In its regulatory guise, responsibility would ensnare a multitude of social and epistemic formations within its jurisdiction. In the Janus-faced name of responsibility, political organizations and academic programs devoted to minoritized subjects would arise in the postsixties en- vironment, disseminating both the life-enhancing and regulatory aspects of responsibility, producing an ironic kinship with the disciplinary universes of dominant Western institutions. </w:t>
      </w:r>
      <w:r>
        <w:rPr>
          <w:sz w:val="20"/>
          <w:szCs w:val="20"/>
          <w:u w:val="single"/>
        </w:rPr>
        <w:t>As "nonuniversity agents" were brought into the purview of academic knowledge, it became more and more difficult to separate "the commu- nity" from the academy</w:t>
      </w:r>
      <w:r>
        <w:rPr>
          <w:sz w:val="20"/>
          <w:szCs w:val="20"/>
        </w:rPr>
        <w:t xml:space="preserve">. In this new period, </w:t>
      </w:r>
      <w:r>
        <w:rPr>
          <w:b/>
          <w:sz w:val="20"/>
          <w:szCs w:val="20"/>
          <w:u w:val="single"/>
        </w:rPr>
        <w:t>the academy was far from the territory conquered by well-intentioned radicals</w:t>
      </w:r>
      <w:r>
        <w:rPr>
          <w:sz w:val="20"/>
          <w:szCs w:val="20"/>
        </w:rPr>
        <w:t xml:space="preserve">. Instead, </w:t>
      </w:r>
      <w:r>
        <w:rPr>
          <w:b/>
          <w:sz w:val="20"/>
          <w:szCs w:val="20"/>
          <w:u w:val="single"/>
        </w:rPr>
        <w:t>that ivory tower would grow into a crucible for unprecedented dramas between revolution and power, the contents of which would spill into streets and neighbor- hoods, violating taken-for-granted divisions between the hegemonic and the marginal</w:t>
      </w:r>
      <w:r>
        <w:rPr>
          <w:sz w:val="20"/>
          <w:szCs w:val="20"/>
        </w:rPr>
        <w:t xml:space="preserve">. The rise of African American studies in colleges and universities and in local neighborhoods would help extend minority difference into new quarters, opening up new relays for the establishment and breakdown of networks of power/knowledge. </w:t>
      </w:r>
    </w:p>
    <w:p xmlns:wp14="http://schemas.microsoft.com/office/word/2010/wordml" w:rsidR="00750993" w:rsidP="00750993" w:rsidRDefault="00750993" w14:paraId="492506DD" wp14:textId="77777777">
      <w:pPr>
        <w:rPr>
          <w:rStyle w:val="StyleUnderline"/>
        </w:rPr>
      </w:pPr>
    </w:p>
    <w:p xmlns:wp14="http://schemas.microsoft.com/office/word/2010/wordml" w:rsidR="00665594" w:rsidP="00665594" w:rsidRDefault="00665594" w14:paraId="31CD0C16" wp14:textId="77777777"/>
    <w:p xmlns:wp14="http://schemas.microsoft.com/office/word/2010/wordml" w:rsidRPr="00F40210" w:rsidR="0082799E" w:rsidP="0082799E" w:rsidRDefault="0082799E" w14:paraId="7FD8715F" wp14:textId="77777777"/>
    <w:p xmlns:wp14="http://schemas.microsoft.com/office/word/2010/wordml" w:rsidRPr="001753CC" w:rsidR="001753CC" w:rsidP="001753CC" w:rsidRDefault="001753CC" w14:paraId="6BDFDFC2" wp14:textId="77777777"/>
    <w:sectPr w:rsidRPr="001753CC" w:rsidR="001753CC">
      <w:headerReference w:type="even" r:id="rId156"/>
      <w:headerReference w:type="default" r:id="rId157"/>
      <w:footerReference w:type="even" r:id="rId158"/>
      <w:footerReference w:type="default" r:id="rId159"/>
      <w:headerReference w:type="first" r:id="rId160"/>
      <w:footerReference w:type="first" r:id="rId16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752195" w:rsidP="00752195" w:rsidRDefault="00752195" w14:paraId="63966B72" wp14:textId="77777777">
      <w:pPr>
        <w:spacing w:after="0" w:line="240" w:lineRule="auto"/>
      </w:pPr>
      <w:r>
        <w:separator/>
      </w:r>
    </w:p>
  </w:endnote>
  <w:endnote w:type="continuationSeparator" w:id="0">
    <w:p xmlns:wp14="http://schemas.microsoft.com/office/word/2010/wordml" w:rsidR="00752195" w:rsidP="00752195" w:rsidRDefault="00752195" w14:paraId="23536548"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55 Roman">
    <w:altName w:val="Arial"/>
    <w:charset w:val="00"/>
    <w:family w:val="swiss"/>
    <w:notTrueType/>
    <w:pitch w:val="default"/>
    <w:sig w:usb0="00000003" w:usb1="00000000" w:usb2="00000000" w:usb3="00000000" w:csb0="00000001" w:csb1="00000000"/>
  </w:font>
  <w:font w:name="Helvetica Neue">
    <w:altName w:val="Arial"/>
    <w:charset w:val="00"/>
    <w:family w:val="swiss"/>
    <w:notTrueType/>
    <w:pitch w:val="default"/>
    <w:sig w:usb0="00000003" w:usb1="00000000" w:usb2="00000000" w:usb3="00000000" w:csb0="00000001" w:csb1="00000000"/>
  </w:font>
  <w:font w:name="Lucida Grande">
    <w:altName w:val="Calibri"/>
    <w:charset w:val="00"/>
    <w:family w:val="auto"/>
    <w:pitch w:val="variable"/>
    <w:sig w:usb0="E1000AEF" w:usb1="5000A1FF" w:usb2="00000000" w:usb3="00000000" w:csb0="000001BF" w:csb1="00000000"/>
  </w:font>
  <w:font w:name="Helvetica">
    <w:panose1 w:val="020B05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TimesNewRomanPSMT">
    <w:altName w:val="Times New Roman"/>
    <w:charset w:val="80"/>
    <w:family w:val="auto"/>
    <w:notTrueType/>
    <w:pitch w:val="default"/>
    <w:sig w:usb0="00000001" w:usb1="08070000" w:usb2="00000010" w:usb3="00000000" w:csb0="00020000" w:csb1="00000000"/>
  </w:font>
  <w:font w:name="Times">
    <w:altName w:val="Times New Roman"/>
    <w:charset w:val="00"/>
    <w:family w:val="auto"/>
    <w:pitch w:val="variable"/>
    <w:sig w:usb0="E00002FF" w:usb1="5000205A" w:usb2="00000000" w:usb3="00000000" w:csb0="0000019F" w:csb1="00000000"/>
  </w:font>
  <w:font w:name="Calibri,ＭＳ ゴシック">
    <w:altName w:val="HGPMinchoE"/>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altName w:val="Sylfaen"/>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52195" w:rsidRDefault="00752195" w14:paraId="271AE1F2"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52195" w:rsidRDefault="00752195" w14:paraId="41F9AE5E" wp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52195" w:rsidRDefault="00752195" w14:paraId="6930E822"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752195" w:rsidP="00752195" w:rsidRDefault="00752195" w14:paraId="20E36DAB" wp14:textId="77777777">
      <w:pPr>
        <w:spacing w:after="0" w:line="240" w:lineRule="auto"/>
      </w:pPr>
      <w:r>
        <w:separator/>
      </w:r>
    </w:p>
  </w:footnote>
  <w:footnote w:type="continuationSeparator" w:id="0">
    <w:p xmlns:wp14="http://schemas.microsoft.com/office/word/2010/wordml" w:rsidR="00752195" w:rsidP="00752195" w:rsidRDefault="00752195" w14:paraId="32D85219"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52195" w:rsidRDefault="00752195" w14:paraId="0CE19BC3"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52195" w:rsidRDefault="00752195" w14:paraId="5F980064" wp14:textId="77777777">
    <w:pPr>
      <w:pStyle w:val="Header"/>
    </w:pPr>
    <w:r>
      <w:t>f</w:t>
    </w:r>
    <w:bookmarkStart w:name="_GoBack" w:id="24"/>
    <w:bookmarkEnd w:id="2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52195" w:rsidRDefault="00752195" w14:paraId="00F03A6D"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6BD0EC9"/>
    <w:multiLevelType w:val="multilevel"/>
    <w:tmpl w:val="0EFAFF5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55F6B26"/>
    <w:multiLevelType w:val="hybridMultilevel"/>
    <w:tmpl w:val="0E60D408"/>
    <w:lvl w:ilvl="0" w:tplc="C7A213E2">
      <w:start w:val="70"/>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F5600CC"/>
    <w:multiLevelType w:val="hybridMultilevel"/>
    <w:tmpl w:val="BEF8A360"/>
    <w:lvl w:ilvl="0" w:tplc="488EE3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8182C1B"/>
    <w:multiLevelType w:val="hybridMultilevel"/>
    <w:tmpl w:val="53068138"/>
    <w:lvl w:ilvl="0" w:tplc="3EBAEF84">
      <w:start w:val="70"/>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9592576"/>
    <w:multiLevelType w:val="hybridMultilevel"/>
    <w:tmpl w:val="0A5CA6F2"/>
    <w:lvl w:ilvl="0" w:tplc="CEE26B70">
      <w:start w:val="70"/>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9"/>
  </w:num>
  <w:num w:numId="12">
    <w:abstractNumId w:val="0"/>
  </w:num>
  <w:num w:numId="13">
    <w:abstractNumId w:val="16"/>
  </w:num>
  <w:num w:numId="14">
    <w:abstractNumId w:val="15"/>
  </w:num>
  <w:num w:numId="15">
    <w:abstractNumId w:val="13"/>
  </w:num>
  <w:num w:numId="16">
    <w:abstractNumId w:val="17"/>
  </w:num>
  <w:num w:numId="17">
    <w:abstractNumId w:val="11"/>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18"/>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753CC"/>
    <w:rsid w:val="00001341"/>
    <w:rsid w:val="000139A3"/>
    <w:rsid w:val="00016462"/>
    <w:rsid w:val="00054398"/>
    <w:rsid w:val="00091390"/>
    <w:rsid w:val="000F2461"/>
    <w:rsid w:val="00100833"/>
    <w:rsid w:val="00104529"/>
    <w:rsid w:val="00105942"/>
    <w:rsid w:val="00107396"/>
    <w:rsid w:val="00134830"/>
    <w:rsid w:val="00142CE7"/>
    <w:rsid w:val="00144A4C"/>
    <w:rsid w:val="001753CC"/>
    <w:rsid w:val="00176AB0"/>
    <w:rsid w:val="00177B7D"/>
    <w:rsid w:val="0018322D"/>
    <w:rsid w:val="001860AB"/>
    <w:rsid w:val="001B35D6"/>
    <w:rsid w:val="001B5776"/>
    <w:rsid w:val="001D0003"/>
    <w:rsid w:val="001E527A"/>
    <w:rsid w:val="001E65FA"/>
    <w:rsid w:val="001F78CE"/>
    <w:rsid w:val="00243810"/>
    <w:rsid w:val="00251FC7"/>
    <w:rsid w:val="00275B2B"/>
    <w:rsid w:val="002855A7"/>
    <w:rsid w:val="002B146A"/>
    <w:rsid w:val="002B5E17"/>
    <w:rsid w:val="00315690"/>
    <w:rsid w:val="00316B75"/>
    <w:rsid w:val="00325646"/>
    <w:rsid w:val="003460F2"/>
    <w:rsid w:val="003530F3"/>
    <w:rsid w:val="0038158C"/>
    <w:rsid w:val="00381948"/>
    <w:rsid w:val="003902BA"/>
    <w:rsid w:val="003A09E2"/>
    <w:rsid w:val="003C3421"/>
    <w:rsid w:val="00404577"/>
    <w:rsid w:val="00407037"/>
    <w:rsid w:val="00422AE1"/>
    <w:rsid w:val="004605D6"/>
    <w:rsid w:val="004B551B"/>
    <w:rsid w:val="004C60E8"/>
    <w:rsid w:val="004E3579"/>
    <w:rsid w:val="004E728B"/>
    <w:rsid w:val="004F39E0"/>
    <w:rsid w:val="00507555"/>
    <w:rsid w:val="00537BD5"/>
    <w:rsid w:val="0057268A"/>
    <w:rsid w:val="00577678"/>
    <w:rsid w:val="005D2912"/>
    <w:rsid w:val="005E1BBD"/>
    <w:rsid w:val="005E50D3"/>
    <w:rsid w:val="006065BD"/>
    <w:rsid w:val="006410D6"/>
    <w:rsid w:val="00645FA9"/>
    <w:rsid w:val="00647866"/>
    <w:rsid w:val="00665003"/>
    <w:rsid w:val="00665594"/>
    <w:rsid w:val="006A2AD0"/>
    <w:rsid w:val="006C2375"/>
    <w:rsid w:val="006D003C"/>
    <w:rsid w:val="006D4ECC"/>
    <w:rsid w:val="00722258"/>
    <w:rsid w:val="007243E5"/>
    <w:rsid w:val="00750993"/>
    <w:rsid w:val="00752195"/>
    <w:rsid w:val="00753F86"/>
    <w:rsid w:val="007669A0"/>
    <w:rsid w:val="00766EA0"/>
    <w:rsid w:val="00783CB3"/>
    <w:rsid w:val="007A2226"/>
    <w:rsid w:val="007F5B66"/>
    <w:rsid w:val="00823A1C"/>
    <w:rsid w:val="008263E8"/>
    <w:rsid w:val="0082799E"/>
    <w:rsid w:val="00845B9D"/>
    <w:rsid w:val="00860984"/>
    <w:rsid w:val="00867EA9"/>
    <w:rsid w:val="00871292"/>
    <w:rsid w:val="00883B42"/>
    <w:rsid w:val="008B3ECB"/>
    <w:rsid w:val="008B4E85"/>
    <w:rsid w:val="008C1B2E"/>
    <w:rsid w:val="008D5C29"/>
    <w:rsid w:val="008E21BC"/>
    <w:rsid w:val="0091627E"/>
    <w:rsid w:val="0097032B"/>
    <w:rsid w:val="009D2EAD"/>
    <w:rsid w:val="009D54B2"/>
    <w:rsid w:val="009E1922"/>
    <w:rsid w:val="009F5F0C"/>
    <w:rsid w:val="009F7ED2"/>
    <w:rsid w:val="00A11D5E"/>
    <w:rsid w:val="00A33908"/>
    <w:rsid w:val="00A91D10"/>
    <w:rsid w:val="00A93661"/>
    <w:rsid w:val="00A95652"/>
    <w:rsid w:val="00A96285"/>
    <w:rsid w:val="00AC0AB8"/>
    <w:rsid w:val="00AE574E"/>
    <w:rsid w:val="00AF5F0A"/>
    <w:rsid w:val="00B13A32"/>
    <w:rsid w:val="00B33C6D"/>
    <w:rsid w:val="00B4508F"/>
    <w:rsid w:val="00B55AD5"/>
    <w:rsid w:val="00B8057C"/>
    <w:rsid w:val="00B91729"/>
    <w:rsid w:val="00BA78B0"/>
    <w:rsid w:val="00BD6238"/>
    <w:rsid w:val="00BE38F3"/>
    <w:rsid w:val="00BF593B"/>
    <w:rsid w:val="00BF773A"/>
    <w:rsid w:val="00BF7E81"/>
    <w:rsid w:val="00C124AB"/>
    <w:rsid w:val="00C13773"/>
    <w:rsid w:val="00C17CC8"/>
    <w:rsid w:val="00C21073"/>
    <w:rsid w:val="00C32374"/>
    <w:rsid w:val="00C519FF"/>
    <w:rsid w:val="00C6547F"/>
    <w:rsid w:val="00C83417"/>
    <w:rsid w:val="00C84970"/>
    <w:rsid w:val="00C9604F"/>
    <w:rsid w:val="00CA19AA"/>
    <w:rsid w:val="00CC5298"/>
    <w:rsid w:val="00CD3DCF"/>
    <w:rsid w:val="00CD4376"/>
    <w:rsid w:val="00CD736E"/>
    <w:rsid w:val="00CD798D"/>
    <w:rsid w:val="00CE0A6F"/>
    <w:rsid w:val="00CE161E"/>
    <w:rsid w:val="00CE3BE3"/>
    <w:rsid w:val="00CF59A8"/>
    <w:rsid w:val="00D325A9"/>
    <w:rsid w:val="00D36A8A"/>
    <w:rsid w:val="00D61409"/>
    <w:rsid w:val="00D6691E"/>
    <w:rsid w:val="00D71170"/>
    <w:rsid w:val="00DA1C92"/>
    <w:rsid w:val="00DA25D4"/>
    <w:rsid w:val="00DA28FA"/>
    <w:rsid w:val="00DA6538"/>
    <w:rsid w:val="00E04337"/>
    <w:rsid w:val="00E15E75"/>
    <w:rsid w:val="00E45F43"/>
    <w:rsid w:val="00E5262C"/>
    <w:rsid w:val="00E756EE"/>
    <w:rsid w:val="00EC7DC4"/>
    <w:rsid w:val="00ED30CF"/>
    <w:rsid w:val="00F176EF"/>
    <w:rsid w:val="00F310AE"/>
    <w:rsid w:val="00F338DA"/>
    <w:rsid w:val="00F45E10"/>
    <w:rsid w:val="00F6364A"/>
    <w:rsid w:val="00F9113A"/>
    <w:rsid w:val="00FC69E3"/>
    <w:rsid w:val="00FE2546"/>
    <w:rsid w:val="00FF011C"/>
    <w:rsid w:val="00FF53A6"/>
    <w:rsid w:val="0673B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327D"/>
  <w15:chartTrackingRefBased/>
  <w15:docId w15:val="{08427EF2-AAC7-4BD5-9174-4E629F7DB1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uiPriority="0" w:semiHidden="1" w:unhideWhenUsed="1" w:qFormat="1"/>
    <w:lsdException w:name="heading 6" w:uiPriority="0"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uiPriority="0"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aliases w:val="Normal/Card"/>
    <w:uiPriority w:val="4"/>
    <w:qFormat/>
    <w:rsid w:val="00750993"/>
    <w:rPr>
      <w:rFonts w:ascii="Arial" w:hAnsi="Arial" w:cs="Arial"/>
    </w:rPr>
  </w:style>
  <w:style w:type="paragraph" w:styleId="Heading1">
    <w:name w:val="heading 1"/>
    <w:aliases w:val="Pocket"/>
    <w:basedOn w:val="Normal"/>
    <w:next w:val="Normal"/>
    <w:link w:val="Heading1Char"/>
    <w:qFormat/>
    <w:rsid w:val="00750993"/>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509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7509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3"/>
    <w:unhideWhenUsed/>
    <w:qFormat/>
    <w:rsid w:val="007509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rsid w:val="00054398"/>
    <w:pPr>
      <w:keepNext/>
      <w:keepLines/>
      <w:spacing w:before="240" w:after="80"/>
      <w:outlineLvl w:val="4"/>
    </w:pPr>
    <w:rPr>
      <w:color w:val="666666"/>
    </w:rPr>
  </w:style>
  <w:style w:type="paragraph" w:styleId="Heading6">
    <w:name w:val="heading 6"/>
    <w:basedOn w:val="Normal"/>
    <w:next w:val="Normal"/>
    <w:link w:val="Heading6Char"/>
    <w:rsid w:val="00054398"/>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Pocket Char"/>
    <w:basedOn w:val="DefaultParagraphFont"/>
    <w:link w:val="Heading1"/>
    <w:rsid w:val="00750993"/>
    <w:rPr>
      <w:rFonts w:ascii="Arial" w:hAnsi="Arial" w:eastAsiaTheme="majorEastAsia" w:cstheme="majorBidi"/>
      <w:b/>
      <w:sz w:val="52"/>
      <w:szCs w:val="32"/>
    </w:rPr>
  </w:style>
  <w:style w:type="character" w:styleId="Heading2Char" w:customStyle="1">
    <w:name w:val="Heading 2 Char"/>
    <w:aliases w:val="Hat Char"/>
    <w:basedOn w:val="DefaultParagraphFont"/>
    <w:link w:val="Heading2"/>
    <w:uiPriority w:val="1"/>
    <w:rsid w:val="00750993"/>
    <w:rPr>
      <w:rFonts w:ascii="Arial" w:hAnsi="Arial" w:eastAsiaTheme="majorEastAsia" w:cstheme="majorBidi"/>
      <w:b/>
      <w:sz w:val="44"/>
      <w:szCs w:val="26"/>
      <w:u w:val="double"/>
    </w:rPr>
  </w:style>
  <w:style w:type="character" w:styleId="Heading3Char" w:customStyle="1">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750993"/>
    <w:rPr>
      <w:rFonts w:ascii="Arial" w:hAnsi="Arial" w:eastAsiaTheme="majorEastAsia" w:cstheme="majorBidi"/>
      <w:b/>
      <w:sz w:val="32"/>
      <w:szCs w:val="24"/>
      <w:u w:val="single"/>
    </w:rPr>
  </w:style>
  <w:style w:type="character" w:styleId="Heading4Char" w:customStyle="1">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3"/>
    <w:rsid w:val="00750993"/>
    <w:rPr>
      <w:rFonts w:ascii="Arial" w:hAnsi="Arial" w:eastAsiaTheme="majorEastAsia" w:cstheme="majorBidi"/>
      <w:b/>
      <w:iCs/>
      <w:sz w:val="26"/>
    </w:rPr>
  </w:style>
  <w:style w:type="character" w:styleId="Heading5Char" w:customStyle="1">
    <w:name w:val="Heading 5 Char"/>
    <w:basedOn w:val="DefaultParagraphFont"/>
    <w:link w:val="Heading5"/>
    <w:rsid w:val="00054398"/>
    <w:rPr>
      <w:rFonts w:ascii="Arial" w:hAnsi="Arial" w:cs="Arial"/>
      <w:color w:val="666666"/>
    </w:rPr>
  </w:style>
  <w:style w:type="character" w:styleId="Heading6Char" w:customStyle="1">
    <w:name w:val="Heading 6 Char"/>
    <w:basedOn w:val="DefaultParagraphFont"/>
    <w:link w:val="Heading6"/>
    <w:rsid w:val="00054398"/>
    <w:rPr>
      <w:rFonts w:ascii="Arial" w:hAnsi="Arial" w:cs="Arial"/>
      <w:i/>
      <w:color w:val="66666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s"/>
    <w:basedOn w:val="DefaultParagraphFont"/>
    <w:link w:val="textbold"/>
    <w:uiPriority w:val="7"/>
    <w:qFormat/>
    <w:rsid w:val="00750993"/>
    <w:rPr>
      <w:rFonts w:ascii="Arial" w:hAnsi="Arial" w:cs="Arial"/>
      <w:b/>
      <w:i w:val="0"/>
      <w:iCs/>
      <w:sz w:val="22"/>
      <w:u w:val="single"/>
      <w:bdr w:val="single" w:color="auto" w:sz="12" w:space="0"/>
    </w:rPr>
  </w:style>
  <w:style w:type="paragraph" w:styleId="textbold" w:customStyle="1">
    <w:name w:val="text bold"/>
    <w:basedOn w:val="Normal"/>
    <w:link w:val="Emphasis"/>
    <w:uiPriority w:val="7"/>
    <w:qFormat/>
    <w:rsid w:val="001860AB"/>
    <w:pPr>
      <w:widowControl w:val="0"/>
      <w:spacing w:after="0" w:line="240" w:lineRule="auto"/>
      <w:ind w:left="720"/>
      <w:jc w:val="both"/>
    </w:pPr>
    <w:rPr>
      <w:b/>
      <w:iCs/>
      <w:u w:val="single"/>
      <w:bdr w:val="single" w:color="auto" w:sz="12" w:space="0"/>
    </w:rPr>
  </w:style>
  <w:style w:type="character" w:styleId="Style13ptBold" w:customStyle="1">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5"/>
    <w:qFormat/>
    <w:rsid w:val="00750993"/>
    <w:rPr>
      <w:b/>
      <w:bCs/>
      <w:sz w:val="26"/>
      <w:u w:val="single"/>
    </w:rPr>
  </w:style>
  <w:style w:type="character" w:styleId="StyleUnderline" w:customStyle="1">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6"/>
    <w:qFormat/>
    <w:rsid w:val="00750993"/>
    <w:rPr>
      <w:b/>
      <w:sz w:val="22"/>
      <w:u w:val="single"/>
    </w:rPr>
  </w:style>
  <w:style w:type="character" w:styleId="Hyperlink">
    <w:name w:val="Hyperlink"/>
    <w:aliases w:val="heading 1 (block title),Important,Read,Card Text,Internet Link,Analytic Text,Internet link,Char Char1,Heading 1 Char2,F2 - Heading 1 Char1,AHeading 1 Char1,Brief - Heading 1 Char1,Block Name Char1,Block Header Char1,ALEX Char1,Block Char1"/>
    <w:basedOn w:val="DefaultParagraphFont"/>
    <w:uiPriority w:val="99"/>
    <w:unhideWhenUsed/>
    <w:rsid w:val="00750993"/>
    <w:rPr>
      <w:color w:val="auto"/>
      <w:u w:val="none"/>
    </w:rPr>
  </w:style>
  <w:style w:type="character" w:styleId="FollowedHyperlink">
    <w:name w:val="FollowedHyperlink"/>
    <w:basedOn w:val="DefaultParagraphFont"/>
    <w:uiPriority w:val="99"/>
    <w:semiHidden/>
    <w:unhideWhenUsed/>
    <w:rsid w:val="00750993"/>
    <w:rPr>
      <w:color w:val="auto"/>
      <w:u w:val="none"/>
    </w:rPr>
  </w:style>
  <w:style w:type="character" w:styleId="A2" w:customStyle="1">
    <w:name w:val="A2"/>
    <w:uiPriority w:val="99"/>
    <w:rsid w:val="0082799E"/>
    <w:rPr>
      <w:rFonts w:ascii="Helvetica 55 Roman" w:hAnsi="Helvetica 55 Roman" w:cs="Helvetica 55 Roman"/>
      <w:b/>
      <w:bCs/>
      <w:color w:val="000000"/>
      <w:sz w:val="48"/>
      <w:szCs w:val="48"/>
    </w:rPr>
  </w:style>
  <w:style w:type="paragraph" w:styleId="Pa1" w:customStyle="1">
    <w:name w:val="Pa1"/>
    <w:basedOn w:val="Normal"/>
    <w:next w:val="Normal"/>
    <w:uiPriority w:val="99"/>
    <w:rsid w:val="0082799E"/>
    <w:pPr>
      <w:autoSpaceDE w:val="0"/>
      <w:autoSpaceDN w:val="0"/>
      <w:adjustRightInd w:val="0"/>
      <w:spacing w:after="0" w:line="241" w:lineRule="atLeast"/>
    </w:pPr>
    <w:rPr>
      <w:rFonts w:ascii="Helvetica Neue" w:hAnsi="Helvetica Neue" w:cstheme="minorBidi"/>
      <w:sz w:val="24"/>
      <w:szCs w:val="24"/>
    </w:rPr>
  </w:style>
  <w:style w:type="character" w:styleId="A3" w:customStyle="1">
    <w:name w:val="A3"/>
    <w:uiPriority w:val="99"/>
    <w:rsid w:val="0082799E"/>
    <w:rPr>
      <w:rFonts w:cs="Helvetica Neue"/>
      <w:b/>
      <w:bCs/>
      <w:color w:val="000000"/>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82799E"/>
    <w:pPr>
      <w:spacing w:before="100" w:beforeAutospacing="1" w:after="100" w:afterAutospacing="1" w:line="240" w:lineRule="auto"/>
    </w:pPr>
    <w:rPr>
      <w:rFonts w:ascii="Times New Roman" w:hAnsi="Times New Roman" w:eastAsia="Times New Roman" w:cs="Times New Roman"/>
      <w:sz w:val="24"/>
      <w:szCs w:val="24"/>
    </w:rPr>
  </w:style>
  <w:style w:type="character" w:styleId="NormalWebChar" w:customStyle="1">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8263E8"/>
    <w:rPr>
      <w:rFonts w:ascii="Times New Roman" w:hAnsi="Times New Roman" w:eastAsia="Times New Roman" w:cs="Times New Roman"/>
      <w:sz w:val="24"/>
      <w:szCs w:val="24"/>
    </w:rPr>
  </w:style>
  <w:style w:type="character" w:styleId="marquage" w:customStyle="1">
    <w:name w:val="marquage"/>
    <w:basedOn w:val="DefaultParagraphFont"/>
    <w:rsid w:val="0082799E"/>
  </w:style>
  <w:style w:type="character" w:styleId="apple-tab-span" w:customStyle="1">
    <w:name w:val="apple-tab-span"/>
    <w:basedOn w:val="DefaultParagraphFont"/>
    <w:rsid w:val="0082799E"/>
  </w:style>
  <w:style w:type="character" w:styleId="yzlgbd" w:customStyle="1">
    <w:name w:val="yzlgbd"/>
    <w:basedOn w:val="DefaultParagraphFont"/>
    <w:rsid w:val="001860AB"/>
  </w:style>
  <w:style w:type="paragraph" w:styleId="Default" w:customStyle="1">
    <w:name w:val="Default"/>
    <w:rsid w:val="001860AB"/>
    <w:pPr>
      <w:autoSpaceDE w:val="0"/>
      <w:autoSpaceDN w:val="0"/>
      <w:adjustRightInd w:val="0"/>
      <w:spacing w:after="0" w:line="240" w:lineRule="auto"/>
    </w:pPr>
    <w:rPr>
      <w:rFonts w:ascii="Times New Roman" w:hAnsi="Times New Roman" w:cs="Times New Roman"/>
      <w:color w:val="000000"/>
      <w:sz w:val="24"/>
      <w:szCs w:val="24"/>
    </w:rPr>
  </w:style>
  <w:style w:type="paragraph" w:styleId="textbox" w:customStyle="1">
    <w:name w:val="textbox"/>
    <w:basedOn w:val="Normal"/>
    <w:rsid w:val="001860AB"/>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99"/>
    <w:unhideWhenUsed/>
    <w:qFormat/>
    <w:rsid w:val="001860AB"/>
    <w:pPr>
      <w:ind w:left="720"/>
      <w:contextualSpacing/>
    </w:pPr>
  </w:style>
  <w:style w:type="character" w:styleId="DocumentMapChar" w:customStyle="1">
    <w:name w:val="Document Map Char"/>
    <w:basedOn w:val="DefaultParagraphFont"/>
    <w:link w:val="DocumentMap"/>
    <w:uiPriority w:val="99"/>
    <w:semiHidden/>
    <w:rsid w:val="008263E8"/>
    <w:rPr>
      <w:rFonts w:ascii="Lucida Grande" w:hAnsi="Lucida Grande" w:cs="Lucida Grande"/>
      <w:sz w:val="24"/>
    </w:rPr>
  </w:style>
  <w:style w:type="paragraph" w:styleId="DocumentMap">
    <w:name w:val="Document Map"/>
    <w:basedOn w:val="Normal"/>
    <w:link w:val="DocumentMapChar"/>
    <w:uiPriority w:val="99"/>
    <w:semiHidden/>
    <w:unhideWhenUsed/>
    <w:rsid w:val="008263E8"/>
    <w:pPr>
      <w:spacing w:after="0" w:line="240" w:lineRule="auto"/>
    </w:pPr>
    <w:rPr>
      <w:rFonts w:ascii="Lucida Grande" w:hAnsi="Lucida Grande" w:cs="Lucida Grande"/>
      <w:sz w:val="24"/>
    </w:rPr>
  </w:style>
  <w:style w:type="paragraph" w:styleId="Analytic" w:customStyle="1">
    <w:name w:val="Analytic"/>
    <w:basedOn w:val="Heading4"/>
    <w:link w:val="AnalyticChar"/>
    <w:autoRedefine/>
    <w:uiPriority w:val="4"/>
    <w:qFormat/>
    <w:rsid w:val="008263E8"/>
    <w:rPr>
      <w:rFonts w:ascii="Times New Roman" w:hAnsi="Times New Roman"/>
      <w:sz w:val="28"/>
    </w:rPr>
  </w:style>
  <w:style w:type="character" w:styleId="AnalyticChar" w:customStyle="1">
    <w:name w:val="Analytic Char"/>
    <w:basedOn w:val="DefaultParagraphFont"/>
    <w:link w:val="Analytic"/>
    <w:uiPriority w:val="4"/>
    <w:rsid w:val="008263E8"/>
    <w:rPr>
      <w:rFonts w:ascii="Times New Roman" w:hAnsi="Times New Roman" w:eastAsiaTheme="majorEastAsia" w:cstheme="majorBidi"/>
      <w:b/>
      <w:iCs/>
      <w:sz w:val="28"/>
    </w:rPr>
  </w:style>
  <w:style w:type="paragraph" w:styleId="AnalyticN" w:customStyle="1">
    <w:name w:val="Analytic (N)"/>
    <w:basedOn w:val="Heading4"/>
    <w:link w:val="AnalyticNChar"/>
    <w:autoRedefine/>
    <w:uiPriority w:val="4"/>
    <w:qFormat/>
    <w:rsid w:val="008263E8"/>
    <w:rPr>
      <w:rFonts w:ascii="Times New Roman" w:hAnsi="Times New Roman"/>
      <w:sz w:val="28"/>
    </w:rPr>
  </w:style>
  <w:style w:type="character" w:styleId="AnalyticNChar" w:customStyle="1">
    <w:name w:val="Analytic (N) Char"/>
    <w:basedOn w:val="DefaultParagraphFont"/>
    <w:link w:val="AnalyticN"/>
    <w:uiPriority w:val="4"/>
    <w:rsid w:val="008263E8"/>
    <w:rPr>
      <w:rFonts w:ascii="Times New Roman" w:hAnsi="Times New Roman" w:eastAsiaTheme="majorEastAsia" w:cstheme="majorBidi"/>
      <w:b/>
      <w:iCs/>
      <w:sz w:val="28"/>
    </w:rPr>
  </w:style>
  <w:style w:type="paragraph" w:styleId="p2" w:customStyle="1">
    <w:name w:val="p2"/>
    <w:basedOn w:val="Normal"/>
    <w:rsid w:val="008263E8"/>
    <w:pPr>
      <w:spacing w:after="0" w:line="240" w:lineRule="auto"/>
    </w:pPr>
    <w:rPr>
      <w:rFonts w:ascii="Helvetica" w:hAnsi="Helvetica" w:cs="Times New Roman"/>
      <w:sz w:val="23"/>
      <w:szCs w:val="23"/>
    </w:rPr>
  </w:style>
  <w:style w:type="paragraph" w:styleId="p3" w:customStyle="1">
    <w:name w:val="p3"/>
    <w:basedOn w:val="Normal"/>
    <w:rsid w:val="008263E8"/>
    <w:pPr>
      <w:spacing w:after="0" w:line="240" w:lineRule="auto"/>
    </w:pPr>
    <w:rPr>
      <w:rFonts w:ascii="Helvetica" w:hAnsi="Helvetica" w:cs="Times New Roman"/>
      <w:sz w:val="17"/>
      <w:szCs w:val="17"/>
    </w:rPr>
  </w:style>
  <w:style w:type="character" w:styleId="s2" w:customStyle="1">
    <w:name w:val="s2"/>
    <w:basedOn w:val="DefaultParagraphFont"/>
    <w:rsid w:val="008263E8"/>
    <w:rPr>
      <w:rFonts w:hint="default" w:ascii="Helvetica" w:hAnsi="Helvetica"/>
      <w:sz w:val="26"/>
      <w:szCs w:val="26"/>
    </w:rPr>
  </w:style>
  <w:style w:type="character" w:styleId="s3" w:customStyle="1">
    <w:name w:val="s3"/>
    <w:basedOn w:val="DefaultParagraphFont"/>
    <w:rsid w:val="008263E8"/>
    <w:rPr>
      <w:rFonts w:hint="default" w:ascii="Helvetica" w:hAnsi="Helvetica"/>
      <w:sz w:val="23"/>
      <w:szCs w:val="23"/>
      <w:u w:val="single"/>
      <w:shd w:val="clear" w:color="auto" w:fill="07F900"/>
    </w:rPr>
  </w:style>
  <w:style w:type="character" w:styleId="s4" w:customStyle="1">
    <w:name w:val="s4"/>
    <w:basedOn w:val="DefaultParagraphFont"/>
    <w:rsid w:val="008263E8"/>
    <w:rPr>
      <w:rFonts w:hint="default" w:ascii="Helvetica" w:hAnsi="Helvetica"/>
      <w:sz w:val="23"/>
      <w:szCs w:val="23"/>
      <w:u w:val="single"/>
    </w:rPr>
  </w:style>
  <w:style w:type="character" w:styleId="s5" w:customStyle="1">
    <w:name w:val="s5"/>
    <w:basedOn w:val="DefaultParagraphFont"/>
    <w:rsid w:val="008263E8"/>
    <w:rPr>
      <w:u w:val="single"/>
    </w:rPr>
  </w:style>
  <w:style w:type="character" w:styleId="s6" w:customStyle="1">
    <w:name w:val="s6"/>
    <w:basedOn w:val="DefaultParagraphFont"/>
    <w:rsid w:val="008263E8"/>
    <w:rPr>
      <w:rFonts w:hint="default" w:ascii="Helvetica" w:hAnsi="Helvetica"/>
      <w:sz w:val="11"/>
      <w:szCs w:val="11"/>
    </w:rPr>
  </w:style>
  <w:style w:type="character" w:styleId="s7" w:customStyle="1">
    <w:name w:val="s7"/>
    <w:basedOn w:val="DefaultParagraphFont"/>
    <w:rsid w:val="008263E8"/>
    <w:rPr>
      <w:shd w:val="clear" w:color="auto" w:fill="07F900"/>
    </w:rPr>
  </w:style>
  <w:style w:type="character" w:styleId="s8" w:customStyle="1">
    <w:name w:val="s8"/>
    <w:basedOn w:val="DefaultParagraphFont"/>
    <w:rsid w:val="008263E8"/>
    <w:rPr>
      <w:rFonts w:hint="default" w:ascii="Helvetica" w:hAnsi="Helvetica"/>
      <w:sz w:val="23"/>
      <w:szCs w:val="23"/>
    </w:rPr>
  </w:style>
  <w:style w:type="character" w:styleId="s1" w:customStyle="1">
    <w:name w:val="s1"/>
    <w:basedOn w:val="DefaultParagraphFont"/>
    <w:rsid w:val="008263E8"/>
  </w:style>
  <w:style w:type="paragraph" w:styleId="NoSpacing">
    <w:name w:val="No Spacing"/>
    <w:uiPriority w:val="1"/>
    <w:rsid w:val="008263E8"/>
    <w:pPr>
      <w:spacing w:after="0" w:line="240" w:lineRule="auto"/>
    </w:pPr>
    <w:rPr>
      <w:rFonts w:eastAsiaTheme="minorEastAsia"/>
      <w:sz w:val="24"/>
      <w:szCs w:val="24"/>
    </w:rPr>
  </w:style>
  <w:style w:type="paragraph" w:styleId="Header">
    <w:name w:val="header"/>
    <w:basedOn w:val="Normal"/>
    <w:link w:val="HeaderChar"/>
    <w:uiPriority w:val="99"/>
    <w:unhideWhenUsed/>
    <w:rsid w:val="008263E8"/>
    <w:pPr>
      <w:tabs>
        <w:tab w:val="center" w:pos="4320"/>
        <w:tab w:val="right" w:pos="8640"/>
      </w:tabs>
    </w:pPr>
  </w:style>
  <w:style w:type="character" w:styleId="HeaderChar" w:customStyle="1">
    <w:name w:val="Header Char"/>
    <w:basedOn w:val="DefaultParagraphFont"/>
    <w:link w:val="Header"/>
    <w:uiPriority w:val="99"/>
    <w:rsid w:val="008263E8"/>
    <w:rPr>
      <w:rFonts w:ascii="Arial" w:hAnsi="Arial" w:cs="Arial"/>
    </w:rPr>
  </w:style>
  <w:style w:type="paragraph" w:styleId="Footer">
    <w:name w:val="footer"/>
    <w:basedOn w:val="Normal"/>
    <w:link w:val="FooterChar"/>
    <w:uiPriority w:val="99"/>
    <w:unhideWhenUsed/>
    <w:rsid w:val="008263E8"/>
    <w:pPr>
      <w:tabs>
        <w:tab w:val="center" w:pos="4320"/>
        <w:tab w:val="right" w:pos="8640"/>
      </w:tabs>
    </w:pPr>
  </w:style>
  <w:style w:type="character" w:styleId="FooterChar" w:customStyle="1">
    <w:name w:val="Footer Char"/>
    <w:basedOn w:val="DefaultParagraphFont"/>
    <w:link w:val="Footer"/>
    <w:uiPriority w:val="99"/>
    <w:rsid w:val="008263E8"/>
    <w:rPr>
      <w:rFonts w:ascii="Arial" w:hAnsi="Arial" w:cs="Arial"/>
    </w:rPr>
  </w:style>
  <w:style w:type="paragraph" w:styleId="Analytics" w:customStyle="1">
    <w:name w:val="Analytics"/>
    <w:basedOn w:val="Normal"/>
    <w:uiPriority w:val="4"/>
    <w:qFormat/>
    <w:rsid w:val="008263E8"/>
    <w:rPr>
      <w:b/>
    </w:rPr>
  </w:style>
  <w:style w:type="character" w:styleId="IntenseEmphasis">
    <w:name w:val="Intense Emphasis"/>
    <w:aliases w:val="Title Char,Bold Underlined Char,UNDERLINE Char,Cites and Cards Char,title Char"/>
    <w:basedOn w:val="DefaultParagraphFont"/>
    <w:link w:val="Title"/>
    <w:qFormat/>
    <w:rsid w:val="008263E8"/>
    <w:rPr>
      <w:u w:val="single"/>
    </w:rPr>
  </w:style>
  <w:style w:type="paragraph" w:styleId="Title">
    <w:name w:val="Title"/>
    <w:aliases w:val="Bold Underlined,UNDERLINE,Cites and Cards,title"/>
    <w:basedOn w:val="Normal"/>
    <w:next w:val="Normal"/>
    <w:link w:val="IntenseEmphasis"/>
    <w:qFormat/>
    <w:rsid w:val="008263E8"/>
    <w:pPr>
      <w:ind w:left="720"/>
      <w:outlineLvl w:val="0"/>
    </w:pPr>
    <w:rPr>
      <w:rFonts w:asciiTheme="minorHAnsi" w:hAnsiTheme="minorHAnsi" w:cstheme="minorBidi"/>
      <w:u w:val="single"/>
    </w:rPr>
  </w:style>
  <w:style w:type="character" w:styleId="UnderlineBold" w:customStyle="1">
    <w:name w:val="Underline + Bold"/>
    <w:uiPriority w:val="1"/>
    <w:qFormat/>
    <w:rsid w:val="008263E8"/>
    <w:rPr>
      <w:b/>
      <w:sz w:val="20"/>
      <w:u w:val="single"/>
    </w:rPr>
  </w:style>
  <w:style w:type="character" w:styleId="TitleChar1" w:customStyle="1">
    <w:name w:val="Title Char1"/>
    <w:basedOn w:val="DefaultParagraphFont"/>
    <w:uiPriority w:val="6"/>
    <w:rsid w:val="008263E8"/>
    <w:rPr>
      <w:rFonts w:asciiTheme="majorHAnsi" w:hAnsiTheme="majorHAnsi" w:eastAsiaTheme="majorEastAsia" w:cstheme="majorBidi"/>
      <w:spacing w:val="-10"/>
      <w:kern w:val="28"/>
      <w:sz w:val="56"/>
      <w:szCs w:val="56"/>
    </w:rPr>
  </w:style>
  <w:style w:type="character" w:styleId="cardtextChar" w:customStyle="1">
    <w:name w:val="card text Char"/>
    <w:link w:val="cardtext"/>
    <w:locked/>
    <w:rsid w:val="008263E8"/>
    <w:rPr>
      <w:rFonts w:ascii="Arial" w:hAnsi="Arial" w:eastAsia="Cambria" w:cs="Arial"/>
    </w:rPr>
  </w:style>
  <w:style w:type="paragraph" w:styleId="cardtext" w:customStyle="1">
    <w:name w:val="card text"/>
    <w:basedOn w:val="Normal"/>
    <w:link w:val="cardtextChar"/>
    <w:qFormat/>
    <w:rsid w:val="008263E8"/>
    <w:pPr>
      <w:spacing w:after="0" w:line="240" w:lineRule="auto"/>
      <w:ind w:left="288" w:right="288"/>
    </w:pPr>
    <w:rPr>
      <w:rFonts w:eastAsia="Cambria"/>
    </w:rPr>
  </w:style>
  <w:style w:type="character" w:styleId="BodyText1" w:customStyle="1">
    <w:name w:val="Body Text1"/>
    <w:rsid w:val="008263E8"/>
    <w:rPr>
      <w:rFonts w:hint="default" w:ascii="Times New Roman" w:hAnsi="Times New Roman" w:eastAsia="Times New Roman" w:cs="Times New Roman"/>
      <w:b w:val="0"/>
      <w:bCs w:val="0"/>
      <w:i w:val="0"/>
      <w:iCs w:val="0"/>
      <w:smallCaps w:val="0"/>
      <w:strike w:val="0"/>
      <w:dstrike w:val="0"/>
      <w:color w:val="000000"/>
      <w:spacing w:val="0"/>
      <w:w w:val="100"/>
      <w:position w:val="0"/>
      <w:sz w:val="18"/>
      <w:szCs w:val="18"/>
      <w:u w:val="none"/>
      <w:effect w:val="none"/>
      <w:lang w:val="en-US"/>
    </w:rPr>
  </w:style>
  <w:style w:type="character" w:styleId="BodytextItalic" w:customStyle="1">
    <w:name w:val="Body text + Italic"/>
    <w:rsid w:val="008263E8"/>
    <w:rPr>
      <w:rFonts w:hint="default" w:ascii="Times New Roman" w:hAnsi="Times New Roman" w:eastAsia="Times New Roman" w:cs="Times New Roman"/>
      <w:b w:val="0"/>
      <w:bCs w:val="0"/>
      <w:i/>
      <w:iCs/>
      <w:smallCaps w:val="0"/>
      <w:strike w:val="0"/>
      <w:dstrike w:val="0"/>
      <w:color w:val="000000"/>
      <w:spacing w:val="0"/>
      <w:w w:val="100"/>
      <w:position w:val="0"/>
      <w:sz w:val="18"/>
      <w:szCs w:val="18"/>
      <w:u w:val="none"/>
      <w:effect w:val="none"/>
      <w:lang w:val="en-US"/>
    </w:rPr>
  </w:style>
  <w:style w:type="character" w:styleId="Bodytext75pt" w:customStyle="1">
    <w:name w:val="Body text + 7.5 pt"/>
    <w:basedOn w:val="DefaultParagraphFont"/>
    <w:rsid w:val="008263E8"/>
    <w:rPr>
      <w:rFonts w:ascii="Times New Roman" w:hAnsi="Times New Roman" w:cs="Times New Roman"/>
      <w:b/>
      <w:bCs/>
      <w:color w:val="000000"/>
      <w:spacing w:val="0"/>
      <w:w w:val="100"/>
      <w:sz w:val="15"/>
      <w:szCs w:val="15"/>
      <w:u w:val="none"/>
      <w:lang w:val="en-US"/>
    </w:rPr>
  </w:style>
  <w:style w:type="character" w:styleId="underline" w:customStyle="1">
    <w:name w:val="underline"/>
    <w:qFormat/>
    <w:rsid w:val="008263E8"/>
    <w:rPr>
      <w:b/>
      <w:u w:val="single"/>
    </w:rPr>
  </w:style>
  <w:style w:type="paragraph" w:styleId="card" w:customStyle="1">
    <w:name w:val="card"/>
    <w:basedOn w:val="Normal"/>
    <w:next w:val="Normal"/>
    <w:link w:val="cardChar"/>
    <w:qFormat/>
    <w:rsid w:val="008263E8"/>
    <w:pPr>
      <w:ind w:left="288" w:right="288"/>
    </w:pPr>
    <w:rPr>
      <w:rFonts w:eastAsia="Times New Roman"/>
    </w:rPr>
  </w:style>
  <w:style w:type="character" w:styleId="cardChar" w:customStyle="1">
    <w:name w:val="card Char"/>
    <w:link w:val="card"/>
    <w:rsid w:val="008263E8"/>
    <w:rPr>
      <w:rFonts w:ascii="Arial" w:hAnsi="Arial" w:eastAsia="Times New Roman" w:cs="Arial"/>
    </w:rPr>
  </w:style>
  <w:style w:type="character" w:styleId="cite" w:customStyle="1">
    <w:name w:val="cite"/>
    <w:aliases w:val="Char Char Char1,Heading 3 Char Char Char1,Char Char2,Underlined Text Char,Block Writing Char,Index Headers Char,Citation Char Char Char1,cites Char Char,Citation Char1,Heading 3 Char1 Char"/>
    <w:qFormat/>
    <w:rsid w:val="008263E8"/>
    <w:rPr>
      <w:rFonts w:ascii="Times New Roman" w:hAnsi="Times New Roman"/>
      <w:b/>
      <w:sz w:val="24"/>
    </w:rPr>
  </w:style>
  <w:style w:type="paragraph" w:styleId="CardUpSize-Light" w:customStyle="1">
    <w:name w:val="CardUpSize - Light"/>
    <w:basedOn w:val="Normal"/>
    <w:link w:val="CardUpSize-LightChar"/>
    <w:rsid w:val="008263E8"/>
    <w:pPr>
      <w:spacing w:after="0" w:line="240" w:lineRule="auto"/>
    </w:pPr>
    <w:rPr>
      <w:rFonts w:eastAsia="Times New Roman" w:cs="Times New Roman"/>
      <w:szCs w:val="32"/>
      <w:u w:val="single"/>
    </w:rPr>
  </w:style>
  <w:style w:type="character" w:styleId="CardUpSize-LightChar" w:customStyle="1">
    <w:name w:val="CardUpSize - Light Char"/>
    <w:link w:val="CardUpSize-Light"/>
    <w:locked/>
    <w:rsid w:val="008263E8"/>
    <w:rPr>
      <w:rFonts w:ascii="Arial" w:hAnsi="Arial" w:eastAsia="Times New Roman" w:cs="Times New Roman"/>
      <w:szCs w:val="32"/>
      <w:u w:val="single"/>
    </w:rPr>
  </w:style>
  <w:style w:type="paragraph" w:styleId="CiteCardUpSize-Heavy" w:customStyle="1">
    <w:name w:val="Cite // CardUpSize - Heavy"/>
    <w:basedOn w:val="Normal"/>
    <w:link w:val="CiteCardUpSize-HeavyChar"/>
    <w:rsid w:val="008263E8"/>
    <w:pPr>
      <w:spacing w:after="0" w:line="240" w:lineRule="auto"/>
      <w:jc w:val="both"/>
    </w:pPr>
    <w:rPr>
      <w:rFonts w:ascii="Times New Roman" w:hAnsi="Times New Roman" w:eastAsia="Times New Roman" w:cs="Times New Roman"/>
      <w:b/>
      <w:szCs w:val="24"/>
      <w:u w:val="single"/>
    </w:rPr>
  </w:style>
  <w:style w:type="character" w:styleId="CiteCardUpSize-HeavyChar" w:customStyle="1">
    <w:name w:val="Cite // CardUpSize - Heavy Char"/>
    <w:link w:val="CiteCardUpSize-Heavy"/>
    <w:rsid w:val="008263E8"/>
    <w:rPr>
      <w:rFonts w:ascii="Times New Roman" w:hAnsi="Times New Roman" w:eastAsia="Times New Roman" w:cs="Times New Roman"/>
      <w:b/>
      <w:szCs w:val="24"/>
      <w:u w:val="single"/>
    </w:rPr>
  </w:style>
  <w:style w:type="character" w:styleId="StyleUnderlineBorderSinglesolidlineAuto05ptLinew" w:customStyle="1">
    <w:name w:val="Style Underline Border: : (Single solid line Auto  0.5 pt Line w..."/>
    <w:rsid w:val="008263E8"/>
    <w:rPr>
      <w:rFonts w:ascii="Times New Roman" w:hAnsi="Times New Roman"/>
      <w:b/>
      <w:sz w:val="22"/>
      <w:u w:val="single"/>
      <w:bdr w:val="single" w:color="auto" w:sz="4" w:space="0"/>
    </w:rPr>
  </w:style>
  <w:style w:type="paragraph" w:styleId="CardDownx15" w:customStyle="1">
    <w:name w:val="CardDown x1.5"/>
    <w:basedOn w:val="Header"/>
    <w:link w:val="CardDownx15Char"/>
    <w:rsid w:val="008263E8"/>
    <w:pPr>
      <w:jc w:val="both"/>
    </w:pPr>
    <w:rPr>
      <w:rFonts w:ascii="Times New Roman" w:hAnsi="Times New Roman" w:eastAsia="Times New Roman" w:cs="Times New Roman"/>
      <w:sz w:val="14"/>
    </w:rPr>
  </w:style>
  <w:style w:type="character" w:styleId="CardDownx15Char" w:customStyle="1">
    <w:name w:val="CardDown x1.5 Char"/>
    <w:link w:val="CardDownx15"/>
    <w:rsid w:val="008263E8"/>
    <w:rPr>
      <w:rFonts w:ascii="Times New Roman" w:hAnsi="Times New Roman" w:eastAsia="Times New Roman" w:cs="Times New Roman"/>
      <w:sz w:val="14"/>
    </w:rPr>
  </w:style>
  <w:style w:type="paragraph" w:styleId="ReallySmall" w:customStyle="1">
    <w:name w:val="Really Small"/>
    <w:basedOn w:val="Normal"/>
    <w:link w:val="ReallySmallChar"/>
    <w:rsid w:val="008263E8"/>
    <w:pPr>
      <w:spacing w:after="0" w:line="240" w:lineRule="auto"/>
    </w:pPr>
    <w:rPr>
      <w:rFonts w:ascii="Times New Roman" w:hAnsi="Times New Roman" w:eastAsia="Times New Roman" w:cs="Arial Unicode MS"/>
      <w:sz w:val="16"/>
      <w:szCs w:val="24"/>
      <w:lang w:bidi="si-LK"/>
    </w:rPr>
  </w:style>
  <w:style w:type="character" w:styleId="ReallySmallChar" w:customStyle="1">
    <w:name w:val="Really Small Char"/>
    <w:link w:val="ReallySmall"/>
    <w:rsid w:val="008263E8"/>
    <w:rPr>
      <w:rFonts w:ascii="Times New Roman" w:hAnsi="Times New Roman" w:eastAsia="Times New Roman" w:cs="Arial Unicode MS"/>
      <w:sz w:val="16"/>
      <w:szCs w:val="24"/>
      <w:lang w:bidi="si-LK"/>
    </w:rPr>
  </w:style>
  <w:style w:type="character" w:styleId="TagGreg" w:customStyle="1">
    <w:name w:val="TagGreg"/>
    <w:basedOn w:val="DefaultParagraphFont"/>
    <w:uiPriority w:val="1"/>
    <w:qFormat/>
    <w:rsid w:val="008263E8"/>
    <w:rPr>
      <w:rFonts w:ascii="Arial" w:hAnsi="Arial"/>
      <w:b/>
      <w:sz w:val="24"/>
    </w:rPr>
  </w:style>
  <w:style w:type="character" w:styleId="apple-converted-space" w:customStyle="1">
    <w:name w:val="apple-converted-space"/>
    <w:basedOn w:val="DefaultParagraphFont"/>
    <w:rsid w:val="008263E8"/>
  </w:style>
  <w:style w:type="character" w:styleId="box" w:customStyle="1">
    <w:name w:val="box"/>
    <w:rsid w:val="008263E8"/>
    <w:rPr>
      <w:rFonts w:ascii="Arial" w:hAnsi="Arial" w:cs="Arial"/>
      <w:b/>
      <w:color w:val="000000"/>
      <w:sz w:val="19"/>
      <w:szCs w:val="22"/>
      <w:u w:val="thick"/>
      <w:bdr w:val="single" w:color="auto" w:sz="12" w:space="0"/>
    </w:rPr>
  </w:style>
  <w:style w:type="paragraph" w:styleId="UnderlinePara" w:customStyle="1">
    <w:name w:val="Underline Para"/>
    <w:basedOn w:val="Normal"/>
    <w:uiPriority w:val="6"/>
    <w:qFormat/>
    <w:rsid w:val="008263E8"/>
    <w:pPr>
      <w:widowControl w:val="0"/>
      <w:suppressAutoHyphens/>
      <w:spacing w:after="200"/>
      <w:contextualSpacing/>
    </w:pPr>
    <w:rPr>
      <w:rFonts w:asciiTheme="minorHAnsi" w:hAnsiTheme="minorHAnsi" w:eastAsiaTheme="minorEastAsia"/>
      <w:szCs w:val="24"/>
      <w:u w:val="single"/>
    </w:rPr>
  </w:style>
  <w:style w:type="paragraph" w:styleId="TxBr13p2" w:customStyle="1">
    <w:name w:val="TxBr_13p2"/>
    <w:basedOn w:val="Normal"/>
    <w:rsid w:val="008263E8"/>
    <w:pPr>
      <w:tabs>
        <w:tab w:val="left" w:pos="204"/>
      </w:tabs>
      <w:autoSpaceDE w:val="0"/>
      <w:autoSpaceDN w:val="0"/>
      <w:adjustRightInd w:val="0"/>
      <w:spacing w:line="260" w:lineRule="atLeast"/>
      <w:jc w:val="both"/>
    </w:pPr>
    <w:rPr>
      <w:rFonts w:ascii="Times New Roman" w:hAnsi="Times New Roman" w:eastAsia="Times New Roman" w:cs="Times New Roman"/>
      <w:sz w:val="24"/>
      <w:szCs w:val="24"/>
    </w:rPr>
  </w:style>
  <w:style w:type="paragraph" w:styleId="Emphasis1" w:customStyle="1">
    <w:name w:val="Emphasis1"/>
    <w:basedOn w:val="Normal"/>
    <w:uiPriority w:val="7"/>
    <w:qFormat/>
    <w:rsid w:val="008263E8"/>
    <w:pPr>
      <w:pBdr>
        <w:top w:val="single" w:color="auto" w:sz="4" w:space="1"/>
        <w:left w:val="single" w:color="auto" w:sz="4" w:space="4"/>
        <w:bottom w:val="single" w:color="auto" w:sz="4" w:space="1"/>
        <w:right w:val="single" w:color="auto" w:sz="4" w:space="4"/>
      </w:pBdr>
      <w:ind w:left="720"/>
      <w:jc w:val="both"/>
    </w:pPr>
    <w:rPr>
      <w:b/>
      <w:iCs/>
      <w:u w:val="single"/>
      <w:bdr w:val="single" w:color="auto" w:sz="8" w:space="0"/>
    </w:rPr>
  </w:style>
  <w:style w:type="paragraph" w:styleId="Emphasize" w:customStyle="1">
    <w:name w:val="Emphasize"/>
    <w:basedOn w:val="Normal"/>
    <w:uiPriority w:val="7"/>
    <w:qFormat/>
    <w:rsid w:val="008263E8"/>
    <w:pPr>
      <w:pBdr>
        <w:top w:val="single" w:color="auto" w:sz="18" w:space="0"/>
        <w:left w:val="single" w:color="auto" w:sz="18" w:space="0"/>
        <w:bottom w:val="single" w:color="auto" w:sz="18" w:space="0"/>
        <w:right w:val="single" w:color="auto" w:sz="18" w:space="0"/>
      </w:pBdr>
      <w:spacing w:line="256" w:lineRule="auto"/>
      <w:ind w:left="720"/>
      <w:jc w:val="both"/>
    </w:pPr>
    <w:rPr>
      <w:b/>
      <w:iCs/>
      <w:u w:val="single"/>
      <w:bdr w:val="single" w:color="auto" w:sz="8" w:space="0"/>
    </w:rPr>
  </w:style>
  <w:style w:type="paragraph" w:styleId="Style4" w:customStyle="1">
    <w:name w:val="Style4"/>
    <w:basedOn w:val="Normal"/>
    <w:rsid w:val="008263E8"/>
    <w:pPr>
      <w:tabs>
        <w:tab w:val="num" w:pos="360"/>
      </w:tabs>
      <w:spacing w:line="256" w:lineRule="auto"/>
    </w:pPr>
    <w:rPr>
      <w:rFonts w:ascii="Times New Roman" w:hAnsi="Times New Roman" w:eastAsia="Times New Roman"/>
      <w:sz w:val="20"/>
      <w:szCs w:val="24"/>
      <w:u w:val="single"/>
    </w:rPr>
  </w:style>
  <w:style w:type="character" w:styleId="StyleStyle49ptChar" w:customStyle="1">
    <w:name w:val="Style Style4 + 9 pt Char"/>
    <w:basedOn w:val="DefaultParagraphFont"/>
    <w:link w:val="StyleStyle49pt"/>
    <w:locked/>
    <w:rsid w:val="008263E8"/>
    <w:rPr>
      <w:rFonts w:ascii="Times New Roman" w:hAnsi="Times New Roman" w:eastAsia="Times New Roman" w:cs="Times New Roman"/>
      <w:sz w:val="20"/>
      <w:u w:val="single"/>
    </w:rPr>
  </w:style>
  <w:style w:type="paragraph" w:styleId="StyleStyle49pt" w:customStyle="1">
    <w:name w:val="Style Style4 + 9 pt"/>
    <w:basedOn w:val="Style4"/>
    <w:link w:val="StyleStyle49ptChar"/>
    <w:rsid w:val="008263E8"/>
    <w:rPr>
      <w:rFonts w:cs="Times New Roman"/>
      <w:szCs w:val="22"/>
    </w:rPr>
  </w:style>
  <w:style w:type="character" w:styleId="StyleStyle49ptBoldChar" w:customStyle="1">
    <w:name w:val="Style Style4 + 9 pt Bold Char"/>
    <w:link w:val="StyleStyle49ptBold"/>
    <w:locked/>
    <w:rsid w:val="008263E8"/>
    <w:rPr>
      <w:rFonts w:ascii="Times New Roman" w:hAnsi="Times New Roman" w:eastAsia="Times New Roman" w:cs="Times New Roman"/>
      <w:b/>
      <w:bCs/>
      <w:sz w:val="20"/>
      <w:u w:val="single"/>
    </w:rPr>
  </w:style>
  <w:style w:type="paragraph" w:styleId="StyleStyle49ptBold" w:customStyle="1">
    <w:name w:val="Style Style4 + 9 pt Bold"/>
    <w:basedOn w:val="Style4"/>
    <w:link w:val="StyleStyle49ptBoldChar"/>
    <w:rsid w:val="008263E8"/>
    <w:rPr>
      <w:rFonts w:cs="Times New Roman"/>
      <w:b/>
      <w:bCs/>
      <w:szCs w:val="22"/>
    </w:rPr>
  </w:style>
  <w:style w:type="character" w:styleId="Style9ptUnderline" w:customStyle="1">
    <w:name w:val="Style 9 pt Underline"/>
    <w:rsid w:val="008263E8"/>
    <w:rPr>
      <w:sz w:val="20"/>
      <w:u w:val="single"/>
    </w:rPr>
  </w:style>
  <w:style w:type="character" w:styleId="StyleTimesNewRoman9pt" w:customStyle="1">
    <w:name w:val="Style Times New Roman 9 pt"/>
    <w:rsid w:val="008263E8"/>
    <w:rPr>
      <w:sz w:val="20"/>
    </w:rPr>
  </w:style>
  <w:style w:type="character" w:styleId="Style9ptBoldUnderline" w:customStyle="1">
    <w:name w:val="Style 9 pt Bold Underline"/>
    <w:rsid w:val="008263E8"/>
    <w:rPr>
      <w:b/>
      <w:bCs/>
      <w:sz w:val="20"/>
      <w:u w:val="single"/>
    </w:rPr>
  </w:style>
  <w:style w:type="character" w:styleId="Style9ptItalicUnderline" w:customStyle="1">
    <w:name w:val="Style 9 pt Italic Underline"/>
    <w:rsid w:val="008263E8"/>
    <w:rPr>
      <w:i/>
      <w:iCs/>
      <w:sz w:val="20"/>
      <w:u w:val="single"/>
    </w:rPr>
  </w:style>
  <w:style w:type="character" w:styleId="BodyText2" w:customStyle="1">
    <w:name w:val="Body Text2"/>
    <w:rsid w:val="008263E8"/>
    <w:rPr>
      <w:rFonts w:hint="default" w:ascii="Times New Roman" w:hAnsi="Times New Roman" w:eastAsia="Times New Roman" w:cs="Times New Roman"/>
      <w:b w:val="0"/>
      <w:bCs w:val="0"/>
      <w:i w:val="0"/>
      <w:iCs w:val="0"/>
      <w:smallCaps w:val="0"/>
      <w:strike w:val="0"/>
      <w:dstrike w:val="0"/>
      <w:color w:val="000000"/>
      <w:spacing w:val="0"/>
      <w:w w:val="100"/>
      <w:position w:val="0"/>
      <w:sz w:val="18"/>
      <w:szCs w:val="18"/>
      <w:u w:val="none"/>
      <w:effect w:val="none"/>
      <w:lang w:val="en-US"/>
    </w:rPr>
  </w:style>
  <w:style w:type="character" w:styleId="BodyText3" w:customStyle="1">
    <w:name w:val="Body Text3"/>
    <w:rsid w:val="008263E8"/>
    <w:rPr>
      <w:rFonts w:hint="default" w:ascii="Times New Roman" w:hAnsi="Times New Roman" w:eastAsia="Times New Roman" w:cs="Times New Roman"/>
      <w:b w:val="0"/>
      <w:bCs w:val="0"/>
      <w:i w:val="0"/>
      <w:iCs w:val="0"/>
      <w:smallCaps w:val="0"/>
      <w:strike w:val="0"/>
      <w:dstrike w:val="0"/>
      <w:color w:val="000000"/>
      <w:spacing w:val="0"/>
      <w:w w:val="100"/>
      <w:position w:val="0"/>
      <w:sz w:val="18"/>
      <w:szCs w:val="18"/>
      <w:u w:val="none"/>
      <w:effect w:val="none"/>
      <w:lang w:val="en-US"/>
    </w:rPr>
  </w:style>
  <w:style w:type="character" w:styleId="BodytextBold" w:customStyle="1">
    <w:name w:val="Body text + Bold"/>
    <w:rsid w:val="008263E8"/>
    <w:rPr>
      <w:rFonts w:hint="default" w:ascii="Constantia" w:hAnsi="Constantia" w:eastAsia="Constantia" w:cs="Constantia"/>
      <w:b/>
      <w:bCs/>
      <w:color w:val="000000"/>
      <w:spacing w:val="0"/>
      <w:w w:val="100"/>
      <w:position w:val="0"/>
      <w:sz w:val="18"/>
      <w:szCs w:val="18"/>
      <w:shd w:val="clear" w:color="auto" w:fill="FFFFFF"/>
      <w:lang w:val="en-US"/>
    </w:rPr>
  </w:style>
  <w:style w:type="character" w:styleId="Bodytext6pt" w:customStyle="1">
    <w:name w:val="Body text + 6 pt"/>
    <w:rsid w:val="008263E8"/>
    <w:rPr>
      <w:rFonts w:hint="default" w:ascii="Constantia" w:hAnsi="Constantia" w:eastAsia="Constantia" w:cs="Constantia"/>
      <w:color w:val="000000"/>
      <w:spacing w:val="0"/>
      <w:w w:val="100"/>
      <w:position w:val="0"/>
      <w:sz w:val="12"/>
      <w:szCs w:val="12"/>
      <w:shd w:val="clear" w:color="auto" w:fill="FFFFFF"/>
      <w:lang w:val="en-US"/>
    </w:rPr>
  </w:style>
  <w:style w:type="character" w:styleId="BoldUnderline" w:customStyle="1">
    <w:name w:val="BoldUnderline"/>
    <w:uiPriority w:val="1"/>
    <w:qFormat/>
    <w:rsid w:val="008263E8"/>
    <w:rPr>
      <w:rFonts w:hint="default" w:ascii="Arial" w:hAnsi="Arial" w:cs="Arial"/>
      <w:b/>
      <w:bCs w:val="0"/>
      <w:sz w:val="20"/>
      <w:u w:val="single"/>
    </w:rPr>
  </w:style>
  <w:style w:type="character" w:styleId="Bodytext85pt" w:customStyle="1">
    <w:name w:val="Body text + 8.5 pt"/>
    <w:aliases w:val="Spacing 1 pt"/>
    <w:rsid w:val="008263E8"/>
    <w:rPr>
      <w:rFonts w:hint="default" w:ascii="Times New Roman" w:hAnsi="Times New Roman" w:eastAsia="Times New Roman" w:cs="Times New Roman"/>
      <w:b w:val="0"/>
      <w:bCs w:val="0"/>
      <w:i w:val="0"/>
      <w:iCs w:val="0"/>
      <w:smallCaps w:val="0"/>
      <w:strike w:val="0"/>
      <w:dstrike w:val="0"/>
      <w:color w:val="000000"/>
      <w:spacing w:val="0"/>
      <w:w w:val="100"/>
      <w:position w:val="0"/>
      <w:sz w:val="17"/>
      <w:szCs w:val="17"/>
      <w:u w:val="none"/>
      <w:effect w:val="none"/>
      <w:lang w:val="en-US"/>
    </w:rPr>
  </w:style>
  <w:style w:type="character" w:styleId="Bodytext95pt" w:customStyle="1">
    <w:name w:val="Body text + 9.5 pt"/>
    <w:aliases w:val="Italic,Spacing -1 pt,Body text + Georgia,8 pt,Spacing 0 pt,7 pt,Scale 66%"/>
    <w:rsid w:val="008263E8"/>
    <w:rPr>
      <w:rFonts w:hint="default" w:ascii="Times New Roman" w:hAnsi="Times New Roman" w:eastAsia="Times New Roman" w:cs="Times New Roman"/>
      <w:b w:val="0"/>
      <w:bCs w:val="0"/>
      <w:i/>
      <w:iCs/>
      <w:smallCaps w:val="0"/>
      <w:strike w:val="0"/>
      <w:dstrike w:val="0"/>
      <w:color w:val="000000"/>
      <w:spacing w:val="-30"/>
      <w:w w:val="100"/>
      <w:position w:val="0"/>
      <w:sz w:val="19"/>
      <w:szCs w:val="19"/>
      <w:u w:val="none"/>
      <w:effect w:val="none"/>
      <w:lang w:val="en-US"/>
    </w:rPr>
  </w:style>
  <w:style w:type="character" w:styleId="BodyText4" w:customStyle="1">
    <w:name w:val="Body Text4"/>
    <w:rsid w:val="008263E8"/>
    <w:rPr>
      <w:rFonts w:hint="default" w:ascii="Times New Roman" w:hAnsi="Times New Roman" w:eastAsia="Times New Roman" w:cs="Times New Roman"/>
      <w:b w:val="0"/>
      <w:bCs w:val="0"/>
      <w:i w:val="0"/>
      <w:iCs w:val="0"/>
      <w:smallCaps w:val="0"/>
      <w:strike w:val="0"/>
      <w:dstrike w:val="0"/>
      <w:color w:val="000000"/>
      <w:spacing w:val="0"/>
      <w:w w:val="100"/>
      <w:position w:val="0"/>
      <w:sz w:val="18"/>
      <w:szCs w:val="18"/>
      <w:u w:val="none"/>
      <w:effect w:val="none"/>
      <w:lang w:val="en-US"/>
    </w:rPr>
  </w:style>
  <w:style w:type="character" w:styleId="BoldUnderlineChar" w:customStyle="1">
    <w:name w:val="Bold Underline Char"/>
    <w:rsid w:val="008263E8"/>
    <w:rPr>
      <w:rFonts w:ascii="Georgia" w:hAnsi="Georgia"/>
      <w:b/>
      <w:sz w:val="22"/>
      <w:szCs w:val="22"/>
      <w:u w:val="single"/>
    </w:rPr>
  </w:style>
  <w:style w:type="paragraph" w:styleId="CITE0" w:customStyle="1">
    <w:name w:val="CITE"/>
    <w:basedOn w:val="Normal"/>
    <w:next w:val="Normal"/>
    <w:rsid w:val="008263E8"/>
    <w:pPr>
      <w:suppressAutoHyphens/>
      <w:spacing w:line="252" w:lineRule="auto"/>
    </w:pPr>
    <w:rPr>
      <w:rFonts w:eastAsia="Calibri"/>
      <w:b/>
      <w:i/>
      <w:color w:val="00000A"/>
    </w:rPr>
  </w:style>
  <w:style w:type="paragraph" w:styleId="Subtitle">
    <w:name w:val="Subtitle"/>
    <w:basedOn w:val="Normal"/>
    <w:next w:val="Normal"/>
    <w:link w:val="SubtitleChar"/>
    <w:rsid w:val="008263E8"/>
    <w:pPr>
      <w:numPr>
        <w:ilvl w:val="1"/>
      </w:numPr>
    </w:pPr>
    <w:rPr>
      <w:rFonts w:asciiTheme="majorHAnsi" w:hAnsiTheme="majorHAnsi" w:eastAsiaTheme="majorEastAsia" w:cstheme="majorBidi"/>
      <w:i/>
      <w:iCs/>
      <w:color w:val="5B9BD5" w:themeColor="accent1"/>
      <w:spacing w:val="15"/>
      <w:sz w:val="24"/>
      <w:szCs w:val="24"/>
    </w:rPr>
  </w:style>
  <w:style w:type="character" w:styleId="SubtitleChar" w:customStyle="1">
    <w:name w:val="Subtitle Char"/>
    <w:basedOn w:val="DefaultParagraphFont"/>
    <w:link w:val="Subtitle"/>
    <w:rsid w:val="008263E8"/>
    <w:rPr>
      <w:rFonts w:asciiTheme="majorHAnsi" w:hAnsiTheme="majorHAnsi" w:eastAsiaTheme="majorEastAsia" w:cstheme="majorBidi"/>
      <w:i/>
      <w:iCs/>
      <w:color w:val="5B9BD5" w:themeColor="accent1"/>
      <w:spacing w:val="15"/>
      <w:sz w:val="24"/>
      <w:szCs w:val="24"/>
    </w:rPr>
  </w:style>
  <w:style w:type="character" w:styleId="aqj" w:customStyle="1">
    <w:name w:val="aqj"/>
    <w:basedOn w:val="DefaultParagraphFont"/>
    <w:rsid w:val="008263E8"/>
  </w:style>
  <w:style w:type="paragraph" w:styleId="Nothing" w:customStyle="1">
    <w:name w:val="Nothing"/>
    <w:link w:val="NothingChar"/>
    <w:qFormat/>
    <w:rsid w:val="008263E8"/>
    <w:pPr>
      <w:spacing w:after="0" w:line="240" w:lineRule="auto"/>
      <w:jc w:val="both"/>
    </w:pPr>
    <w:rPr>
      <w:rFonts w:ascii="Times New Roman" w:hAnsi="Times New Roman" w:eastAsia="Times New Roman" w:cs="Times New Roman"/>
      <w:sz w:val="20"/>
      <w:szCs w:val="24"/>
    </w:rPr>
  </w:style>
  <w:style w:type="character" w:styleId="NothingChar" w:customStyle="1">
    <w:name w:val="Nothing Char"/>
    <w:link w:val="Nothing"/>
    <w:rsid w:val="008263E8"/>
    <w:rPr>
      <w:rFonts w:ascii="Times New Roman" w:hAnsi="Times New Roman" w:eastAsia="Times New Roman" w:cs="Times New Roman"/>
      <w:sz w:val="20"/>
      <w:szCs w:val="24"/>
    </w:rPr>
  </w:style>
  <w:style w:type="paragraph" w:styleId="TOC1">
    <w:name w:val="toc 1"/>
    <w:basedOn w:val="Normal"/>
    <w:next w:val="Normal"/>
    <w:autoRedefine/>
    <w:uiPriority w:val="39"/>
    <w:unhideWhenUsed/>
    <w:rsid w:val="008263E8"/>
  </w:style>
  <w:style w:type="paragraph" w:styleId="TOC2">
    <w:name w:val="toc 2"/>
    <w:basedOn w:val="Normal"/>
    <w:next w:val="Normal"/>
    <w:autoRedefine/>
    <w:uiPriority w:val="39"/>
    <w:unhideWhenUsed/>
    <w:rsid w:val="008263E8"/>
    <w:pPr>
      <w:ind w:left="200"/>
    </w:pPr>
  </w:style>
  <w:style w:type="paragraph" w:styleId="TOC3">
    <w:name w:val="toc 3"/>
    <w:basedOn w:val="Normal"/>
    <w:next w:val="Normal"/>
    <w:autoRedefine/>
    <w:uiPriority w:val="39"/>
    <w:unhideWhenUsed/>
    <w:rsid w:val="008263E8"/>
    <w:pPr>
      <w:ind w:left="400"/>
    </w:pPr>
  </w:style>
  <w:style w:type="paragraph" w:styleId="TOC4">
    <w:name w:val="toc 4"/>
    <w:basedOn w:val="Normal"/>
    <w:next w:val="Normal"/>
    <w:autoRedefine/>
    <w:uiPriority w:val="39"/>
    <w:unhideWhenUsed/>
    <w:rsid w:val="008263E8"/>
    <w:pPr>
      <w:ind w:left="600"/>
    </w:pPr>
  </w:style>
  <w:style w:type="paragraph" w:styleId="TOC5">
    <w:name w:val="toc 5"/>
    <w:basedOn w:val="Normal"/>
    <w:next w:val="Normal"/>
    <w:autoRedefine/>
    <w:uiPriority w:val="39"/>
    <w:unhideWhenUsed/>
    <w:rsid w:val="008263E8"/>
    <w:pPr>
      <w:ind w:left="800"/>
    </w:pPr>
  </w:style>
  <w:style w:type="paragraph" w:styleId="TOC6">
    <w:name w:val="toc 6"/>
    <w:basedOn w:val="Normal"/>
    <w:next w:val="Normal"/>
    <w:autoRedefine/>
    <w:uiPriority w:val="39"/>
    <w:unhideWhenUsed/>
    <w:rsid w:val="008263E8"/>
    <w:pPr>
      <w:ind w:left="1000"/>
    </w:pPr>
  </w:style>
  <w:style w:type="paragraph" w:styleId="TOC7">
    <w:name w:val="toc 7"/>
    <w:basedOn w:val="Normal"/>
    <w:next w:val="Normal"/>
    <w:autoRedefine/>
    <w:uiPriority w:val="39"/>
    <w:unhideWhenUsed/>
    <w:rsid w:val="008263E8"/>
    <w:pPr>
      <w:ind w:left="1200"/>
    </w:pPr>
  </w:style>
  <w:style w:type="paragraph" w:styleId="TOC8">
    <w:name w:val="toc 8"/>
    <w:basedOn w:val="Normal"/>
    <w:next w:val="Normal"/>
    <w:autoRedefine/>
    <w:uiPriority w:val="39"/>
    <w:unhideWhenUsed/>
    <w:rsid w:val="008263E8"/>
    <w:pPr>
      <w:ind w:left="1400"/>
    </w:pPr>
  </w:style>
  <w:style w:type="paragraph" w:styleId="TOC9">
    <w:name w:val="toc 9"/>
    <w:basedOn w:val="Normal"/>
    <w:next w:val="Normal"/>
    <w:autoRedefine/>
    <w:uiPriority w:val="39"/>
    <w:unhideWhenUsed/>
    <w:rsid w:val="008263E8"/>
    <w:pPr>
      <w:ind w:left="1600"/>
    </w:pPr>
  </w:style>
  <w:style w:type="character" w:styleId="Strong">
    <w:name w:val="Strong"/>
    <w:uiPriority w:val="22"/>
    <w:qFormat/>
    <w:rsid w:val="008263E8"/>
    <w:rPr>
      <w:rFonts w:cs="Times New Roman"/>
      <w:b/>
      <w:bCs/>
    </w:rPr>
  </w:style>
  <w:style w:type="character" w:styleId="apple-style-span" w:customStyle="1">
    <w:name w:val="apple-style-span"/>
    <w:rsid w:val="008263E8"/>
  </w:style>
  <w:style w:type="character" w:styleId="TagsChar1" w:customStyle="1">
    <w:name w:val="Tags Char1"/>
    <w:rsid w:val="008263E8"/>
    <w:rPr>
      <w:rFonts w:ascii="Times New Roman" w:hAnsi="Times New Roman" w:eastAsia="Times New Roman" w:cs="Times New Roman"/>
      <w:b/>
      <w:sz w:val="24"/>
      <w:szCs w:val="24"/>
    </w:rPr>
  </w:style>
  <w:style w:type="character" w:styleId="Style11pt" w:customStyle="1">
    <w:name w:val="Style 11 pt"/>
    <w:rsid w:val="008263E8"/>
    <w:rPr>
      <w:sz w:val="20"/>
    </w:rPr>
  </w:style>
  <w:style w:type="character" w:styleId="Emphasis2" w:customStyle="1">
    <w:name w:val="Emphasis2"/>
    <w:rsid w:val="008263E8"/>
    <w:rPr>
      <w:rFonts w:ascii="Cooper Black" w:hAnsi="Cooper Black"/>
      <w:iCs/>
      <w:u w:val="single"/>
    </w:rPr>
  </w:style>
  <w:style w:type="character" w:styleId="reduce2" w:customStyle="1">
    <w:name w:val="reduce2"/>
    <w:rsid w:val="008263E8"/>
    <w:rPr>
      <w:rFonts w:ascii="Arial" w:hAnsi="Arial" w:cs="Arial"/>
      <w:color w:val="000000"/>
      <w:sz w:val="12"/>
      <w:szCs w:val="22"/>
    </w:rPr>
  </w:style>
  <w:style w:type="character" w:styleId="DebateUnderline" w:customStyle="1">
    <w:name w:val="Debate Underline"/>
    <w:rsid w:val="008263E8"/>
    <w:rPr>
      <w:rFonts w:ascii="Times New Roman" w:hAnsi="Times New Roman"/>
      <w:sz w:val="24"/>
      <w:u w:val="thick"/>
    </w:rPr>
  </w:style>
  <w:style w:type="character" w:styleId="Citation" w:customStyle="1">
    <w:name w:val="Citation"/>
    <w:uiPriority w:val="1"/>
    <w:qFormat/>
    <w:rsid w:val="008263E8"/>
    <w:rPr>
      <w:rFonts w:ascii="Arial" w:hAnsi="Arial"/>
      <w:b/>
      <w:sz w:val="24"/>
      <w:u w:val="single"/>
    </w:rPr>
  </w:style>
  <w:style w:type="paragraph" w:styleId="PhoTag" w:customStyle="1">
    <w:name w:val="PhoTag"/>
    <w:basedOn w:val="Normal"/>
    <w:next w:val="Normal"/>
    <w:autoRedefine/>
    <w:qFormat/>
    <w:rsid w:val="008263E8"/>
    <w:rPr>
      <w:b/>
    </w:rPr>
  </w:style>
  <w:style w:type="paragraph" w:styleId="tag" w:customStyle="1">
    <w:name w:val="tag"/>
    <w:basedOn w:val="Normal"/>
    <w:next w:val="Normal"/>
    <w:link w:val="tagChar"/>
    <w:rsid w:val="008263E8"/>
    <w:rPr>
      <w:rFonts w:eastAsiaTheme="minorEastAsia"/>
      <w:b/>
      <w:sz w:val="24"/>
      <w:szCs w:val="24"/>
    </w:rPr>
  </w:style>
  <w:style w:type="character" w:styleId="tagChar" w:customStyle="1">
    <w:name w:val="tag Char"/>
    <w:link w:val="tag"/>
    <w:rsid w:val="008263E8"/>
    <w:rPr>
      <w:rFonts w:ascii="Arial" w:hAnsi="Arial" w:cs="Arial" w:eastAsiaTheme="minorEastAsia"/>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en.wikipedia.org/wiki/Oakland,_California" TargetMode="External" Id="rId26" /><Relationship Type="http://schemas.openxmlformats.org/officeDocument/2006/relationships/hyperlink" Target="https://en.wikipedia.org/wiki/Oakland,_California" TargetMode="External" Id="rId117" /><Relationship Type="http://schemas.openxmlformats.org/officeDocument/2006/relationships/hyperlink" Target="https://en.wikipedia.org/wiki/Hannah_Arendt" TargetMode="External" Id="rId21" /><Relationship Type="http://schemas.openxmlformats.org/officeDocument/2006/relationships/hyperlink" Target="https://en.wikipedia.org/wiki/California" TargetMode="External" Id="rId42" /><Relationship Type="http://schemas.openxmlformats.org/officeDocument/2006/relationships/hyperlink" Target="https://en.wikipedia.org/wiki/Third-wave_feminism" TargetMode="External" Id="rId47" /><Relationship Type="http://schemas.openxmlformats.org/officeDocument/2006/relationships/hyperlink" Target="https://en.wikipedia.org/wiki/Queer_theory" TargetMode="External" Id="rId63" /><Relationship Type="http://schemas.openxmlformats.org/officeDocument/2006/relationships/hyperlink" Target="https://en.wikipedia.org/wiki/United_States" TargetMode="External" Id="rId68" /><Relationship Type="http://schemas.openxmlformats.org/officeDocument/2006/relationships/hyperlink" Target="https://en.wikipedia.org/wiki/Disability_rights_movement" TargetMode="External" Id="rId84" /><Relationship Type="http://schemas.openxmlformats.org/officeDocument/2006/relationships/hyperlink" Target="https://en.wikipedia.org/wiki/Gender_studies" TargetMode="External" Id="rId89" /><Relationship Type="http://schemas.openxmlformats.org/officeDocument/2006/relationships/hyperlink" Target="https://en.wikipedia.org/wiki/Hannah_Arendt" TargetMode="External" Id="rId112" /><Relationship Type="http://schemas.openxmlformats.org/officeDocument/2006/relationships/hyperlink" Target="http://www.jackhalberstam.com/gaga-feminism/" TargetMode="External" Id="rId138" /><Relationship Type="http://schemas.openxmlformats.org/officeDocument/2006/relationships/hyperlink" Target="https://www.thenation.com/article/new-humanitarian-order//" TargetMode="External" Id="rId154" /><Relationship Type="http://schemas.openxmlformats.org/officeDocument/2006/relationships/footer" Target="footer2.xml" Id="rId159" /><Relationship Type="http://schemas.openxmlformats.org/officeDocument/2006/relationships/hyperlink" Target="https://en.wikipedia.org/wiki/Ethics" TargetMode="External" Id="rId16" /><Relationship Type="http://schemas.openxmlformats.org/officeDocument/2006/relationships/hyperlink" Target="https://en.wikipedia.org/wiki/Ethics" TargetMode="External" Id="rId107" /><Relationship Type="http://schemas.openxmlformats.org/officeDocument/2006/relationships/hyperlink" Target="https://www.cairn.info/revue-francaise-d-etudes-americaines-2012-1-page-3.htm" TargetMode="External" Id="rId11" /><Relationship Type="http://schemas.openxmlformats.org/officeDocument/2006/relationships/hyperlink" Target="https://en.wikipedia.org/wiki/Third-wave_feminism" TargetMode="External" Id="rId32" /><Relationship Type="http://schemas.openxmlformats.org/officeDocument/2006/relationships/hyperlink" Target="https://en.wikipedia.org/wiki/European_Graduate_School" TargetMode="External" Id="rId37" /><Relationship Type="http://schemas.openxmlformats.org/officeDocument/2006/relationships/hyperlink" Target="https://en.wikipedia.org/wiki/United_States" TargetMode="External" Id="rId53" /><Relationship Type="http://schemas.openxmlformats.org/officeDocument/2006/relationships/hyperlink" Target="https://en.wikipedia.org/wiki/University_of_California,_Berkeley" TargetMode="External" Id="rId58" /><Relationship Type="http://schemas.openxmlformats.org/officeDocument/2006/relationships/hyperlink" Target="https://en.wikipedia.org/wiki/Gender_studies" TargetMode="External" Id="rId74" /><Relationship Type="http://schemas.openxmlformats.org/officeDocument/2006/relationships/hyperlink" Target="https://en.wikipedia.org/wiki/Literary_theory" TargetMode="External" Id="rId79" /><Relationship Type="http://schemas.openxmlformats.org/officeDocument/2006/relationships/hyperlink" Target="https://en.wikipedia.org/wiki/California" TargetMode="External" Id="rId102" /><Relationship Type="http://schemas.openxmlformats.org/officeDocument/2006/relationships/hyperlink" Target="https://refuge.journals.yorku.ca/index.php/refuge/article/view/32074/29320" TargetMode="External" Id="rId123" /><Relationship Type="http://schemas.openxmlformats.org/officeDocument/2006/relationships/hyperlink" Target="http://www.arte-util.org/projects/transborder-immigrant-tool/" TargetMode="External" Id="rId128" /><Relationship Type="http://schemas.openxmlformats.org/officeDocument/2006/relationships/hyperlink" Target="http://www.sunypress.edu/p-832-the-terms-of-order.aspx" TargetMode="External" Id="rId144" /><Relationship Type="http://schemas.openxmlformats.org/officeDocument/2006/relationships/hyperlink" Target="http://www.truth-out.org/archive/item/81138:against-the-militarized-academy" TargetMode="External" Id="rId149" /><Relationship Type="http://schemas.openxmlformats.org/officeDocument/2006/relationships/webSettings" Target="webSettings.xml" Id="rId5" /><Relationship Type="http://schemas.openxmlformats.org/officeDocument/2006/relationships/hyperlink" Target="https://en.wikipedia.org/wiki/Political_philosophy" TargetMode="External" Id="rId90" /><Relationship Type="http://schemas.openxmlformats.org/officeDocument/2006/relationships/hyperlink" Target="https://en.wikipedia.org/wiki/University_of_California,_Berkeley" TargetMode="External" Id="rId95" /><Relationship Type="http://schemas.openxmlformats.org/officeDocument/2006/relationships/header" Target="header3.xml" Id="rId160" /><Relationship Type="http://schemas.openxmlformats.org/officeDocument/2006/relationships/hyperlink" Target="https://en.wikipedia.org/wiki/European_Graduate_School" TargetMode="External" Id="rId22" /><Relationship Type="http://schemas.openxmlformats.org/officeDocument/2006/relationships/hyperlink" Target="https://en.wikipedia.org/wiki/California" TargetMode="External" Id="rId27" /><Relationship Type="http://schemas.openxmlformats.org/officeDocument/2006/relationships/hyperlink" Target="https://en.wikipedia.org/wiki/University_of_California,_Berkeley" TargetMode="External" Id="rId43" /><Relationship Type="http://schemas.openxmlformats.org/officeDocument/2006/relationships/hyperlink" Target="https://en.wikipedia.org/wiki/Queer_theory" TargetMode="External" Id="rId48" /><Relationship Type="http://schemas.openxmlformats.org/officeDocument/2006/relationships/hyperlink" Target="https://en.wikipedia.org/wiki/Literary_theory" TargetMode="External" Id="rId64" /><Relationship Type="http://schemas.openxmlformats.org/officeDocument/2006/relationships/hyperlink" Target="https://en.wikipedia.org/wiki/Disability_rights_movement" TargetMode="External" Id="rId69" /><Relationship Type="http://schemas.openxmlformats.org/officeDocument/2006/relationships/hyperlink" Target="https://en.wikipedia.org/wiki/European_Graduate_School" TargetMode="External" Id="rId113" /><Relationship Type="http://schemas.openxmlformats.org/officeDocument/2006/relationships/hyperlink" Target="https://en.wikipedia.org/wiki/California" TargetMode="External" Id="rId118" /><Relationship Type="http://schemas.openxmlformats.org/officeDocument/2006/relationships/hyperlink" Target="http://www.dukeupress.edu/Catalog/ViewProduct.php?productid=1741" TargetMode="External" Id="rId134" /><Relationship Type="http://schemas.openxmlformats.org/officeDocument/2006/relationships/hyperlink" Target="https://undercommoning.org/" TargetMode="External" Id="rId139" /><Relationship Type="http://schemas.openxmlformats.org/officeDocument/2006/relationships/hyperlink" Target="https://en.wikipedia.org/wiki/University_of_California,_Berkeley" TargetMode="External" Id="rId80" /><Relationship Type="http://schemas.openxmlformats.org/officeDocument/2006/relationships/hyperlink" Target="https://en.wikipedia.org/wiki/Animal_rights" TargetMode="External" Id="rId85" /><Relationship Type="http://schemas.openxmlformats.org/officeDocument/2006/relationships/hyperlink" Target="http://www.truth-out.org/archive/item/81138:against-the-militarized-academy" TargetMode="External" Id="rId150" /><Relationship Type="http://schemas.openxmlformats.org/officeDocument/2006/relationships/hyperlink" Target="https://medium.com/@aragorneloff/the-very-idea-of-rights-a-critique-of-human-rights-discourse-84706f002c85%20//" TargetMode="External" Id="rId155" /><Relationship Type="http://schemas.openxmlformats.org/officeDocument/2006/relationships/hyperlink" Target="https://www.graffiti.org/faq/graffiti-is-part-of-us.html" TargetMode="External" Id="rId12" /><Relationship Type="http://schemas.openxmlformats.org/officeDocument/2006/relationships/hyperlink" Target="https://en.wikipedia.org/wiki/Third-wave_feminism" TargetMode="External" Id="rId17" /><Relationship Type="http://schemas.openxmlformats.org/officeDocument/2006/relationships/hyperlink" Target="https://en.wikipedia.org/wiki/Queer_theory" TargetMode="External" Id="rId33" /><Relationship Type="http://schemas.openxmlformats.org/officeDocument/2006/relationships/hyperlink" Target="https://en.wikipedia.org/wiki/United_States" TargetMode="External" Id="rId38" /><Relationship Type="http://schemas.openxmlformats.org/officeDocument/2006/relationships/hyperlink" Target="https://en.wikipedia.org/wiki/Gender_studies" TargetMode="External" Id="rId59" /><Relationship Type="http://schemas.openxmlformats.org/officeDocument/2006/relationships/hyperlink" Target="https://en.wikipedia.org/wiki/University_of_California,_Berkeley" TargetMode="External" Id="rId103" /><Relationship Type="http://schemas.openxmlformats.org/officeDocument/2006/relationships/hyperlink" Target="https://en.wikipedia.org/wiki/Third-wave_feminism" TargetMode="External" Id="rId108" /><Relationship Type="http://schemas.openxmlformats.org/officeDocument/2006/relationships/hyperlink" Target="http://www.decolonize.org/wp-content/uploads/2015/06/queeranticap.pdf" TargetMode="External" Id="rId124" /><Relationship Type="http://schemas.openxmlformats.org/officeDocument/2006/relationships/hyperlink" Target="https://repository.arizona.edu/bitstream/handle/10150/581327/azu_etd_14061_sip1_m.pdf?sequence=1" TargetMode="External" Id="rId129" /><Relationship Type="http://schemas.openxmlformats.org/officeDocument/2006/relationships/hyperlink" Target="https://en.wikipedia.org/wiki/Disability_rights_movement" TargetMode="External" Id="rId54" /><Relationship Type="http://schemas.openxmlformats.org/officeDocument/2006/relationships/hyperlink" Target="https://en.wikipedia.org/wiki/Animal_rights" TargetMode="External" Id="rId70" /><Relationship Type="http://schemas.openxmlformats.org/officeDocument/2006/relationships/hyperlink" Target="https://en.wikipedia.org/wiki/Political_philosophy" TargetMode="External" Id="rId75" /><Relationship Type="http://schemas.openxmlformats.org/officeDocument/2006/relationships/hyperlink" Target="https://en.wikipedia.org/wiki/Ethics" TargetMode="External" Id="rId91" /><Relationship Type="http://schemas.openxmlformats.org/officeDocument/2006/relationships/hyperlink" Target="https://en.wikipedia.org/wiki/Hannah_Arendt" TargetMode="External" Id="rId96" /><Relationship Type="http://schemas.openxmlformats.org/officeDocument/2006/relationships/hyperlink" Target="https://www.akpress.org/dixie-be-damned.html" TargetMode="External" Id="rId140" /><Relationship Type="http://schemas.openxmlformats.org/officeDocument/2006/relationships/hyperlink" Target="http://www.truth-out.org/archive/item/81138:against-the-militarized-academy" TargetMode="External" Id="rId145" /><Relationship Type="http://schemas.openxmlformats.org/officeDocument/2006/relationships/footer" Target="footer3.xml" Id="rId16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en.wikipedia.org/wiki/Political_philosophy" TargetMode="External" Id="rId15" /><Relationship Type="http://schemas.openxmlformats.org/officeDocument/2006/relationships/hyperlink" Target="https://en.wikipedia.org/wiki/United_States" TargetMode="External" Id="rId23" /><Relationship Type="http://schemas.openxmlformats.org/officeDocument/2006/relationships/hyperlink" Target="https://en.wikipedia.org/wiki/University_of_California,_Berkeley" TargetMode="External" Id="rId28" /><Relationship Type="http://schemas.openxmlformats.org/officeDocument/2006/relationships/hyperlink" Target="https://en.wikipedia.org/wiki/Hannah_Arendt" TargetMode="External" Id="rId36" /><Relationship Type="http://schemas.openxmlformats.org/officeDocument/2006/relationships/hyperlink" Target="https://en.wikipedia.org/wiki/Literary_theory" TargetMode="External" Id="rId49" /><Relationship Type="http://schemas.openxmlformats.org/officeDocument/2006/relationships/hyperlink" Target="https://en.wikipedia.org/wiki/California" TargetMode="External" Id="rId57" /><Relationship Type="http://schemas.openxmlformats.org/officeDocument/2006/relationships/hyperlink" Target="https://en.wikipedia.org/wiki/Political_philosophy" TargetMode="External" Id="rId106" /><Relationship Type="http://schemas.openxmlformats.org/officeDocument/2006/relationships/hyperlink" Target="https://en.wikipedia.org/wiki/United_States" TargetMode="External" Id="rId114" /><Relationship Type="http://schemas.openxmlformats.org/officeDocument/2006/relationships/hyperlink" Target="https://en.wikipedia.org/wiki/University_of_California,_Berkeley" TargetMode="External" Id="rId119" /><Relationship Type="http://schemas.openxmlformats.org/officeDocument/2006/relationships/hyperlink" Target="https://repository.arizona.edu/bitstream/handle/10150/581327/azu_etd_14061_sip1_m.pdf?sequence=1" TargetMode="External" Id="rId127" /><Relationship Type="http://schemas.openxmlformats.org/officeDocument/2006/relationships/hyperlink" Target="https://www.cairn.info/revue-francaise-d-etudes-americaines-2012-1-page-3.htm" TargetMode="External" Id="rId10" /><Relationship Type="http://schemas.openxmlformats.org/officeDocument/2006/relationships/hyperlink" Target="https://en.wikipedia.org/wiki/Ethics" TargetMode="External" Id="rId31" /><Relationship Type="http://schemas.openxmlformats.org/officeDocument/2006/relationships/hyperlink" Target="https://en.wikipedia.org/wiki/Gender_studies" TargetMode="External" Id="rId44" /><Relationship Type="http://schemas.openxmlformats.org/officeDocument/2006/relationships/hyperlink" Target="https://en.wikipedia.org/wiki/European_Graduate_School" TargetMode="External" Id="rId52" /><Relationship Type="http://schemas.openxmlformats.org/officeDocument/2006/relationships/hyperlink" Target="https://en.wikipedia.org/wiki/Political_philosophy" TargetMode="External" Id="rId60" /><Relationship Type="http://schemas.openxmlformats.org/officeDocument/2006/relationships/hyperlink" Target="https://en.wikipedia.org/wiki/University_of_California,_Berkeley" TargetMode="External" Id="rId65" /><Relationship Type="http://schemas.openxmlformats.org/officeDocument/2006/relationships/hyperlink" Target="https://en.wikipedia.org/wiki/University_of_California,_Berkeley" TargetMode="External" Id="rId73" /><Relationship Type="http://schemas.openxmlformats.org/officeDocument/2006/relationships/hyperlink" Target="https://en.wikipedia.org/wiki/Queer_theory" TargetMode="External" Id="rId78" /><Relationship Type="http://schemas.openxmlformats.org/officeDocument/2006/relationships/hyperlink" Target="https://en.wikipedia.org/wiki/Hannah_Arendt" TargetMode="External" Id="rId81" /><Relationship Type="http://schemas.openxmlformats.org/officeDocument/2006/relationships/hyperlink" Target="https://en.wikipedia.org/wiki/Oakland,_California" TargetMode="External" Id="rId86" /><Relationship Type="http://schemas.openxmlformats.org/officeDocument/2006/relationships/hyperlink" Target="https://en.wikipedia.org/wiki/Literary_theory" TargetMode="External" Id="rId94" /><Relationship Type="http://schemas.openxmlformats.org/officeDocument/2006/relationships/hyperlink" Target="https://en.wikipedia.org/wiki/Disability_rights_movement" TargetMode="External" Id="rId99" /><Relationship Type="http://schemas.openxmlformats.org/officeDocument/2006/relationships/hyperlink" Target="https://en.wikipedia.org/wiki/Oakland,_California" TargetMode="External" Id="rId101" /><Relationship Type="http://schemas.openxmlformats.org/officeDocument/2006/relationships/hyperlink" Target="https://theanarchistlibrary.org/library/baedan-baedan" TargetMode="External" Id="rId122" /><Relationship Type="http://schemas.openxmlformats.org/officeDocument/2006/relationships/hyperlink" Target="https://d-nb.info/1006356509/34" TargetMode="External" Id="rId130" /><Relationship Type="http://schemas.openxmlformats.org/officeDocument/2006/relationships/hyperlink" Target="http://www.dukeupress.edu/Catalog/ViewProduct.php?productid=501" TargetMode="External" Id="rId135" /><Relationship Type="http://schemas.openxmlformats.org/officeDocument/2006/relationships/hyperlink" Target="http://robbiemcclintock.com/shelving/E-71c-E-TPS-1.html" TargetMode="External" Id="rId143" /><Relationship Type="http://schemas.openxmlformats.org/officeDocument/2006/relationships/hyperlink" Target="http://www.truth-out.org/archive/item/81138:against-the-militarized-academy" TargetMode="External" Id="rId148" /><Relationship Type="http://schemas.openxmlformats.org/officeDocument/2006/relationships/hyperlink" Target="http://www.truth-out.org/archive/item/81138:against-the-militarized-academy" TargetMode="External" Id="rId151" /><Relationship Type="http://schemas.openxmlformats.org/officeDocument/2006/relationships/header" Target="header1.xml" Id="rId156" /><Relationship Type="http://schemas.openxmlformats.org/officeDocument/2006/relationships/settings" Target="settings.xml" Id="rId4" /><Relationship Type="http://schemas.openxmlformats.org/officeDocument/2006/relationships/hyperlink" Target="https://www.cairn.info/revue-francaise-d-etudes-americaines-2012-1-page-3.htm" TargetMode="External" Id="rId9" /><Relationship Type="http://schemas.openxmlformats.org/officeDocument/2006/relationships/hyperlink" Target="http://www.ratemyprofessors.com/campusRatings.jsp?sid=1452" TargetMode="External" Id="rId13" /><Relationship Type="http://schemas.openxmlformats.org/officeDocument/2006/relationships/hyperlink" Target="https://en.wikipedia.org/wiki/Queer_theory" TargetMode="External" Id="rId18" /><Relationship Type="http://schemas.openxmlformats.org/officeDocument/2006/relationships/hyperlink" Target="https://en.wikipedia.org/wiki/Disability_rights_movement" TargetMode="External" Id="rId39" /><Relationship Type="http://schemas.openxmlformats.org/officeDocument/2006/relationships/hyperlink" Target="https://en.wikipedia.org/wiki/Queer_theory" TargetMode="External" Id="rId109" /><Relationship Type="http://schemas.openxmlformats.org/officeDocument/2006/relationships/hyperlink" Target="https://en.wikipedia.org/wiki/Literary_theory" TargetMode="External" Id="rId34" /><Relationship Type="http://schemas.openxmlformats.org/officeDocument/2006/relationships/hyperlink" Target="https://en.wikipedia.org/wiki/University_of_California,_Berkeley" TargetMode="External" Id="rId50" /><Relationship Type="http://schemas.openxmlformats.org/officeDocument/2006/relationships/hyperlink" Target="https://en.wikipedia.org/wiki/Animal_rights" TargetMode="External" Id="rId55" /><Relationship Type="http://schemas.openxmlformats.org/officeDocument/2006/relationships/hyperlink" Target="https://en.wikipedia.org/wiki/Ethics" TargetMode="External" Id="rId76" /><Relationship Type="http://schemas.openxmlformats.org/officeDocument/2006/relationships/hyperlink" Target="https://en.wikipedia.org/wiki/European_Graduate_School" TargetMode="External" Id="rId97" /><Relationship Type="http://schemas.openxmlformats.org/officeDocument/2006/relationships/image" Target="media/image1.jpg" Id="rId104" /><Relationship Type="http://schemas.openxmlformats.org/officeDocument/2006/relationships/hyperlink" Target="https://read.dukeupress.edu/glq/article-pdf/14/2-3/169/414249/GLQ142-3_01_Intro.pdf" TargetMode="External" Id="rId120" /><Relationship Type="http://schemas.openxmlformats.org/officeDocument/2006/relationships/hyperlink" Target="https://www.publishersweekly.com/978-0-316-74671-7" TargetMode="External" Id="rId125" /><Relationship Type="http://schemas.openxmlformats.org/officeDocument/2006/relationships/hyperlink" Target="https://www.versobooks.com/blogs/2747-pulse-beat-rhythm-cry-orlando-and-the-queer-and-trans-necropolitics-of-loss-and-mourning" TargetMode="External" Id="rId141" /><Relationship Type="http://schemas.openxmlformats.org/officeDocument/2006/relationships/hyperlink" Target="http://www.truth-out.org/archive/item/81138:against-the-militarized-academy" TargetMode="External" Id="rId146" /><Relationship Type="http://schemas.openxmlformats.org/officeDocument/2006/relationships/endnotes" Target="endnotes.xml" Id="rId7" /><Relationship Type="http://schemas.openxmlformats.org/officeDocument/2006/relationships/hyperlink" Target="https://en.wikipedia.org/wiki/Oakland,_California" TargetMode="External" Id="rId71" /><Relationship Type="http://schemas.openxmlformats.org/officeDocument/2006/relationships/hyperlink" Target="https://en.wikipedia.org/wiki/Third-wave_feminism" TargetMode="External" Id="rId92" /><Relationship Type="http://schemas.openxmlformats.org/officeDocument/2006/relationships/fontTable" Target="fontTable.xml" Id="rId162" /><Relationship Type="http://schemas.openxmlformats.org/officeDocument/2006/relationships/numbering" Target="numbering.xml" Id="rId2" /><Relationship Type="http://schemas.openxmlformats.org/officeDocument/2006/relationships/hyperlink" Target="https://en.wikipedia.org/wiki/Gender_studies" TargetMode="External" Id="rId29" /><Relationship Type="http://schemas.openxmlformats.org/officeDocument/2006/relationships/hyperlink" Target="https://en.wikipedia.org/wiki/Disability_rights_movement" TargetMode="External" Id="rId24" /><Relationship Type="http://schemas.openxmlformats.org/officeDocument/2006/relationships/hyperlink" Target="https://en.wikipedia.org/wiki/Animal_rights" TargetMode="External" Id="rId40" /><Relationship Type="http://schemas.openxmlformats.org/officeDocument/2006/relationships/hyperlink" Target="https://en.wikipedia.org/wiki/Political_philosophy" TargetMode="External" Id="rId45" /><Relationship Type="http://schemas.openxmlformats.org/officeDocument/2006/relationships/hyperlink" Target="https://en.wikipedia.org/wiki/Hannah_Arendt" TargetMode="External" Id="rId66" /><Relationship Type="http://schemas.openxmlformats.org/officeDocument/2006/relationships/hyperlink" Target="https://en.wikipedia.org/wiki/California" TargetMode="External" Id="rId87" /><Relationship Type="http://schemas.openxmlformats.org/officeDocument/2006/relationships/hyperlink" Target="https://en.wikipedia.org/wiki/Literary_theory" TargetMode="External" Id="rId110" /><Relationship Type="http://schemas.openxmlformats.org/officeDocument/2006/relationships/hyperlink" Target="https://en.wikipedia.org/wiki/Disability_rights_movement" TargetMode="External" Id="rId115" /><Relationship Type="http://schemas.openxmlformats.org/officeDocument/2006/relationships/hyperlink" Target="https://robertgraham.wordpress.com/2017/04/08/anderson-samudzi-the-anarchism-of-blackness/" TargetMode="External" Id="rId131" /><Relationship Type="http://schemas.openxmlformats.org/officeDocument/2006/relationships/hyperlink" Target="http://nyupress.org/books/book-details.aspx?bookId=8582" TargetMode="External" Id="rId136" /><Relationship Type="http://schemas.openxmlformats.org/officeDocument/2006/relationships/header" Target="header2.xml" Id="rId157" /><Relationship Type="http://schemas.openxmlformats.org/officeDocument/2006/relationships/hyperlink" Target="https://en.wikipedia.org/wiki/Ethics" TargetMode="External" Id="rId61" /><Relationship Type="http://schemas.openxmlformats.org/officeDocument/2006/relationships/hyperlink" Target="https://en.wikipedia.org/wiki/European_Graduate_School" TargetMode="External" Id="rId82" /><Relationship Type="http://schemas.openxmlformats.org/officeDocument/2006/relationships/hyperlink" Target="http://www.truth-out.org/archive/item/81138:against-the-militarized-academy" TargetMode="External" Id="rId152" /><Relationship Type="http://schemas.openxmlformats.org/officeDocument/2006/relationships/hyperlink" Target="https://en.wikipedia.org/wiki/Literary_theory" TargetMode="External" Id="rId19" /><Relationship Type="http://schemas.openxmlformats.org/officeDocument/2006/relationships/hyperlink" Target="https://en.wikipedia.org/wiki/Gender_studies" TargetMode="External" Id="rId14" /><Relationship Type="http://schemas.openxmlformats.org/officeDocument/2006/relationships/hyperlink" Target="https://en.wikipedia.org/wiki/Political_philosophy" TargetMode="External" Id="rId30" /><Relationship Type="http://schemas.openxmlformats.org/officeDocument/2006/relationships/hyperlink" Target="https://en.wikipedia.org/wiki/University_of_California,_Berkeley" TargetMode="External" Id="rId35" /><Relationship Type="http://schemas.openxmlformats.org/officeDocument/2006/relationships/hyperlink" Target="https://en.wikipedia.org/wiki/Oakland,_California" TargetMode="External" Id="rId56" /><Relationship Type="http://schemas.openxmlformats.org/officeDocument/2006/relationships/hyperlink" Target="https://en.wikipedia.org/wiki/Third-wave_feminism" TargetMode="External" Id="rId77" /><Relationship Type="http://schemas.openxmlformats.org/officeDocument/2006/relationships/hyperlink" Target="https://en.wikipedia.org/wiki/Animal_rights" TargetMode="External" Id="rId100" /><Relationship Type="http://schemas.openxmlformats.org/officeDocument/2006/relationships/hyperlink" Target="https://en.wikipedia.org/wiki/Gender_studies" TargetMode="External" Id="rId105" /><Relationship Type="http://schemas.openxmlformats.org/officeDocument/2006/relationships/image" Target="media/image2.jpg" Id="rId126" /><Relationship Type="http://schemas.openxmlformats.org/officeDocument/2006/relationships/hyperlink" Target="http://www.truth-out.org/archive/item/81138:against-the-militarized-academy" TargetMode="External" Id="rId147" /><Relationship Type="http://schemas.openxmlformats.org/officeDocument/2006/relationships/hyperlink" Target="https://www.graffiti.org/faq/graffiti-is-part-of-us.html" TargetMode="External" Id="rId8" /><Relationship Type="http://schemas.openxmlformats.org/officeDocument/2006/relationships/hyperlink" Target="https://en.wikipedia.org/wiki/Hannah_Arendt" TargetMode="External" Id="rId51" /><Relationship Type="http://schemas.openxmlformats.org/officeDocument/2006/relationships/hyperlink" Target="https://en.wikipedia.org/wiki/California" TargetMode="External" Id="rId72" /><Relationship Type="http://schemas.openxmlformats.org/officeDocument/2006/relationships/hyperlink" Target="https://en.wikipedia.org/wiki/Queer_theory" TargetMode="External" Id="rId93" /><Relationship Type="http://schemas.openxmlformats.org/officeDocument/2006/relationships/hyperlink" Target="https://en.wikipedia.org/wiki/United_States" TargetMode="External" Id="rId98" /><Relationship Type="http://schemas.openxmlformats.org/officeDocument/2006/relationships/hyperlink" Target="https://journals.openedition.org/ejas/11830" TargetMode="External" Id="rId121" /><Relationship Type="http://schemas.openxmlformats.org/officeDocument/2006/relationships/hyperlink" Target="https://www.youtube.com/watch?v=-l7ayYcksyM" TargetMode="External" Id="rId142" /><Relationship Type="http://schemas.openxmlformats.org/officeDocument/2006/relationships/theme" Target="theme/theme1.xml" Id="rId163" /><Relationship Type="http://schemas.openxmlformats.org/officeDocument/2006/relationships/styles" Target="styles.xml" Id="rId3" /><Relationship Type="http://schemas.openxmlformats.org/officeDocument/2006/relationships/hyperlink" Target="https://en.wikipedia.org/wiki/Animal_rights" TargetMode="External" Id="rId25" /><Relationship Type="http://schemas.openxmlformats.org/officeDocument/2006/relationships/hyperlink" Target="https://en.wikipedia.org/wiki/Ethics" TargetMode="External" Id="rId46" /><Relationship Type="http://schemas.openxmlformats.org/officeDocument/2006/relationships/hyperlink" Target="https://en.wikipedia.org/wiki/European_Graduate_School" TargetMode="External" Id="rId67" /><Relationship Type="http://schemas.openxmlformats.org/officeDocument/2006/relationships/hyperlink" Target="https://en.wikipedia.org/wiki/Animal_rights" TargetMode="External" Id="rId116" /><Relationship Type="http://schemas.openxmlformats.org/officeDocument/2006/relationships/hyperlink" Target="http://www.dukeupress.edu/Catalog/ViewProduct.php?productid=19523" TargetMode="External" Id="rId137" /><Relationship Type="http://schemas.openxmlformats.org/officeDocument/2006/relationships/footer" Target="footer1.xml" Id="rId158" /><Relationship Type="http://schemas.openxmlformats.org/officeDocument/2006/relationships/hyperlink" Target="https://en.wikipedia.org/wiki/University_of_California,_Berkeley" TargetMode="External" Id="rId20" /><Relationship Type="http://schemas.openxmlformats.org/officeDocument/2006/relationships/hyperlink" Target="https://en.wikipedia.org/wiki/Oakland,_California" TargetMode="External" Id="rId41" /><Relationship Type="http://schemas.openxmlformats.org/officeDocument/2006/relationships/hyperlink" Target="https://en.wikipedia.org/wiki/Third-wave_feminism" TargetMode="External" Id="rId62" /><Relationship Type="http://schemas.openxmlformats.org/officeDocument/2006/relationships/hyperlink" Target="https://en.wikipedia.org/wiki/United_States" TargetMode="External" Id="rId83" /><Relationship Type="http://schemas.openxmlformats.org/officeDocument/2006/relationships/hyperlink" Target="https://en.wikipedia.org/wiki/University_of_California,_Berkeley" TargetMode="External" Id="rId88" /><Relationship Type="http://schemas.openxmlformats.org/officeDocument/2006/relationships/hyperlink" Target="https://en.wikipedia.org/wiki/University_of_California,_Berkeley" TargetMode="External" Id="rId111" /><Relationship Type="http://schemas.openxmlformats.org/officeDocument/2006/relationships/hyperlink" Target="http://www.jstor.org/stable/40238019?seq=1" TargetMode="External" Id="rId132" /><Relationship Type="http://schemas.openxmlformats.org/officeDocument/2006/relationships/hyperlink" Target="https://pdfs.semanticscholar.org/653c/017886f8a431341ba2650087ceac7a9508a7.pdf" TargetMode="External" Id="rId153" /><Relationship Type="http://schemas.openxmlformats.org/officeDocument/2006/relationships/hyperlink" Target="https://www.academia.edu/12959331/Voice_Lessons_Suffering_and_the_Liberal_Sensorium" TargetMode="External" Id="Rf4c37c67d32f4a1e"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siea\AppData\Roaming\Microsoft\Templates\Debate.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2F56A-E6EE-C040-9067-D7C9A0261817}">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Kelsie, Amber</dc:creator>
  <keywords>5.1.1</keywords>
  <dc:description/>
  <lastModifiedBy>taylor brough</lastModifiedBy>
  <revision>59</revision>
  <dcterms:created xsi:type="dcterms:W3CDTF">2018-07-09T17:18:00.0000000Z</dcterms:created>
  <dcterms:modified xsi:type="dcterms:W3CDTF">2018-07-11T02:13:40.7306763Z</dcterms:modified>
</coreProperties>
</file>