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0839" w:rsidRPr="0018330B" w:rsidRDefault="000D0839" w:rsidP="000D0839">
      <w:pPr>
        <w:pStyle w:val="Heading1"/>
        <w:rPr>
          <w:rStyle w:val="Style13ptBold"/>
          <w:b/>
          <w:sz w:val="52"/>
          <w:szCs w:val="52"/>
        </w:rPr>
      </w:pPr>
      <w:r w:rsidRPr="0018330B">
        <w:rPr>
          <w:rStyle w:val="Style13ptBold"/>
          <w:b/>
          <w:sz w:val="52"/>
          <w:szCs w:val="52"/>
        </w:rPr>
        <w:t>Puar</w:t>
      </w:r>
    </w:p>
    <w:p w:rsidR="000D0839" w:rsidRPr="0018330B" w:rsidRDefault="000D0839" w:rsidP="000D0839">
      <w:pPr>
        <w:pStyle w:val="Heading3"/>
      </w:pPr>
      <w:r w:rsidRPr="0018330B">
        <w:t>State Solves</w:t>
      </w:r>
    </w:p>
    <w:p w:rsidR="000D0839" w:rsidRPr="0018330B" w:rsidRDefault="000D0839" w:rsidP="000D0839">
      <w:pPr>
        <w:pStyle w:val="Heading4"/>
        <w:rPr>
          <w:rStyle w:val="Style13ptBold"/>
          <w:b/>
        </w:rPr>
      </w:pPr>
      <w:r w:rsidRPr="0018330B">
        <w:rPr>
          <w:rStyle w:val="Style13ptBold"/>
          <w:b/>
        </w:rPr>
        <w:t xml:space="preserve">Puar’s conception of resistance turns their back on the colonial atrocity of macropolitical structures – we have to engage in internal contradictions of the state. </w:t>
      </w:r>
    </w:p>
    <w:p w:rsidR="000D0839" w:rsidRPr="0018330B" w:rsidRDefault="000D0839" w:rsidP="000D0839">
      <w:pPr>
        <w:rPr>
          <w:rFonts w:ascii="Calibri" w:hAnsi="Calibri"/>
        </w:rPr>
      </w:pPr>
      <w:r w:rsidRPr="0018330B">
        <w:rPr>
          <w:rStyle w:val="Style13ptBold"/>
          <w:rFonts w:ascii="Calibri" w:hAnsi="Calibri"/>
        </w:rPr>
        <w:t>Dhawan 15</w:t>
      </w:r>
      <w:r w:rsidRPr="0018330B">
        <w:rPr>
          <w:rFonts w:ascii="Calibri" w:hAnsi="Calibri"/>
        </w:rPr>
        <w:t xml:space="preserve"> – (Nikita, Professor of Political Science, “Homonationalism and State-Phobia: The Postcolonial Predicament of Queering Modernities,”, </w:t>
      </w:r>
      <w:hyperlink r:id="rId4" w:history="1">
        <w:r w:rsidRPr="0018330B">
          <w:rPr>
            <w:rStyle w:val="Hyperlink"/>
            <w:rFonts w:ascii="Calibri" w:hAnsi="Calibri"/>
          </w:rPr>
          <w:t>https://www.academia.edu/15604557/Homonationalism_and_State-phobia_The_Postcolonial_Predicament_of_Queering_Modernities_pre-publication_version_</w:t>
        </w:r>
      </w:hyperlink>
      <w:r w:rsidRPr="0018330B">
        <w:rPr>
          <w:rFonts w:ascii="Calibri" w:hAnsi="Calibri"/>
        </w:rPr>
        <w:t>) kb</w:t>
      </w:r>
    </w:p>
    <w:p w:rsidR="000D0839" w:rsidRPr="0018330B" w:rsidRDefault="000D0839" w:rsidP="000D0839">
      <w:pPr>
        <w:rPr>
          <w:rFonts w:ascii="Calibri" w:hAnsi="Calibri"/>
          <w:sz w:val="16"/>
        </w:rPr>
      </w:pPr>
      <w:r w:rsidRPr="00A667FE">
        <w:rPr>
          <w:rStyle w:val="StyleUnderline"/>
          <w:rFonts w:ascii="Calibri" w:hAnsi="Calibri"/>
          <w:highlight w:val="yellow"/>
        </w:rPr>
        <w:t>One of my main difficulties</w:t>
      </w:r>
      <w:r w:rsidRPr="0018330B">
        <w:rPr>
          <w:rFonts w:ascii="Calibri" w:hAnsi="Calibri"/>
          <w:sz w:val="16"/>
        </w:rPr>
        <w:t xml:space="preserve"> </w:t>
      </w:r>
      <w:r w:rsidRPr="00A667FE">
        <w:rPr>
          <w:rStyle w:val="StyleUnderline"/>
          <w:rFonts w:ascii="Calibri" w:hAnsi="Calibri"/>
          <w:highlight w:val="yellow"/>
        </w:rPr>
        <w:t>with</w:t>
      </w:r>
      <w:r w:rsidRPr="0018330B">
        <w:rPr>
          <w:rFonts w:ascii="Calibri" w:hAnsi="Calibri"/>
          <w:sz w:val="16"/>
        </w:rPr>
        <w:t xml:space="preserve"> current politics of </w:t>
      </w:r>
      <w:r w:rsidRPr="00A667FE">
        <w:rPr>
          <w:rStyle w:val="StyleUnderline"/>
          <w:rFonts w:ascii="Calibri" w:hAnsi="Calibri"/>
          <w:highlight w:val="yellow"/>
        </w:rPr>
        <w:t>anti-homonationalism</w:t>
      </w:r>
      <w:r w:rsidRPr="0018330B">
        <w:rPr>
          <w:rFonts w:ascii="Calibri" w:hAnsi="Calibri"/>
          <w:sz w:val="16"/>
        </w:rPr>
        <w:t xml:space="preserve"> and pink-watching </w:t>
      </w:r>
      <w:r w:rsidRPr="00A667FE">
        <w:rPr>
          <w:rStyle w:val="StyleUnderline"/>
          <w:rFonts w:ascii="Calibri" w:hAnsi="Calibri"/>
          <w:highlight w:val="yellow"/>
        </w:rPr>
        <w:t xml:space="preserve">is their rejection of </w:t>
      </w:r>
      <w:r w:rsidRPr="00A667FE">
        <w:rPr>
          <w:rStyle w:val="Emphasis"/>
          <w:highlight w:val="yellow"/>
        </w:rPr>
        <w:t>any engagement with the state</w:t>
      </w:r>
      <w:r w:rsidRPr="00A667FE">
        <w:rPr>
          <w:rFonts w:ascii="Calibri" w:hAnsi="Calibri"/>
          <w:sz w:val="16"/>
          <w:highlight w:val="yellow"/>
        </w:rPr>
        <w:t xml:space="preserve">, </w:t>
      </w:r>
      <w:r w:rsidRPr="00A667FE">
        <w:rPr>
          <w:rStyle w:val="Emphasis"/>
          <w:highlight w:val="yellow"/>
        </w:rPr>
        <w:t>which is censured as a form of co-option and appeasement</w:t>
      </w:r>
      <w:r w:rsidRPr="0018330B">
        <w:rPr>
          <w:rStyle w:val="Emphasis"/>
        </w:rPr>
        <w:t>.</w:t>
      </w:r>
      <w:r w:rsidRPr="0018330B">
        <w:rPr>
          <w:rFonts w:ascii="Calibri" w:hAnsi="Calibri"/>
          <w:sz w:val="16"/>
        </w:rPr>
        <w:t xml:space="preserve"> They almost seem to oppose the political agenda of providing non-normative sexualities with social recognition and legal protection through rights and policies, because this would mean acknowledging the existence of other forms of violence that are not reducible to Western racism and imperialism even as they are not entirely disconnected from them. </w:t>
      </w:r>
      <w:r w:rsidRPr="0018330B">
        <w:rPr>
          <w:rStyle w:val="StyleUnderline"/>
          <w:rFonts w:ascii="Calibri" w:hAnsi="Calibri"/>
        </w:rPr>
        <w:t>This</w:t>
      </w:r>
      <w:r w:rsidRPr="0018330B">
        <w:rPr>
          <w:rFonts w:ascii="Calibri" w:hAnsi="Calibri"/>
          <w:sz w:val="16"/>
        </w:rPr>
        <w:t xml:space="preserve"> form of anti-statism </w:t>
      </w:r>
      <w:bookmarkStart w:id="0" w:name="_GoBack"/>
      <w:r w:rsidRPr="0018330B">
        <w:rPr>
          <w:rStyle w:val="Emphasis"/>
        </w:rPr>
        <w:t>denies</w:t>
      </w:r>
      <w:r w:rsidRPr="0018330B">
        <w:rPr>
          <w:rFonts w:ascii="Calibri" w:hAnsi="Calibri"/>
          <w:sz w:val="16"/>
        </w:rPr>
        <w:t xml:space="preserve"> </w:t>
      </w:r>
      <w:bookmarkEnd w:id="0"/>
      <w:r w:rsidRPr="0018330B">
        <w:rPr>
          <w:rStyle w:val="StyleUnderline"/>
          <w:rFonts w:ascii="Calibri" w:hAnsi="Calibri"/>
        </w:rPr>
        <w:t>others some of the protections postcolonial queers enjoy on the privileged side of transnationality, who live in states where homosexuality has been decriminalized</w:t>
      </w:r>
      <w:r w:rsidRPr="0018330B">
        <w:rPr>
          <w:rFonts w:ascii="Calibri" w:hAnsi="Calibri"/>
          <w:sz w:val="16"/>
        </w:rPr>
        <w:t xml:space="preserve">. Anyone who addresses the issue of homophobia in minority cultures is simply racist and any talk of homophobic violence causes trouble for sexual minorities in their communities or countries. Anyone who supports ideals of equality, freedom, or emancipation is labeled ‘Western’ or functions as a trophy for liberal and conservative forces. My response to this position is that </w:t>
      </w:r>
      <w:r w:rsidRPr="00A667FE">
        <w:rPr>
          <w:rStyle w:val="Emphasis"/>
          <w:highlight w:val="yellow"/>
        </w:rPr>
        <w:t>they do not take the consequences of colonialism seriously if they think decolonization is simply circumventing the legacies of modernity and the language of rights, equality, freedom and emancipation.</w:t>
      </w:r>
      <w:r w:rsidRPr="0018330B">
        <w:rPr>
          <w:rFonts w:ascii="Calibri" w:hAnsi="Calibri"/>
          <w:sz w:val="16"/>
        </w:rPr>
        <w:t xml:space="preserve"> </w:t>
      </w:r>
    </w:p>
    <w:p w:rsidR="000D0839" w:rsidRPr="0018330B" w:rsidRDefault="000D0839" w:rsidP="000D0839">
      <w:pPr>
        <w:rPr>
          <w:rStyle w:val="Emphasis"/>
        </w:rPr>
      </w:pPr>
      <w:r w:rsidRPr="0018330B">
        <w:rPr>
          <w:rFonts w:ascii="Calibri" w:hAnsi="Calibri"/>
          <w:sz w:val="16"/>
          <w:szCs w:val="22"/>
        </w:rPr>
        <w:t xml:space="preserve">While </w:t>
      </w:r>
      <w:r w:rsidRPr="0018330B">
        <w:rPr>
          <w:rStyle w:val="StyleUnderline"/>
          <w:rFonts w:ascii="Calibri" w:hAnsi="Calibri"/>
        </w:rPr>
        <w:t xml:space="preserve">theorists like </w:t>
      </w:r>
      <w:r w:rsidRPr="0018330B">
        <w:rPr>
          <w:rStyle w:val="Emphasis"/>
        </w:rPr>
        <w:t>Puar</w:t>
      </w:r>
      <w:r w:rsidRPr="0018330B">
        <w:rPr>
          <w:rFonts w:ascii="Calibri" w:hAnsi="Calibri"/>
          <w:sz w:val="16"/>
          <w:szCs w:val="22"/>
        </w:rPr>
        <w:t xml:space="preserve"> rightly draw on Foucault to </w:t>
      </w:r>
      <w:r w:rsidRPr="0018330B">
        <w:rPr>
          <w:rStyle w:val="StyleUnderline"/>
          <w:rFonts w:ascii="Calibri" w:hAnsi="Calibri"/>
        </w:rPr>
        <w:t>unpack how non-normative sexualities are deployed in the biopolitical production of different populations</w:t>
      </w:r>
      <w:r w:rsidRPr="0018330B">
        <w:rPr>
          <w:rFonts w:ascii="Calibri" w:hAnsi="Calibri"/>
          <w:sz w:val="16"/>
          <w:szCs w:val="22"/>
        </w:rPr>
        <w:t xml:space="preserve"> in relation to one another, namely, how European queers are constituted in terms of requiring protection from the threat of homophobic migrants at home and regressive Muslim cultures elsewhere. At the same time, </w:t>
      </w:r>
      <w:r w:rsidRPr="00A667FE">
        <w:rPr>
          <w:rStyle w:val="Emphasis"/>
          <w:highlight w:val="yellow"/>
        </w:rPr>
        <w:t>one of my primary objects against Puar and the politics of anti-homonationalism is that they tend to dehistoricize, demonize and essentialize the state reducing it to its penal functions.</w:t>
      </w:r>
      <w:r w:rsidRPr="0018330B">
        <w:rPr>
          <w:rFonts w:ascii="Calibri" w:hAnsi="Calibri"/>
          <w:sz w:val="16"/>
          <w:szCs w:val="22"/>
        </w:rPr>
        <w:t xml:space="preserve"> In her discussions of Israeli ‘pink-washing’ or decriminalization of homosexuality in India, </w:t>
      </w:r>
      <w:r w:rsidRPr="0018330B">
        <w:rPr>
          <w:rStyle w:val="StyleUnderline"/>
          <w:rFonts w:ascii="Calibri" w:hAnsi="Calibri"/>
        </w:rPr>
        <w:t>Puar gives the impression ‘as if ’ there is no difference between the US and Germany, or between Israel and India</w:t>
      </w:r>
      <w:r w:rsidRPr="0018330B">
        <w:rPr>
          <w:rFonts w:ascii="Calibri" w:hAnsi="Calibri"/>
          <w:sz w:val="16"/>
          <w:szCs w:val="22"/>
        </w:rPr>
        <w:t xml:space="preserve">. </w:t>
      </w:r>
      <w:r w:rsidRPr="00A667FE">
        <w:rPr>
          <w:rStyle w:val="StyleUnderline"/>
          <w:rFonts w:ascii="Calibri" w:hAnsi="Calibri"/>
          <w:highlight w:val="yellow"/>
        </w:rPr>
        <w:t>This</w:t>
      </w:r>
      <w:r w:rsidRPr="0018330B">
        <w:rPr>
          <w:rFonts w:ascii="Calibri" w:hAnsi="Calibri"/>
          <w:sz w:val="16"/>
          <w:szCs w:val="22"/>
        </w:rPr>
        <w:t xml:space="preserve"> dangerously </w:t>
      </w:r>
      <w:r w:rsidRPr="00A667FE">
        <w:rPr>
          <w:rStyle w:val="StyleUnderline"/>
          <w:rFonts w:ascii="Calibri" w:hAnsi="Calibri"/>
          <w:highlight w:val="yellow"/>
        </w:rPr>
        <w:t>disregards Foucault’s critique of state-phobia</w:t>
      </w:r>
      <w:r w:rsidRPr="0018330B">
        <w:rPr>
          <w:rStyle w:val="StyleUnderline"/>
          <w:rFonts w:ascii="Calibri" w:hAnsi="Calibri"/>
        </w:rPr>
        <w:t xml:space="preserve"> in his governmentality lectures</w:t>
      </w:r>
      <w:r w:rsidRPr="0018330B">
        <w:rPr>
          <w:rFonts w:ascii="Calibri" w:hAnsi="Calibri"/>
          <w:sz w:val="16"/>
          <w:szCs w:val="22"/>
        </w:rPr>
        <w:t xml:space="preserve">, where he simultaneously targets Marxists, ultra-left radicals, liberals, neo-liberals, which consider the state as predator that must be contained and ‘defanged’ refer to Dhawan 2013). Rejecting Nietzsche’s image of the state as the ‘coldest of all cold monsters’, </w:t>
      </w:r>
      <w:r w:rsidRPr="00A667FE">
        <w:rPr>
          <w:rStyle w:val="Emphasis"/>
          <w:highlight w:val="yellow"/>
        </w:rPr>
        <w:t>Foucault views the state an effect rather than cause of governmental practices</w:t>
      </w:r>
      <w:r w:rsidRPr="0018330B">
        <w:rPr>
          <w:rStyle w:val="Emphasis"/>
        </w:rPr>
        <w:t xml:space="preserve"> and rationalities. </w:t>
      </w:r>
    </w:p>
    <w:p w:rsidR="000D0839" w:rsidRPr="0018330B" w:rsidRDefault="000D0839" w:rsidP="000D0839">
      <w:pPr>
        <w:rPr>
          <w:rFonts w:ascii="Calibri" w:hAnsi="Calibri"/>
          <w:sz w:val="16"/>
          <w:szCs w:val="22"/>
        </w:rPr>
      </w:pPr>
      <w:r w:rsidRPr="0018330B">
        <w:rPr>
          <w:rFonts w:ascii="Calibri" w:hAnsi="Calibri"/>
          <w:sz w:val="16"/>
          <w:szCs w:val="22"/>
        </w:rPr>
        <w:t xml:space="preserve">Foucault’s historical investigations unfold how the experience with fascism und totalitarianism during National Socialism and Stalinism led to the rise of state-phobia in Europe. In order to reconfigure the relation between government and society, the subsequent efforts sought to replace the despotic state or police state through rule of law and constitutional state. According to Foucault, since the late 1970s </w:t>
      </w:r>
      <w:r w:rsidRPr="0018330B">
        <w:rPr>
          <w:rStyle w:val="StyleUnderline"/>
          <w:rFonts w:ascii="Calibri" w:hAnsi="Calibri"/>
        </w:rPr>
        <w:t>anti-statism rapidly became the basis of liberal and left politics in the form of critique of securitization and repressive apparatus</w:t>
      </w:r>
      <w:r w:rsidRPr="0018330B">
        <w:rPr>
          <w:rFonts w:ascii="Calibri" w:hAnsi="Calibri"/>
          <w:sz w:val="16"/>
          <w:szCs w:val="22"/>
        </w:rPr>
        <w:t xml:space="preserve">. </w:t>
      </w:r>
      <w:r w:rsidRPr="00A667FE">
        <w:rPr>
          <w:rStyle w:val="StyleUnderline"/>
          <w:rFonts w:ascii="Calibri" w:hAnsi="Calibri"/>
          <w:highlight w:val="yellow"/>
        </w:rPr>
        <w:t xml:space="preserve">This translated for instance into </w:t>
      </w:r>
      <w:r w:rsidRPr="00A667FE">
        <w:rPr>
          <w:rStyle w:val="Emphasis"/>
          <w:highlight w:val="yellow"/>
        </w:rPr>
        <w:t>uncritical solidarit</w:t>
      </w:r>
      <w:r w:rsidRPr="0018330B">
        <w:rPr>
          <w:rStyle w:val="Emphasis"/>
        </w:rPr>
        <w:t>y</w:t>
      </w:r>
      <w:r w:rsidRPr="0018330B">
        <w:rPr>
          <w:rStyle w:val="StyleUnderline"/>
          <w:rFonts w:ascii="Calibri" w:hAnsi="Calibri"/>
        </w:rPr>
        <w:t xml:space="preserve"> </w:t>
      </w:r>
      <w:r w:rsidRPr="0018330B">
        <w:rPr>
          <w:rFonts w:ascii="Calibri" w:hAnsi="Calibri"/>
          <w:sz w:val="16"/>
          <w:szCs w:val="22"/>
        </w:rPr>
        <w:t xml:space="preserve">with soviet dissidents. Both amongst the liberals as well as amongst the left, </w:t>
      </w:r>
      <w:r w:rsidRPr="0018330B">
        <w:rPr>
          <w:rStyle w:val="StyleUnderline"/>
          <w:rFonts w:ascii="Calibri" w:hAnsi="Calibri"/>
        </w:rPr>
        <w:t>the idea of state as threat gained traction</w:t>
      </w:r>
      <w:r w:rsidRPr="0018330B">
        <w:rPr>
          <w:rFonts w:ascii="Calibri" w:hAnsi="Calibri"/>
          <w:sz w:val="16"/>
          <w:szCs w:val="22"/>
        </w:rPr>
        <w:t xml:space="preserve">, particularly in the context of fear of atomic war. </w:t>
      </w:r>
      <w:r w:rsidRPr="00A667FE">
        <w:rPr>
          <w:rStyle w:val="Emphasis"/>
          <w:highlight w:val="yellow"/>
        </w:rPr>
        <w:t>Foucault problematizes the state-phobia of liberal as well as left politics, in that they fail to distinguish between administrative state, welfare state, bureaucratic state, fascist state and totalitarian state.</w:t>
      </w:r>
      <w:r w:rsidRPr="0018330B">
        <w:rPr>
          <w:rFonts w:ascii="Calibri" w:hAnsi="Calibri"/>
          <w:sz w:val="16"/>
          <w:szCs w:val="22"/>
        </w:rPr>
        <w:t xml:space="preserve"> He distances himself from such an inflationary form of liberal and left statephobia. In contrast Foucault understands the state as ‘the mobile effect of a regime of multiple governmentalities’ that overlap, but also contradict each other (2008: 77). </w:t>
      </w:r>
    </w:p>
    <w:p w:rsidR="000D0839" w:rsidRPr="0018330B" w:rsidRDefault="000D0839" w:rsidP="000D0839">
      <w:pPr>
        <w:rPr>
          <w:rFonts w:ascii="Calibri" w:hAnsi="Calibri"/>
          <w:sz w:val="16"/>
          <w:szCs w:val="22"/>
        </w:rPr>
      </w:pPr>
      <w:r w:rsidRPr="0018330B">
        <w:rPr>
          <w:rStyle w:val="StyleUnderline"/>
          <w:rFonts w:ascii="Calibri" w:hAnsi="Calibri"/>
        </w:rPr>
        <w:t>This dynamic</w:t>
      </w:r>
      <w:r w:rsidRPr="0018330B">
        <w:rPr>
          <w:rFonts w:ascii="Calibri" w:hAnsi="Calibri"/>
          <w:sz w:val="16"/>
          <w:szCs w:val="22"/>
        </w:rPr>
        <w:t xml:space="preserve"> and ambivalent </w:t>
      </w:r>
      <w:r w:rsidRPr="0018330B">
        <w:rPr>
          <w:rStyle w:val="StyleUnderline"/>
          <w:rFonts w:ascii="Calibri" w:hAnsi="Calibri"/>
        </w:rPr>
        <w:t xml:space="preserve">function of the state is dangerously ignored by scholars like </w:t>
      </w:r>
      <w:r w:rsidRPr="0018330B">
        <w:rPr>
          <w:rStyle w:val="Emphasis"/>
        </w:rPr>
        <w:t>Puar</w:t>
      </w:r>
      <w:r w:rsidRPr="0018330B">
        <w:rPr>
          <w:rFonts w:ascii="Calibri" w:hAnsi="Calibri"/>
          <w:sz w:val="16"/>
          <w:szCs w:val="22"/>
        </w:rPr>
        <w:t xml:space="preserve">, </w:t>
      </w:r>
      <w:r w:rsidRPr="0018330B">
        <w:rPr>
          <w:rStyle w:val="StyleUnderline"/>
          <w:rFonts w:ascii="Calibri" w:hAnsi="Calibri"/>
        </w:rPr>
        <w:t>whose critique of the state gravitates towards state-phobia in that every attempt by queer individuals and groups to negotiate with the state is denounced as homonationalism</w:t>
      </w:r>
      <w:r w:rsidRPr="0018330B">
        <w:rPr>
          <w:rFonts w:ascii="Calibri" w:hAnsi="Calibri"/>
          <w:sz w:val="16"/>
          <w:szCs w:val="22"/>
        </w:rPr>
        <w:t xml:space="preserve">. One must bear in mind that there is a very fine line between critique of the state and statephobia and anti-statism. The latter is marked by a deep distrust of state institutions per se. As Foucault compellingly argues, state-phobia forms a foundational premise for the emergence of neoliberal governmentality and conflates critique of state and critique of domination, with the state being characterized as the origin of all violence. </w:t>
      </w:r>
    </w:p>
    <w:p w:rsidR="000D0839" w:rsidRPr="0018330B" w:rsidRDefault="000D0839" w:rsidP="000D0839">
      <w:pPr>
        <w:rPr>
          <w:rFonts w:ascii="Calibri" w:hAnsi="Calibri"/>
          <w:sz w:val="16"/>
          <w:szCs w:val="22"/>
        </w:rPr>
      </w:pPr>
      <w:r w:rsidRPr="00A667FE">
        <w:rPr>
          <w:rStyle w:val="StyleUnderline"/>
          <w:rFonts w:ascii="Calibri" w:hAnsi="Calibri"/>
          <w:highlight w:val="yellow"/>
        </w:rPr>
        <w:t>The challenge</w:t>
      </w:r>
      <w:r w:rsidRPr="0018330B">
        <w:rPr>
          <w:rStyle w:val="StyleUnderline"/>
          <w:rFonts w:ascii="Calibri" w:hAnsi="Calibri"/>
        </w:rPr>
        <w:t xml:space="preserve"> for postcolonial queer theory </w:t>
      </w:r>
      <w:r w:rsidRPr="00A667FE">
        <w:rPr>
          <w:rStyle w:val="StyleUnderline"/>
          <w:rFonts w:ascii="Calibri" w:hAnsi="Calibri"/>
          <w:highlight w:val="yellow"/>
        </w:rPr>
        <w:t>is to formulate critique of the state</w:t>
      </w:r>
      <w:r w:rsidRPr="0018330B">
        <w:rPr>
          <w:rStyle w:val="StyleUnderline"/>
          <w:rFonts w:ascii="Calibri" w:hAnsi="Calibri"/>
        </w:rPr>
        <w:t xml:space="preserve"> and critique of hegemonic heteronormativity </w:t>
      </w:r>
      <w:r w:rsidRPr="00A667FE">
        <w:rPr>
          <w:rStyle w:val="Emphasis"/>
          <w:highlight w:val="yellow"/>
        </w:rPr>
        <w:t>without reproducing state-phobia</w:t>
      </w:r>
      <w:r w:rsidRPr="0018330B">
        <w:rPr>
          <w:rFonts w:ascii="Calibri" w:hAnsi="Calibri"/>
          <w:sz w:val="16"/>
          <w:szCs w:val="22"/>
        </w:rPr>
        <w:t>. Finally liberal and left state-phobia is informed by a Eurocentrism, in that a particular, specific European experience with fascism is universalized thereby erasing different historical processes of state-formation and state-building in postcolonial contexts</w:t>
      </w:r>
      <w:r w:rsidRPr="00A667FE">
        <w:rPr>
          <w:rFonts w:ascii="Calibri" w:hAnsi="Calibri"/>
          <w:sz w:val="16"/>
          <w:szCs w:val="22"/>
          <w:highlight w:val="yellow"/>
        </w:rPr>
        <w:t xml:space="preserve">. </w:t>
      </w:r>
      <w:r w:rsidRPr="00A667FE">
        <w:rPr>
          <w:rStyle w:val="StyleUnderline"/>
          <w:rFonts w:ascii="Calibri" w:hAnsi="Calibri"/>
          <w:highlight w:val="yellow"/>
        </w:rPr>
        <w:t>Puars critique of US</w:t>
      </w:r>
      <w:r w:rsidRPr="00A667FE">
        <w:rPr>
          <w:rFonts w:ascii="Calibri" w:hAnsi="Calibri"/>
          <w:sz w:val="16"/>
          <w:szCs w:val="22"/>
          <w:highlight w:val="yellow"/>
        </w:rPr>
        <w:t>A</w:t>
      </w:r>
      <w:r w:rsidRPr="0018330B">
        <w:rPr>
          <w:rFonts w:ascii="Calibri" w:hAnsi="Calibri"/>
          <w:sz w:val="16"/>
          <w:szCs w:val="22"/>
        </w:rPr>
        <w:t xml:space="preserve">, Israel and India </w:t>
      </w:r>
      <w:r w:rsidRPr="00A667FE">
        <w:rPr>
          <w:rStyle w:val="Emphasis"/>
          <w:highlight w:val="yellow"/>
        </w:rPr>
        <w:t>homogenizes</w:t>
      </w:r>
      <w:r w:rsidRPr="0018330B">
        <w:rPr>
          <w:rFonts w:ascii="Calibri" w:hAnsi="Calibri"/>
          <w:sz w:val="16"/>
          <w:szCs w:val="22"/>
        </w:rPr>
        <w:t xml:space="preserve"> very </w:t>
      </w:r>
      <w:r w:rsidRPr="0018330B">
        <w:rPr>
          <w:rStyle w:val="StyleUnderline"/>
          <w:rFonts w:ascii="Calibri" w:hAnsi="Calibri"/>
        </w:rPr>
        <w:t xml:space="preserve">diverse </w:t>
      </w:r>
      <w:r w:rsidRPr="00A667FE">
        <w:rPr>
          <w:rStyle w:val="StyleUnderline"/>
          <w:rFonts w:ascii="Calibri" w:hAnsi="Calibri"/>
          <w:highlight w:val="yellow"/>
        </w:rPr>
        <w:t>anti-discrimination policies</w:t>
      </w:r>
      <w:r w:rsidRPr="0018330B">
        <w:rPr>
          <w:rFonts w:ascii="Calibri" w:hAnsi="Calibri"/>
          <w:sz w:val="16"/>
          <w:szCs w:val="22"/>
        </w:rPr>
        <w:t xml:space="preserve"> and laws simply </w:t>
      </w:r>
      <w:r w:rsidRPr="00A667FE">
        <w:rPr>
          <w:rStyle w:val="StyleUnderline"/>
          <w:rFonts w:ascii="Calibri" w:hAnsi="Calibri"/>
          <w:highlight w:val="yellow"/>
        </w:rPr>
        <w:t>as politics of</w:t>
      </w:r>
      <w:r w:rsidRPr="00A667FE">
        <w:rPr>
          <w:rStyle w:val="Emphasis"/>
          <w:highlight w:val="yellow"/>
        </w:rPr>
        <w:t xml:space="preserve"> appeasement</w:t>
      </w:r>
      <w:r w:rsidRPr="00A667FE">
        <w:rPr>
          <w:rFonts w:ascii="Calibri" w:hAnsi="Calibri"/>
          <w:sz w:val="16"/>
          <w:szCs w:val="22"/>
          <w:highlight w:val="yellow"/>
        </w:rPr>
        <w:t xml:space="preserve">. </w:t>
      </w:r>
      <w:r w:rsidRPr="00A667FE">
        <w:rPr>
          <w:rStyle w:val="Emphasis"/>
          <w:highlight w:val="yellow"/>
        </w:rPr>
        <w:t>This approach is risky in its simplicity</w:t>
      </w:r>
      <w:r w:rsidRPr="0018330B">
        <w:rPr>
          <w:rFonts w:ascii="Calibri" w:hAnsi="Calibri"/>
          <w:sz w:val="16"/>
          <w:szCs w:val="22"/>
        </w:rPr>
        <w:t xml:space="preserve">. Interestingly states like Saudi Arabia or Mauritania, where homosexual acts are punishable with death penalty are spared in Puar’s writings. Moreover, she equates the provisional decriminalization of same sex acts in India and invalidation of sodomy laws in USA as examples of homonationalism, discounting the differences between two very different historical and regional contexts. The two legal reforms are a result of complex social and legal struggles that produce ambivalent and diverse effects, which are questionably disregarded. If Europe universalized its norms and epistemologies through colonialism, then decolonization is incomplete without the deuniversalization and provincialization of Euro-American experiences and politics. This would entail a nuanced historical analysis of diverse configurations. In this context the specific German experience with fascism and totalitarianism must not be imposed seamlessly on postcolonial contexts to promote a transnational state-phobic queer politics. This would be disastrous. </w:t>
      </w:r>
    </w:p>
    <w:p w:rsidR="000D0839" w:rsidRPr="0018330B" w:rsidRDefault="000D0839" w:rsidP="000D0839">
      <w:pPr>
        <w:rPr>
          <w:rFonts w:ascii="Calibri" w:hAnsi="Calibri"/>
          <w:sz w:val="2"/>
          <w:szCs w:val="2"/>
        </w:rPr>
      </w:pPr>
      <w:r w:rsidRPr="0018330B">
        <w:rPr>
          <w:rFonts w:ascii="Calibri" w:hAnsi="Calibri"/>
          <w:sz w:val="2"/>
          <w:szCs w:val="2"/>
        </w:rPr>
        <w:t xml:space="preserve">This raises the question: Why is Foucault’s critique of state-phobia disregarded, not just by radical queer politics but even by Foucaultians themselves. Here I claim that this comes from an inconsistency and ambivalence in Foucault’s own position. Foucault diagnoses sexuality as a key zone of government, as a fundamental object of regulation in liberal-capitalist states. Securitization and sexuality, danger and protection, family and nation function as stock phrases of governmental practices. Accordingly when it comes to the issue of legislation of sexuality, one gets a sense of Foucault’s distrust of the state that he otherwise warns others to overcome. To give you a concrete example: In a round-table discussion in 1977, Foucault made the controversial proposal to treat rape like a ‘punch in the face’. Foucault recommends ‘desexualization of rape’ as a strategy against disciplinary power. The sexual definition of rape, he argues, reinforces the genitalization of the body, thereby justifying the disciplinary targeting of sexuality. He provocatively asks why an assault with a penis should be distinguished legally from an assault with any other body part. His aim is to delink desire and crime, sexuality and the law in an attempt to immunize sexuality from becoming target of state intervention. At this point I detect an inconsistency in Foucault’s positions as he shows signs of state-phobia (Dhawan 2013). </w:t>
      </w:r>
    </w:p>
    <w:p w:rsidR="000D0839" w:rsidRPr="0018330B" w:rsidRDefault="000D0839" w:rsidP="000D0839">
      <w:pPr>
        <w:rPr>
          <w:rFonts w:ascii="Calibri" w:hAnsi="Calibri"/>
          <w:sz w:val="2"/>
          <w:szCs w:val="2"/>
        </w:rPr>
      </w:pPr>
      <w:r w:rsidRPr="0018330B">
        <w:rPr>
          <w:rFonts w:ascii="Calibri" w:hAnsi="Calibri"/>
          <w:sz w:val="2"/>
          <w:szCs w:val="2"/>
        </w:rPr>
        <w:t xml:space="preserve">By reclassifying rape from criminal law into a civil offense, punishable by damages, Foucault seeks to immunize sexual acts from state punishment namely, incarceration of the rapists. Modern law, in his view, has the function of discipline, surveillance, and normalization. Through a legal redefinition of the crime, Foucault anticipates a shift in discourse that constructs women as ‘pre-victims’, even as he seeks to protect male sexuality from the disciplinary force of the law. Keeping in mind Foucault’s reflections on governmentality, one could argue that the establishment of women as vulnerable in discourse and policy constitutes them as subjects of government. This rationalizes the regulation of their bodies and mobilities as well as mobilizes paternalistic protection that reinforce processes of gender formation. Foucault advances a powerful case for the desexualization of rape that would place sexuality outside the purview of state intervention. </w:t>
      </w:r>
    </w:p>
    <w:p w:rsidR="000D0839" w:rsidRPr="0018330B" w:rsidRDefault="000D0839" w:rsidP="000D0839">
      <w:pPr>
        <w:rPr>
          <w:rFonts w:ascii="Calibri" w:hAnsi="Calibri"/>
          <w:sz w:val="2"/>
          <w:szCs w:val="2"/>
        </w:rPr>
      </w:pPr>
      <w:r w:rsidRPr="0018330B">
        <w:rPr>
          <w:rFonts w:ascii="Calibri" w:hAnsi="Calibri"/>
          <w:sz w:val="2"/>
          <w:szCs w:val="2"/>
        </w:rPr>
        <w:t xml:space="preserve">Even as one can understand Foucault’s distrust of the judiciary, in his attempt to remove sexuality from legislation, he risks misjudging the role of law. Suggesting a departure from law, would imply parting from many of the structures that protect one from violence and discrimination, that are made possible through state monopoly on violence. In this regard Foucault is just as state-phobic as the neoliberals and anarchists whom he critiques for imagining a good society through a split of the state and civil society. </w:t>
      </w:r>
    </w:p>
    <w:p w:rsidR="000D0839" w:rsidRPr="0018330B" w:rsidRDefault="000D0839" w:rsidP="000D0839">
      <w:pPr>
        <w:rPr>
          <w:rStyle w:val="StyleUnderline"/>
          <w:rFonts w:ascii="Calibri" w:hAnsi="Calibri"/>
        </w:rPr>
      </w:pPr>
      <w:r w:rsidRPr="0018330B">
        <w:rPr>
          <w:rFonts w:ascii="Calibri" w:hAnsi="Calibri"/>
          <w:sz w:val="8"/>
          <w:szCs w:val="8"/>
        </w:rPr>
        <w:t xml:space="preserve">As Foucault himself warns state-phobia is deeply inscribed in liberal and neo-liberal ideas of civil society. The wickedness of the state is juxtaposed against the inherent goodness of civil society, so that the aim is the ‘whithering away of the state’. This anti-state-centric approach to political power, locates radical politics in extra-state space of innovation. This is why Puar and others reject pragmatic politics of same-sex marriage or antidiscrimination legislations. In contrast they support civil society campaigns like pink-watching that increasingly deploy the strategy of surveillance for shaming states into good behavior. </w:t>
      </w:r>
      <w:r w:rsidRPr="0018330B">
        <w:rPr>
          <w:rStyle w:val="StyleUnderline"/>
          <w:rFonts w:ascii="Calibri" w:hAnsi="Calibri"/>
        </w:rPr>
        <w:t xml:space="preserve">Even as one critiques the harnessing of gender and sexuality by neo-liberal capitalism, the rejection of all feministqueer politics oriented towards the state as part of a biopolitical agenda is disingenuous state-phobic rhetoric. </w:t>
      </w:r>
    </w:p>
    <w:p w:rsidR="000D0839" w:rsidRPr="0018330B" w:rsidRDefault="000D0839" w:rsidP="000D0839">
      <w:pPr>
        <w:rPr>
          <w:rStyle w:val="Emphasis"/>
        </w:rPr>
      </w:pPr>
      <w:r w:rsidRPr="00A667FE">
        <w:rPr>
          <w:rStyle w:val="StyleUnderline"/>
          <w:rFonts w:ascii="Calibri" w:hAnsi="Calibri"/>
          <w:highlight w:val="yellow"/>
        </w:rPr>
        <w:t>Postcolonial-queer-feminists are caught in a</w:t>
      </w:r>
      <w:r w:rsidRPr="0018330B">
        <w:rPr>
          <w:rFonts w:ascii="Calibri" w:hAnsi="Calibri"/>
          <w:sz w:val="16"/>
          <w:szCs w:val="16"/>
        </w:rPr>
        <w:t>n a</w:t>
      </w:r>
      <w:r w:rsidRPr="0018330B">
        <w:rPr>
          <w:rFonts w:ascii="Calibri" w:hAnsi="Calibri"/>
          <w:sz w:val="16"/>
          <w:szCs w:val="22"/>
        </w:rPr>
        <w:t xml:space="preserve">mbivalent, </w:t>
      </w:r>
      <w:r w:rsidRPr="00A667FE">
        <w:rPr>
          <w:rStyle w:val="Emphasis"/>
          <w:highlight w:val="yellow"/>
        </w:rPr>
        <w:t>double-bind vis-à-vis the state</w:t>
      </w:r>
      <w:r w:rsidRPr="0018330B">
        <w:rPr>
          <w:rFonts w:ascii="Calibri" w:hAnsi="Calibri"/>
          <w:sz w:val="16"/>
          <w:szCs w:val="22"/>
        </w:rPr>
        <w:t xml:space="preserve">: On the one hand, </w:t>
      </w:r>
      <w:r w:rsidRPr="0018330B">
        <w:rPr>
          <w:rStyle w:val="StyleUnderline"/>
          <w:rFonts w:ascii="Calibri" w:hAnsi="Calibri"/>
        </w:rPr>
        <w:t xml:space="preserve">the state has historically been the source of violence and repression through the criminalization and pathologization </w:t>
      </w:r>
      <w:r w:rsidRPr="0018330B">
        <w:rPr>
          <w:rFonts w:ascii="Calibri" w:hAnsi="Calibri"/>
          <w:sz w:val="16"/>
          <w:szCs w:val="22"/>
        </w:rPr>
        <w:t xml:space="preserve">of non-normative sexual practices. And yet, queer strategies seek to instrumentalize the state to promote sexual justice. </w:t>
      </w:r>
      <w:r w:rsidRPr="0018330B">
        <w:rPr>
          <w:rStyle w:val="StyleUnderline"/>
          <w:rFonts w:ascii="Calibri" w:hAnsi="Calibri"/>
        </w:rPr>
        <w:t xml:space="preserve">Even as the state is known to perpetuate heteronormative ideologies, which are founding myths of nations, the </w:t>
      </w:r>
      <w:r w:rsidRPr="00A667FE">
        <w:rPr>
          <w:rStyle w:val="StyleUnderline"/>
          <w:rFonts w:ascii="Calibri" w:hAnsi="Calibri"/>
          <w:highlight w:val="yellow"/>
        </w:rPr>
        <w:t>hope is that the state can function as a site of redress of gender and sexual inequality</w:t>
      </w:r>
      <w:r w:rsidRPr="00A667FE">
        <w:rPr>
          <w:rFonts w:ascii="Calibri" w:hAnsi="Calibri"/>
          <w:sz w:val="16"/>
          <w:szCs w:val="22"/>
          <w:highlight w:val="yellow"/>
        </w:rPr>
        <w:t>.</w:t>
      </w:r>
      <w:r w:rsidRPr="0018330B">
        <w:rPr>
          <w:rFonts w:ascii="Calibri" w:hAnsi="Calibri"/>
          <w:sz w:val="16"/>
          <w:szCs w:val="22"/>
        </w:rPr>
        <w:t xml:space="preserve"> Despite the problematic track-record with regard to sexual politics of all nation-states, whether European or non-European, </w:t>
      </w:r>
      <w:r w:rsidRPr="00A667FE">
        <w:rPr>
          <w:rStyle w:val="Emphasis"/>
          <w:highlight w:val="yellow"/>
        </w:rPr>
        <w:t>it</w:t>
      </w:r>
      <w:r w:rsidRPr="00A667FE">
        <w:rPr>
          <w:rFonts w:ascii="Calibri" w:hAnsi="Calibri"/>
          <w:sz w:val="16"/>
          <w:szCs w:val="22"/>
          <w:highlight w:val="yellow"/>
        </w:rPr>
        <w:t xml:space="preserve"> </w:t>
      </w:r>
      <w:r w:rsidRPr="00A667FE">
        <w:rPr>
          <w:rStyle w:val="Emphasis"/>
          <w:highlight w:val="yellow"/>
        </w:rPr>
        <w:t>is dangerous to disregard the immense political implications of state-phobic positions, which are increasingly popular in radical discourses in the West.</w:t>
      </w:r>
      <w:r w:rsidRPr="0018330B">
        <w:rPr>
          <w:rStyle w:val="Emphasis"/>
        </w:rPr>
        <w:t xml:space="preserve"> </w:t>
      </w:r>
    </w:p>
    <w:p w:rsidR="000D0839" w:rsidRPr="0018330B" w:rsidRDefault="000D0839" w:rsidP="000D0839">
      <w:pPr>
        <w:rPr>
          <w:rFonts w:ascii="Calibri" w:hAnsi="Calibri"/>
          <w:sz w:val="16"/>
          <w:szCs w:val="22"/>
        </w:rPr>
      </w:pPr>
      <w:r w:rsidRPr="0018330B">
        <w:rPr>
          <w:rFonts w:ascii="Calibri" w:hAnsi="Calibri"/>
          <w:sz w:val="16"/>
          <w:szCs w:val="22"/>
        </w:rPr>
        <w:t xml:space="preserve">As the recent re-criminalization of homosexuality in Uganda, India and Nigeria demonstrate, negotiations with state are indispensable and imperative for emancipatory queer politics in the global South. This is not a plea for statism; rather, </w:t>
      </w:r>
      <w:r w:rsidRPr="00A667FE">
        <w:rPr>
          <w:rStyle w:val="Emphasis"/>
          <w:highlight w:val="yellow"/>
        </w:rPr>
        <w:t>one must be aware of the dangers of the replacement of state with non-state actors as motors of justice</w:t>
      </w:r>
      <w:r w:rsidRPr="0018330B">
        <w:rPr>
          <w:rFonts w:ascii="Calibri" w:hAnsi="Calibri"/>
          <w:sz w:val="16"/>
          <w:szCs w:val="22"/>
        </w:rPr>
        <w:t xml:space="preserve">. Against this background, </w:t>
      </w:r>
      <w:r w:rsidRPr="0018330B">
        <w:rPr>
          <w:rStyle w:val="StyleUnderline"/>
          <w:rFonts w:ascii="Calibri" w:hAnsi="Calibri"/>
        </w:rPr>
        <w:t>the recent anti-statist stance within postcolonial queer scholarship is alarming, as it ignores the importance of the state for those citizens who do not have access to transnational counterpublic spheres to address their grievances.</w:t>
      </w:r>
      <w:r w:rsidRPr="0018330B">
        <w:rPr>
          <w:rFonts w:ascii="Calibri" w:hAnsi="Calibri"/>
          <w:sz w:val="16"/>
          <w:szCs w:val="22"/>
        </w:rPr>
        <w:t xml:space="preserve"> </w:t>
      </w:r>
    </w:p>
    <w:p w:rsidR="000D0839" w:rsidRPr="0018330B" w:rsidRDefault="000D0839" w:rsidP="000D0839">
      <w:pPr>
        <w:rPr>
          <w:rFonts w:ascii="Calibri" w:hAnsi="Calibri"/>
          <w:sz w:val="16"/>
          <w:szCs w:val="22"/>
        </w:rPr>
      </w:pPr>
      <w:r w:rsidRPr="00A667FE">
        <w:rPr>
          <w:rStyle w:val="StyleUnderline"/>
          <w:rFonts w:ascii="Calibri" w:hAnsi="Calibri"/>
          <w:highlight w:val="yellow"/>
        </w:rPr>
        <w:t>Decolonization</w:t>
      </w:r>
      <w:r w:rsidRPr="0018330B">
        <w:rPr>
          <w:rFonts w:ascii="Calibri" w:hAnsi="Calibri"/>
          <w:sz w:val="16"/>
          <w:szCs w:val="22"/>
        </w:rPr>
        <w:t xml:space="preserve">, whether in USA, Israel or India, </w:t>
      </w:r>
      <w:r w:rsidRPr="00A667FE">
        <w:rPr>
          <w:rStyle w:val="StyleUnderline"/>
          <w:rFonts w:ascii="Calibri" w:hAnsi="Calibri"/>
          <w:highlight w:val="yellow"/>
        </w:rPr>
        <w:t>cannot be achieved</w:t>
      </w:r>
      <w:r w:rsidRPr="0018330B">
        <w:rPr>
          <w:rStyle w:val="StyleUnderline"/>
          <w:rFonts w:ascii="Calibri" w:hAnsi="Calibri"/>
        </w:rPr>
        <w:t xml:space="preserve"> merely </w:t>
      </w:r>
      <w:r w:rsidRPr="00A667FE">
        <w:rPr>
          <w:rStyle w:val="StyleUnderline"/>
          <w:rFonts w:ascii="Calibri" w:hAnsi="Calibri"/>
          <w:highlight w:val="yellow"/>
        </w:rPr>
        <w:t>through</w:t>
      </w:r>
      <w:r w:rsidRPr="0018330B">
        <w:rPr>
          <w:rStyle w:val="StyleUnderline"/>
          <w:rFonts w:ascii="Calibri" w:hAnsi="Calibri"/>
        </w:rPr>
        <w:t xml:space="preserve"> a strategy of </w:t>
      </w:r>
      <w:r w:rsidRPr="00A667FE">
        <w:rPr>
          <w:rStyle w:val="Emphasis"/>
          <w:highlight w:val="yellow"/>
        </w:rPr>
        <w:t>shaming the state.</w:t>
      </w:r>
      <w:r w:rsidRPr="0018330B">
        <w:rPr>
          <w:rFonts w:ascii="Calibri" w:hAnsi="Calibri"/>
          <w:sz w:val="16"/>
          <w:szCs w:val="22"/>
        </w:rPr>
        <w:t xml:space="preserve"> Rather in the GramscianSpivakian sense, </w:t>
      </w:r>
      <w:r w:rsidRPr="0018330B">
        <w:rPr>
          <w:rStyle w:val="StyleUnderline"/>
          <w:rFonts w:ascii="Calibri" w:hAnsi="Calibri"/>
        </w:rPr>
        <w:t>it is imperative to enable vulnerable disenfranchised individuals and groups to access the state</w:t>
      </w:r>
      <w:r w:rsidRPr="0018330B">
        <w:rPr>
          <w:rFonts w:ascii="Calibri" w:hAnsi="Calibri"/>
          <w:sz w:val="16"/>
          <w:szCs w:val="22"/>
        </w:rPr>
        <w:t xml:space="preserve"> (Dhawan 2013). Accordingly, instead of a for or against position vis-à-vis the state, </w:t>
      </w:r>
      <w:r w:rsidRPr="00A667FE">
        <w:rPr>
          <w:rStyle w:val="StyleUnderline"/>
          <w:rFonts w:ascii="Calibri" w:hAnsi="Calibri"/>
          <w:highlight w:val="yellow"/>
        </w:rPr>
        <w:t xml:space="preserve">the more challenging question is how to </w:t>
      </w:r>
      <w:r w:rsidRPr="00A667FE">
        <w:rPr>
          <w:rStyle w:val="Emphasis"/>
          <w:highlight w:val="yellow"/>
        </w:rPr>
        <w:t>reconfigure the state</w:t>
      </w:r>
      <w:r w:rsidRPr="0018330B">
        <w:rPr>
          <w:rStyle w:val="StyleUnderline"/>
          <w:rFonts w:ascii="Calibri" w:hAnsi="Calibri"/>
        </w:rPr>
        <w:t>,</w:t>
      </w:r>
      <w:r w:rsidRPr="0018330B">
        <w:rPr>
          <w:rFonts w:ascii="Calibri" w:hAnsi="Calibri"/>
          <w:sz w:val="16"/>
          <w:szCs w:val="22"/>
        </w:rPr>
        <w:t xml:space="preserv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In postcolonial contexts, the state is like a pharmakon, namely, both poison and medicine. Postcolonial queer politics must explore strategies of converting poison into counterpoison (Spivak 2007: 71). </w:t>
      </w:r>
    </w:p>
    <w:p w:rsidR="000D0839" w:rsidRPr="0018330B" w:rsidRDefault="000D0839" w:rsidP="000D0839">
      <w:pPr>
        <w:rPr>
          <w:rStyle w:val="Emphasis"/>
        </w:rPr>
      </w:pPr>
      <w:r w:rsidRPr="0018330B">
        <w:rPr>
          <w:rFonts w:ascii="Calibri" w:hAnsi="Calibri"/>
          <w:sz w:val="16"/>
          <w:szCs w:val="22"/>
        </w:rPr>
        <w:t xml:space="preserve">Herein the ambivalent function of the state must be addressed. As Pharmakon, the </w:t>
      </w:r>
      <w:r w:rsidRPr="0018330B">
        <w:rPr>
          <w:rStyle w:val="StyleUnderline"/>
          <w:rFonts w:ascii="Calibri" w:hAnsi="Calibri"/>
        </w:rPr>
        <w:t>inherent condradictions must be engaged with: Violence and justice, ideology and emancipation, law and discipline.</w:t>
      </w:r>
      <w:r w:rsidRPr="0018330B">
        <w:rPr>
          <w:rFonts w:ascii="Calibri" w:hAnsi="Calibri"/>
          <w:sz w:val="16"/>
          <w:szCs w:val="22"/>
        </w:rPr>
        <w:t xml:space="preserve"> If, following Foucault, the state has no stable essence, then it is marked by undecidability or doubleness. The sole focus on the negative aspects of the Pharmakon, namely the destructive and repressive traits, neutralizes and ignores the enabling and empowering aspects. </w:t>
      </w:r>
      <w:r w:rsidRPr="00A667FE">
        <w:rPr>
          <w:rStyle w:val="StyleUnderline"/>
          <w:rFonts w:ascii="Calibri" w:hAnsi="Calibri"/>
          <w:highlight w:val="yellow"/>
        </w:rPr>
        <w:t>Thus postcolonial-queer-feminist politics must transform poison into remedy and formulate critique of the state beyond state-phobia.</w:t>
      </w:r>
      <w:r w:rsidRPr="00A667FE">
        <w:rPr>
          <w:rFonts w:ascii="Calibri" w:hAnsi="Calibri"/>
          <w:sz w:val="16"/>
          <w:szCs w:val="22"/>
          <w:highlight w:val="yellow"/>
        </w:rPr>
        <w:t xml:space="preserve"> </w:t>
      </w:r>
      <w:r w:rsidRPr="00A667FE">
        <w:rPr>
          <w:rStyle w:val="Emphasis"/>
          <w:highlight w:val="yellow"/>
        </w:rPr>
        <w:t>A challenging task, but anything else would be too risky!</w:t>
      </w:r>
    </w:p>
    <w:p w:rsidR="000D0839" w:rsidRPr="0018330B" w:rsidRDefault="000D0839" w:rsidP="000D0839">
      <w:pPr>
        <w:pStyle w:val="Heading3"/>
      </w:pPr>
      <w:r w:rsidRPr="0018330B">
        <w:t>Puar = Eurocentric</w:t>
      </w:r>
    </w:p>
    <w:p w:rsidR="000D0839" w:rsidRPr="0018330B" w:rsidRDefault="000D0839" w:rsidP="000D0839">
      <w:pPr>
        <w:pStyle w:val="Heading4"/>
      </w:pPr>
      <w:r w:rsidRPr="0018330B">
        <w:rPr>
          <w:i/>
          <w:u w:val="single"/>
        </w:rPr>
        <w:t>Conflation DA</w:t>
      </w:r>
      <w:r w:rsidRPr="0018330B">
        <w:t xml:space="preserve"> – they sacrifice queer and racialized lives in the Global South by conflating intimate violence. </w:t>
      </w:r>
    </w:p>
    <w:p w:rsidR="000D0839" w:rsidRPr="0018330B" w:rsidRDefault="000D0839" w:rsidP="000D0839">
      <w:pPr>
        <w:rPr>
          <w:rFonts w:ascii="Calibri" w:hAnsi="Calibri"/>
        </w:rPr>
      </w:pPr>
      <w:r w:rsidRPr="0018330B">
        <w:rPr>
          <w:rStyle w:val="Style13ptBold"/>
          <w:rFonts w:ascii="Calibri" w:hAnsi="Calibri"/>
        </w:rPr>
        <w:t>Dhawan 15</w:t>
      </w:r>
      <w:r w:rsidRPr="0018330B">
        <w:rPr>
          <w:rFonts w:ascii="Calibri" w:hAnsi="Calibri"/>
        </w:rPr>
        <w:t xml:space="preserve"> – (Nikita, Professor of Political Science, “Homonationalism and State-Phobia: The Postcolonial Predicament of Queering Modernities,”, </w:t>
      </w:r>
      <w:hyperlink r:id="rId5" w:history="1">
        <w:r w:rsidRPr="0018330B">
          <w:rPr>
            <w:rStyle w:val="Hyperlink"/>
            <w:rFonts w:ascii="Calibri" w:hAnsi="Calibri"/>
          </w:rPr>
          <w:t>https://www.academia.edu/15604557/Homonationalism_and_State-phobia_The_Postcolonial_Predicament_of_Queering_Modernities_pre-publication_version_</w:t>
        </w:r>
      </w:hyperlink>
      <w:r w:rsidRPr="0018330B">
        <w:rPr>
          <w:rFonts w:ascii="Calibri" w:hAnsi="Calibri"/>
        </w:rPr>
        <w:t>) kb</w:t>
      </w:r>
    </w:p>
    <w:p w:rsidR="000D0839" w:rsidRPr="0018330B" w:rsidRDefault="000D0839" w:rsidP="000D0839">
      <w:pPr>
        <w:rPr>
          <w:rStyle w:val="Emphasis"/>
        </w:rPr>
      </w:pPr>
      <w:r w:rsidRPr="0018330B">
        <w:rPr>
          <w:rFonts w:ascii="Calibri" w:hAnsi="Calibri"/>
          <w:sz w:val="16"/>
        </w:rPr>
        <w:t xml:space="preserve">In the post-9/11 context, critical scholarship is increasingly focusing on Orientalism, racism, and imperialism, while being relatively silent on the issue of homophobia in minority communities. Furthermore, diasporic communities are not granted any agency, positive or negative, and instead are represented as passively being acted upon by an all-powerful monolithic discourse from above. </w:t>
      </w:r>
      <w:r w:rsidRPr="0018330B">
        <w:rPr>
          <w:rStyle w:val="StyleUnderline"/>
          <w:rFonts w:ascii="Calibri" w:hAnsi="Calibri"/>
        </w:rPr>
        <w:t>Given the efforts by queer diasporas to fight racism in mainstream society and heteronormativity in antiracist politics, it is irresponsible to neglect the entanglements of racism and heterosexism by reducing one to being a cause of the other</w:t>
      </w:r>
      <w:r w:rsidRPr="0018330B">
        <w:rPr>
          <w:rFonts w:ascii="Calibri" w:hAnsi="Calibri"/>
          <w:sz w:val="16"/>
        </w:rPr>
        <w:t xml:space="preserve">. Jasbir </w:t>
      </w:r>
      <w:r w:rsidRPr="00CF02A7">
        <w:rPr>
          <w:rStyle w:val="Emphasis"/>
          <w:highlight w:val="yellow"/>
        </w:rPr>
        <w:t>Puar</w:t>
      </w:r>
      <w:r w:rsidRPr="0018330B">
        <w:rPr>
          <w:rFonts w:ascii="Calibri" w:hAnsi="Calibri"/>
          <w:sz w:val="16"/>
        </w:rPr>
        <w:t xml:space="preserve">, for example, </w:t>
      </w:r>
      <w:r w:rsidRPr="00F372BF">
        <w:rPr>
          <w:rStyle w:val="Emphasis"/>
          <w:highlight w:val="yellow"/>
        </w:rPr>
        <w:t>claims that heteronormativity in migrant communities is a result of heterosexist migration politics</w:t>
      </w:r>
      <w:r w:rsidRPr="0018330B">
        <w:rPr>
          <w:rFonts w:ascii="Calibri" w:hAnsi="Calibri"/>
          <w:sz w:val="16"/>
        </w:rPr>
        <w:t xml:space="preserve"> (2007: 148). </w:t>
      </w:r>
      <w:r w:rsidRPr="00F372BF">
        <w:rPr>
          <w:rStyle w:val="Emphasis"/>
          <w:highlight w:val="yellow"/>
        </w:rPr>
        <w:t>While the two issues are related, they cannot be</w:t>
      </w:r>
      <w:r w:rsidRPr="0018330B">
        <w:rPr>
          <w:rStyle w:val="Emphasis"/>
        </w:rPr>
        <w:t xml:space="preserve"> simply </w:t>
      </w:r>
      <w:r w:rsidRPr="00F372BF">
        <w:rPr>
          <w:rStyle w:val="Emphasis"/>
          <w:highlight w:val="yellow"/>
        </w:rPr>
        <w:t>conflated</w:t>
      </w:r>
      <w:r w:rsidRPr="0018330B">
        <w:rPr>
          <w:rStyle w:val="Emphasis"/>
        </w:rPr>
        <w:t>.</w:t>
      </w:r>
    </w:p>
    <w:p w:rsidR="000D0839" w:rsidRPr="0018330B" w:rsidRDefault="000D0839" w:rsidP="000D0839">
      <w:pPr>
        <w:rPr>
          <w:rStyle w:val="StyleUnderline"/>
          <w:rFonts w:ascii="Calibri" w:hAnsi="Calibri"/>
        </w:rPr>
      </w:pPr>
      <w:r w:rsidRPr="0018330B">
        <w:rPr>
          <w:rStyle w:val="StyleUnderline"/>
          <w:rFonts w:ascii="Calibri" w:hAnsi="Calibri"/>
        </w:rPr>
        <w:t>The exclusive focus on the West</w:t>
      </w:r>
      <w:r w:rsidRPr="0018330B">
        <w:rPr>
          <w:rFonts w:ascii="Calibri" w:hAnsi="Calibri"/>
          <w:sz w:val="16"/>
        </w:rPr>
        <w:t xml:space="preserve"> and its forms of domination and violence in the context of queer politics </w:t>
      </w:r>
      <w:r w:rsidRPr="00F372BF">
        <w:rPr>
          <w:rStyle w:val="Emphasis"/>
          <w:highlight w:val="yellow"/>
        </w:rPr>
        <w:t>disregards the heterosexist violence experienced by queers in/from the global South</w:t>
      </w:r>
      <w:r w:rsidRPr="0018330B">
        <w:rPr>
          <w:rStyle w:val="Emphasis"/>
        </w:rPr>
        <w:t>.</w:t>
      </w:r>
      <w:r w:rsidRPr="0018330B">
        <w:rPr>
          <w:rFonts w:ascii="Calibri" w:hAnsi="Calibri"/>
          <w:sz w:val="16"/>
        </w:rPr>
        <w:t xml:space="preserve"> Important work undertaken by queer diasporic scholars unfolds how migrant queers experience discrimination and stigma from both their own communities as well as from mainstream society. Queer migrants are caught between their own communities’ homophobic and misogynist tendencies and the new homeland’s racialized, classed, Orientalist, and heterosexist attitudes and practices. Unfortunately, </w:t>
      </w:r>
      <w:r w:rsidRPr="00F372BF">
        <w:rPr>
          <w:rStyle w:val="StyleUnderline"/>
          <w:rFonts w:ascii="Calibri" w:hAnsi="Calibri"/>
          <w:highlight w:val="yellow"/>
        </w:rPr>
        <w:t>these perspectives have been disregarded in recent discussions of queer racism and imperialism.</w:t>
      </w:r>
    </w:p>
    <w:p w:rsidR="000D0839" w:rsidRPr="0018330B" w:rsidRDefault="000D0839" w:rsidP="000D0839">
      <w:pPr>
        <w:pStyle w:val="Heading4"/>
      </w:pPr>
      <w:r w:rsidRPr="0018330B">
        <w:rPr>
          <w:i/>
          <w:u w:val="single"/>
        </w:rPr>
        <w:t>Anti-complexity DA</w:t>
      </w:r>
      <w:r w:rsidRPr="0018330B">
        <w:t xml:space="preserve"> – the aff’s focus on privileged transnationality is a messy homogenization of Euro-America – that defers progress. </w:t>
      </w:r>
    </w:p>
    <w:p w:rsidR="000D0839" w:rsidRPr="0018330B" w:rsidRDefault="000D0839" w:rsidP="000D0839">
      <w:pPr>
        <w:rPr>
          <w:rStyle w:val="StyleUnderline"/>
          <w:rFonts w:ascii="Calibri" w:hAnsi="Calibri"/>
          <w:sz w:val="24"/>
          <w:u w:val="none"/>
        </w:rPr>
      </w:pPr>
      <w:r w:rsidRPr="0018330B">
        <w:rPr>
          <w:rStyle w:val="Style13ptBold"/>
          <w:rFonts w:ascii="Calibri" w:hAnsi="Calibri"/>
        </w:rPr>
        <w:t>Dhawan 15</w:t>
      </w:r>
      <w:r w:rsidRPr="0018330B">
        <w:rPr>
          <w:rFonts w:ascii="Calibri" w:hAnsi="Calibri"/>
        </w:rPr>
        <w:t xml:space="preserve"> – (Nikita, Professor of Political Science, “Homonationalism and State-Phobia: The Postcolonial Predicament of Queering Modernities,”, </w:t>
      </w:r>
      <w:hyperlink r:id="rId6" w:history="1">
        <w:r w:rsidRPr="0018330B">
          <w:rPr>
            <w:rStyle w:val="Hyperlink"/>
            <w:rFonts w:ascii="Calibri" w:hAnsi="Calibri"/>
          </w:rPr>
          <w:t>https://www.academia.edu/15604557/Homonationalism_and_State-phobia_The_Postcolonial_Predicament_of_Queering_Modernities_pre-publication_version_</w:t>
        </w:r>
      </w:hyperlink>
      <w:r w:rsidRPr="0018330B">
        <w:rPr>
          <w:rFonts w:ascii="Calibri" w:hAnsi="Calibri"/>
        </w:rPr>
        <w:t>) kb</w:t>
      </w:r>
    </w:p>
    <w:p w:rsidR="000D0839" w:rsidRPr="0018330B" w:rsidRDefault="000D0839" w:rsidP="000D0839">
      <w:pPr>
        <w:rPr>
          <w:rStyle w:val="StyleUnderline"/>
          <w:rFonts w:ascii="Calibri" w:hAnsi="Calibri"/>
          <w:sz w:val="16"/>
          <w:u w:val="none"/>
        </w:rPr>
      </w:pPr>
      <w:r w:rsidRPr="0018330B">
        <w:rPr>
          <w:rStyle w:val="StyleUnderline"/>
          <w:rFonts w:ascii="Calibri" w:hAnsi="Calibri"/>
          <w:sz w:val="16"/>
          <w:u w:val="none"/>
        </w:rPr>
        <w:t xml:space="preserve">In contrast to Massad, </w:t>
      </w:r>
      <w:r w:rsidRPr="0018330B">
        <w:rPr>
          <w:rStyle w:val="StyleUnderline"/>
          <w:rFonts w:ascii="Calibri" w:hAnsi="Calibri"/>
        </w:rPr>
        <w:t>Puar</w:t>
      </w:r>
      <w:r w:rsidRPr="0018330B">
        <w:rPr>
          <w:rStyle w:val="StyleUnderline"/>
          <w:rFonts w:ascii="Calibri" w:hAnsi="Calibri"/>
          <w:sz w:val="16"/>
          <w:u w:val="none"/>
        </w:rPr>
        <w:t xml:space="preserve"> for instance </w:t>
      </w:r>
      <w:r w:rsidRPr="0018330B">
        <w:rPr>
          <w:rStyle w:val="StyleUnderline"/>
          <w:rFonts w:ascii="Calibri" w:hAnsi="Calibri"/>
        </w:rPr>
        <w:t>views (diasporic) queers of color as primary ‘targets’ of homonationalism</w:t>
      </w:r>
      <w:r w:rsidRPr="0018330B">
        <w:rPr>
          <w:rStyle w:val="StyleUnderline"/>
          <w:rFonts w:ascii="Calibri" w:hAnsi="Calibri"/>
          <w:sz w:val="16"/>
          <w:u w:val="none"/>
        </w:rPr>
        <w:t xml:space="preserve"> (Puar 2007). However, </w:t>
      </w:r>
      <w:r w:rsidRPr="00F372BF">
        <w:rPr>
          <w:rStyle w:val="StyleUnderline"/>
          <w:rFonts w:ascii="Calibri" w:hAnsi="Calibri"/>
          <w:sz w:val="16"/>
          <w:highlight w:val="yellow"/>
          <w:u w:val="none"/>
        </w:rPr>
        <w:t>t</w:t>
      </w:r>
      <w:r w:rsidRPr="00F372BF">
        <w:rPr>
          <w:rStyle w:val="StyleUnderline"/>
          <w:rFonts w:ascii="Calibri" w:hAnsi="Calibri"/>
          <w:highlight w:val="yellow"/>
        </w:rPr>
        <w:t>he representation of (diasporic) queers of color as simply ‘victims’ of queer imperialism</w:t>
      </w:r>
      <w:r w:rsidRPr="00F372BF">
        <w:rPr>
          <w:rStyle w:val="StyleUnderline"/>
          <w:rFonts w:ascii="Calibri" w:hAnsi="Calibri"/>
          <w:sz w:val="16"/>
          <w:highlight w:val="yellow"/>
          <w:u w:val="none"/>
        </w:rPr>
        <w:t xml:space="preserve"> </w:t>
      </w:r>
      <w:r w:rsidRPr="00F372BF">
        <w:rPr>
          <w:rStyle w:val="Emphasis"/>
          <w:highlight w:val="yellow"/>
        </w:rPr>
        <w:t>masks their location on the privileged side of transnationality and entails a disavowal of the messy complicity of postcolonial diasporic subjects in neocolonial structures</w:t>
      </w:r>
      <w:r w:rsidRPr="0018330B">
        <w:rPr>
          <w:rStyle w:val="Emphasis"/>
        </w:rPr>
        <w:t>.</w:t>
      </w:r>
      <w:r w:rsidRPr="0018330B">
        <w:rPr>
          <w:rStyle w:val="StyleUnderline"/>
          <w:rFonts w:ascii="Calibri" w:hAnsi="Calibri"/>
          <w:sz w:val="16"/>
          <w:u w:val="none"/>
        </w:rPr>
        <w:t xml:space="preserve"> Furthermore</w:t>
      </w:r>
      <w:r w:rsidRPr="0018330B">
        <w:rPr>
          <w:rStyle w:val="StyleUnderline"/>
          <w:rFonts w:ascii="Calibri" w:hAnsi="Calibri"/>
        </w:rPr>
        <w:t>, Puar sees gay marriage as ‘a demand for reinstatement of white privileges and rights’</w:t>
      </w:r>
      <w:r w:rsidRPr="0018330B">
        <w:rPr>
          <w:rStyle w:val="StyleUnderline"/>
          <w:rFonts w:ascii="Calibri" w:hAnsi="Calibri"/>
          <w:sz w:val="16"/>
          <w:u w:val="none"/>
        </w:rPr>
        <w:t xml:space="preserve"> (2007: 29) as well as ‘attendant citizenship privileges’ (ibid: 30). </w:t>
      </w:r>
      <w:r w:rsidRPr="00F372BF">
        <w:rPr>
          <w:rStyle w:val="Emphasis"/>
          <w:highlight w:val="yellow"/>
        </w:rPr>
        <w:t>She</w:t>
      </w:r>
      <w:r w:rsidRPr="0018330B">
        <w:rPr>
          <w:rStyle w:val="Emphasis"/>
        </w:rPr>
        <w:t xml:space="preserve">, of course, </w:t>
      </w:r>
      <w:r w:rsidRPr="00F372BF">
        <w:rPr>
          <w:rStyle w:val="Emphasis"/>
          <w:highlight w:val="yellow"/>
        </w:rPr>
        <w:t>only focuses on Euro-Americ</w:t>
      </w:r>
      <w:r w:rsidRPr="0018330B">
        <w:rPr>
          <w:rStyle w:val="Emphasis"/>
        </w:rPr>
        <w:t>a</w:t>
      </w:r>
      <w:r w:rsidRPr="0018330B">
        <w:rPr>
          <w:rStyle w:val="StyleUnderline"/>
          <w:rFonts w:ascii="Calibri" w:hAnsi="Calibri"/>
          <w:sz w:val="16"/>
          <w:u w:val="none"/>
        </w:rPr>
        <w:t xml:space="preserve"> (ibid: 20) </w:t>
      </w:r>
      <w:r w:rsidRPr="00F372BF">
        <w:rPr>
          <w:rStyle w:val="StyleUnderline"/>
          <w:rFonts w:ascii="Calibri" w:hAnsi="Calibri"/>
          <w:highlight w:val="yellow"/>
        </w:rPr>
        <w:t xml:space="preserve">and does not once mention </w:t>
      </w:r>
      <w:r w:rsidRPr="00F372BF">
        <w:rPr>
          <w:rStyle w:val="Emphasis"/>
          <w:highlight w:val="yellow"/>
        </w:rPr>
        <w:t>the</w:t>
      </w:r>
      <w:r w:rsidRPr="0018330B">
        <w:rPr>
          <w:rStyle w:val="Emphasis"/>
        </w:rPr>
        <w:t xml:space="preserve"> </w:t>
      </w:r>
      <w:r w:rsidRPr="0018330B">
        <w:rPr>
          <w:rFonts w:ascii="Calibri" w:hAnsi="Calibri"/>
          <w:sz w:val="16"/>
        </w:rPr>
        <w:t>South</w:t>
      </w:r>
      <w:r w:rsidRPr="0018330B">
        <w:rPr>
          <w:rStyle w:val="Emphasis"/>
        </w:rPr>
        <w:t xml:space="preserve"> </w:t>
      </w:r>
      <w:r w:rsidRPr="00F372BF">
        <w:rPr>
          <w:rStyle w:val="Emphasis"/>
          <w:highlight w:val="yellow"/>
        </w:rPr>
        <w:t>African case</w:t>
      </w:r>
      <w:r w:rsidRPr="0018330B">
        <w:rPr>
          <w:rStyle w:val="StyleUnderline"/>
          <w:rFonts w:ascii="Calibri" w:hAnsi="Calibri"/>
          <w:sz w:val="16"/>
          <w:u w:val="none"/>
        </w:rPr>
        <w:t xml:space="preserve">, even as her claims prove to contradict ‘ground reality’ in at least some European contexts, for instance, </w:t>
      </w:r>
      <w:r w:rsidRPr="0018330B">
        <w:rPr>
          <w:rStyle w:val="StyleUnderline"/>
          <w:rFonts w:ascii="Calibri" w:hAnsi="Calibri"/>
        </w:rPr>
        <w:t>in the Spanish case, where most same-sex marriages are binational and where queers of color acquire citizenship privileges through marriage.</w:t>
      </w:r>
      <w:r w:rsidRPr="0018330B">
        <w:rPr>
          <w:rStyle w:val="StyleUnderline"/>
          <w:rFonts w:ascii="Calibri" w:hAnsi="Calibri"/>
          <w:sz w:val="16"/>
          <w:u w:val="none"/>
        </w:rPr>
        <w:t xml:space="preserve"> In fact, South Africa does not have a single entry in her book, which is surprising, considering it is a postcolonial country with one of the most progressive constitutions in the world with regard to queer equality, even as there is the growing trend of ‘corrective rapes’ (sometimes under supervision by members of their families or local communities) and violence against black lesbians. </w:t>
      </w:r>
      <w:r w:rsidRPr="0018330B">
        <w:rPr>
          <w:rStyle w:val="StyleUnderline"/>
          <w:rFonts w:ascii="Calibri" w:hAnsi="Calibri"/>
        </w:rPr>
        <w:t xml:space="preserve">With the primary focus on ‘Gay International’ and Western ‘homonationalism,’ </w:t>
      </w:r>
      <w:r w:rsidRPr="00F372BF">
        <w:rPr>
          <w:rStyle w:val="StyleUnderline"/>
          <w:rFonts w:ascii="Calibri" w:hAnsi="Calibri"/>
          <w:highlight w:val="yellow"/>
        </w:rPr>
        <w:t>there is the risk of overlooking the well-funded campaigns in postcolonial countries</w:t>
      </w:r>
      <w:r w:rsidRPr="0018330B">
        <w:rPr>
          <w:rStyle w:val="StyleUnderline"/>
          <w:rFonts w:ascii="Calibri" w:hAnsi="Calibri"/>
        </w:rPr>
        <w:t xml:space="preserve"> by Western ‘profamily’ religious organizations </w:t>
      </w:r>
      <w:r w:rsidRPr="00F372BF">
        <w:rPr>
          <w:rStyle w:val="StyleUnderline"/>
          <w:rFonts w:ascii="Calibri" w:hAnsi="Calibri"/>
          <w:highlight w:val="yellow"/>
        </w:rPr>
        <w:t>to hinder progressive legislation or even to introduce coercive one</w:t>
      </w:r>
      <w:r w:rsidRPr="0018330B">
        <w:rPr>
          <w:rStyle w:val="StyleUnderline"/>
          <w:rFonts w:ascii="Calibri" w:hAnsi="Calibri"/>
        </w:rPr>
        <w:t>s</w:t>
      </w:r>
      <w:r w:rsidRPr="0018330B">
        <w:rPr>
          <w:rStyle w:val="StyleUnderline"/>
          <w:rFonts w:ascii="Calibri" w:hAnsi="Calibri"/>
          <w:sz w:val="16"/>
          <w:u w:val="none"/>
        </w:rPr>
        <w:t>. The (</w:t>
      </w:r>
      <w:r w:rsidRPr="0018330B">
        <w:rPr>
          <w:rStyle w:val="StyleUnderline"/>
          <w:rFonts w:ascii="Calibri" w:hAnsi="Calibri"/>
        </w:rPr>
        <w:t>re-)criminalization of homosexuality</w:t>
      </w:r>
      <w:r w:rsidRPr="0018330B">
        <w:rPr>
          <w:rStyle w:val="StyleUnderline"/>
          <w:rFonts w:ascii="Calibri" w:hAnsi="Calibri"/>
          <w:sz w:val="16"/>
          <w:u w:val="none"/>
        </w:rPr>
        <w:t xml:space="preserve"> in Uganda, Nigeria, and India with homophobic sentiments whipped up by foreign evangelical groups, the introduction of American style defense of marriage act in countries like Romania and the 2004 declaration of the Doha international family institute, which brings together Christian and Muslim civil society groups that reinforce normative ideas of family and marriage, </w:t>
      </w:r>
      <w:r w:rsidRPr="00F372BF">
        <w:rPr>
          <w:rStyle w:val="Emphasis"/>
          <w:highlight w:val="yellow"/>
        </w:rPr>
        <w:t>necessitates a more complex, multi-directional politics of critique</w:t>
      </w:r>
      <w:r w:rsidRPr="0018330B">
        <w:rPr>
          <w:rStyle w:val="Emphasis"/>
        </w:rPr>
        <w:t>.</w:t>
      </w:r>
      <w:r w:rsidRPr="0018330B">
        <w:rPr>
          <w:rStyle w:val="StyleUnderline"/>
          <w:rFonts w:ascii="Calibri" w:hAnsi="Calibri"/>
          <w:sz w:val="16"/>
          <w:u w:val="none"/>
        </w:rPr>
        <w:t xml:space="preserve"> Furthermore, sexuality is increasingly becoming a foreign policy issue as demonstrated by the resurrection of cold war rhetoric in reponse to Putin’s sexual politics in lead-up to the 2014 Winter Olympics in Sochi.</w:t>
      </w:r>
    </w:p>
    <w:p w:rsidR="000D0839" w:rsidRPr="0018330B" w:rsidRDefault="000D0839" w:rsidP="000D0839">
      <w:pPr>
        <w:rPr>
          <w:rStyle w:val="Emphasis"/>
        </w:rPr>
      </w:pPr>
      <w:r w:rsidRPr="0018330B">
        <w:rPr>
          <w:rStyle w:val="StyleUnderline"/>
          <w:rFonts w:ascii="Calibri" w:hAnsi="Calibri"/>
          <w:sz w:val="16"/>
          <w:u w:val="none"/>
        </w:rPr>
        <w:t xml:space="preserve">Another interesting issue is that although </w:t>
      </w:r>
      <w:r w:rsidRPr="0018330B">
        <w:rPr>
          <w:rStyle w:val="StyleUnderline"/>
          <w:rFonts w:ascii="Calibri" w:hAnsi="Calibri"/>
        </w:rPr>
        <w:t>Puar focuses on the sexual torture in Abu Ghraib</w:t>
      </w:r>
      <w:r w:rsidRPr="0018330B">
        <w:rPr>
          <w:rStyle w:val="StyleUnderline"/>
          <w:rFonts w:ascii="Calibri" w:hAnsi="Calibri"/>
          <w:sz w:val="16"/>
          <w:u w:val="none"/>
        </w:rPr>
        <w:t xml:space="preserve">, </w:t>
      </w:r>
      <w:r w:rsidRPr="0018330B">
        <w:rPr>
          <w:rStyle w:val="Emphasis"/>
        </w:rPr>
        <w:t>h</w:t>
      </w:r>
      <w:r w:rsidRPr="00F372BF">
        <w:rPr>
          <w:rStyle w:val="Emphasis"/>
          <w:highlight w:val="yellow"/>
        </w:rPr>
        <w:t>er main concern is the racial profiling of nonnormative migrant subjects in the global Nort</w:t>
      </w:r>
      <w:r w:rsidRPr="0018330B">
        <w:rPr>
          <w:rStyle w:val="Emphasis"/>
        </w:rPr>
        <w:t>h</w:t>
      </w:r>
      <w:r w:rsidRPr="0018330B">
        <w:rPr>
          <w:rStyle w:val="StyleUnderline"/>
          <w:rFonts w:ascii="Calibri" w:hAnsi="Calibri"/>
          <w:sz w:val="16"/>
          <w:u w:val="none"/>
        </w:rPr>
        <w:t xml:space="preserve">. Thus, </w:t>
      </w:r>
      <w:r w:rsidRPr="00F372BF">
        <w:rPr>
          <w:rStyle w:val="Emphasis"/>
          <w:highlight w:val="yellow"/>
        </w:rPr>
        <w:t>the Third World falls even more deeply into shadow</w:t>
      </w:r>
      <w:r w:rsidRPr="0018330B">
        <w:rPr>
          <w:rStyle w:val="StyleUnderline"/>
          <w:rFonts w:ascii="Calibri" w:hAnsi="Calibri"/>
          <w:sz w:val="16"/>
          <w:u w:val="none"/>
        </w:rPr>
        <w:t>. A</w:t>
      </w:r>
      <w:r w:rsidRPr="0018330B">
        <w:rPr>
          <w:rStyle w:val="StyleUnderline"/>
          <w:rFonts w:ascii="Calibri" w:hAnsi="Calibri"/>
        </w:rPr>
        <w:t>ntiracist politics in the global North are related to but are not continuous with the processes of decolonization in the global South.</w:t>
      </w:r>
      <w:r w:rsidRPr="0018330B">
        <w:rPr>
          <w:rStyle w:val="StyleUnderline"/>
          <w:rFonts w:ascii="Calibri" w:hAnsi="Calibri"/>
          <w:sz w:val="16"/>
          <w:u w:val="none"/>
        </w:rPr>
        <w:t xml:space="preserve"> In most countries of the global South, queer activists and theorists are struggling for the constitutional recognition of sexual rights, including same-sex marriage, as an important aspect of sexual justice, even as </w:t>
      </w:r>
      <w:r w:rsidRPr="0018330B">
        <w:rPr>
          <w:rStyle w:val="StyleUnderline"/>
          <w:rFonts w:ascii="Calibri" w:hAnsi="Calibri"/>
        </w:rPr>
        <w:t>these rights are rejected by radical queer theorists, mostly located in the global North, as politics of appeasement</w:t>
      </w:r>
      <w:r w:rsidRPr="0018330B">
        <w:rPr>
          <w:rStyle w:val="StyleUnderline"/>
          <w:rFonts w:ascii="Calibri" w:hAnsi="Calibri"/>
          <w:sz w:val="16"/>
          <w:u w:val="none"/>
        </w:rPr>
        <w:t xml:space="preserve">. And yet, </w:t>
      </w:r>
      <w:r w:rsidRPr="0018330B">
        <w:rPr>
          <w:rStyle w:val="StyleUnderline"/>
          <w:rFonts w:ascii="Calibri" w:hAnsi="Calibri"/>
        </w:rPr>
        <w:t>even if the law does not guarantee justice, one cannot not want rights.</w:t>
      </w:r>
      <w:r w:rsidRPr="0018330B">
        <w:rPr>
          <w:rStyle w:val="StyleUnderline"/>
          <w:rFonts w:ascii="Calibri" w:hAnsi="Calibri"/>
          <w:sz w:val="16"/>
          <w:u w:val="none"/>
        </w:rPr>
        <w:t xml:space="preserve"> Thus, arguments against the legal recognition of nonnormative sexual practices, put forth as being ‘commonplace’ concerns for assimilation in a ‘corrupt mainstream,’ need to historicize and contextualize these struggles, whereby there are no ‘natural’ alliances between queer politics (whether black or white) located in the global North and in the global South on the issue of sexual justice. In contrast to victimizing or celebrating queers of color, it is imperative to acknowledge complicities in hegemonic orders, instead of perceiving them as a matter of inconvenience. Taking inspiration from Spivak, </w:t>
      </w:r>
      <w:r w:rsidRPr="0018330B">
        <w:rPr>
          <w:rStyle w:val="StyleUnderline"/>
          <w:rFonts w:ascii="Calibri" w:hAnsi="Calibri"/>
        </w:rPr>
        <w:t xml:space="preserve">I would argue against any romantic models of agency and am skeptical of ‘cheap urban radicalism’ </w:t>
      </w:r>
      <w:r w:rsidRPr="0018330B">
        <w:rPr>
          <w:rStyle w:val="StyleUnderline"/>
          <w:rFonts w:ascii="Calibri" w:hAnsi="Calibri"/>
          <w:sz w:val="16"/>
          <w:u w:val="none"/>
        </w:rPr>
        <w:t xml:space="preserve">(2007: 175) </w:t>
      </w:r>
      <w:r w:rsidRPr="0018330B">
        <w:rPr>
          <w:rStyle w:val="StyleUnderline"/>
          <w:rFonts w:ascii="Calibri" w:hAnsi="Calibri"/>
        </w:rPr>
        <w:t xml:space="preserve">that sells itself as anti-neocolonial resistance. </w:t>
      </w:r>
      <w:r w:rsidRPr="00F372BF">
        <w:rPr>
          <w:rStyle w:val="Emphasis"/>
          <w:highlight w:val="yellow"/>
        </w:rPr>
        <w:t>There is a certain monopolization of agency by those who, with First World citizenships and hard currency, can afford to reject ‘pragmatic’ politics in favor of more ‘radical’ interventions in the face of queer imperialism.</w:t>
      </w:r>
    </w:p>
    <w:p w:rsidR="000D0839" w:rsidRPr="0018330B" w:rsidRDefault="000D0839" w:rsidP="000D0839">
      <w:pPr>
        <w:pStyle w:val="Heading3"/>
        <w:rPr>
          <w:rStyle w:val="Emphasis"/>
          <w:b/>
        </w:rPr>
      </w:pPr>
      <w:r w:rsidRPr="0018330B">
        <w:rPr>
          <w:rStyle w:val="Emphasis"/>
          <w:b/>
        </w:rPr>
        <w:t>AT: Affect</w:t>
      </w:r>
    </w:p>
    <w:p w:rsidR="000D0839" w:rsidRPr="0018330B" w:rsidRDefault="000D0839" w:rsidP="000D0839">
      <w:pPr>
        <w:pStyle w:val="Heading4"/>
      </w:pPr>
      <w:r w:rsidRPr="0018330B">
        <w:t xml:space="preserve">The aff’s usage of Affect theory obscures violence and romanticizes the unknowable.  </w:t>
      </w:r>
    </w:p>
    <w:p w:rsidR="000D0839" w:rsidRPr="0018330B" w:rsidRDefault="000D0839" w:rsidP="000D0839">
      <w:pPr>
        <w:rPr>
          <w:rFonts w:ascii="Calibri" w:hAnsi="Calibri"/>
        </w:rPr>
      </w:pPr>
      <w:r w:rsidRPr="0018330B">
        <w:rPr>
          <w:rStyle w:val="Style13ptBold"/>
          <w:rFonts w:ascii="Calibri" w:hAnsi="Calibri"/>
        </w:rPr>
        <w:t xml:space="preserve">Sherwin 15 </w:t>
      </w:r>
      <w:r w:rsidRPr="0018330B">
        <w:rPr>
          <w:rFonts w:ascii="Calibri" w:hAnsi="Calibri"/>
        </w:rPr>
        <w:t>— (Richard, “Too Late for Thinking: The Curious Quest for Emancipatory Potential in Meaningless Affect and Some Jurisprudential Implications”, October 13, 2015) kb</w:t>
      </w:r>
    </w:p>
    <w:p w:rsidR="000D0839" w:rsidRPr="0018330B" w:rsidRDefault="000D0839" w:rsidP="000D0839">
      <w:pPr>
        <w:rPr>
          <w:rFonts w:ascii="Calibri" w:hAnsi="Calibri"/>
          <w:sz w:val="16"/>
          <w:szCs w:val="22"/>
        </w:rPr>
      </w:pPr>
      <w:r w:rsidRPr="0018330B">
        <w:rPr>
          <w:rFonts w:ascii="Calibri" w:hAnsi="Calibri"/>
          <w:sz w:val="16"/>
          <w:szCs w:val="22"/>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w:t>
      </w:r>
      <w:r w:rsidRPr="0018330B">
        <w:rPr>
          <w:rFonts w:ascii="Calibri" w:hAnsi="Calibri"/>
          <w:sz w:val="16"/>
          <w:szCs w:val="16"/>
        </w:rPr>
        <w:t>Then</w:t>
      </w:r>
      <w:r w:rsidRPr="0018330B">
        <w:rPr>
          <w:rStyle w:val="StyleUnderline"/>
          <w:rFonts w:ascii="Calibri" w:hAnsi="Calibri"/>
        </w:rPr>
        <w:t xml:space="preserve"> </w:t>
      </w:r>
      <w:r w:rsidRPr="00F372BF">
        <w:rPr>
          <w:rStyle w:val="StyleUnderline"/>
          <w:rFonts w:ascii="Calibri" w:hAnsi="Calibri"/>
          <w:highlight w:val="yellow"/>
        </w:rPr>
        <w:t>quantum theory taught us that the universe is indeterminate</w:t>
      </w:r>
      <w:r w:rsidRPr="0018330B">
        <w:rPr>
          <w:rStyle w:val="StyleUnderline"/>
          <w:rFonts w:ascii="Calibri" w:hAnsi="Calibri"/>
        </w:rPr>
        <w:t xml:space="preserve">: subject to uncanny chance operations. </w:t>
      </w:r>
      <w:r w:rsidRPr="00F372BF">
        <w:rPr>
          <w:rStyle w:val="StyleUnderline"/>
          <w:rFonts w:ascii="Calibri" w:hAnsi="Calibri"/>
          <w:highlight w:val="yellow"/>
        </w:rPr>
        <w:t>Affect theory</w:t>
      </w:r>
      <w:r w:rsidRPr="0018330B">
        <w:rPr>
          <w:rFonts w:ascii="Calibri" w:hAnsi="Calibri"/>
          <w:sz w:val="16"/>
          <w:szCs w:val="22"/>
        </w:rPr>
        <w:t xml:space="preserve">, perhaps as an extension of the Darwinian evolutionary account of selective adaptation, </w:t>
      </w:r>
      <w:r w:rsidRPr="00F372BF">
        <w:rPr>
          <w:rStyle w:val="Emphasis"/>
          <w:highlight w:val="yellow"/>
        </w:rPr>
        <w:t>humbles rationalist pretensions further by subordinating mind to material</w:t>
      </w:r>
      <w:r w:rsidRPr="0018330B">
        <w:rPr>
          <w:rFonts w:ascii="Calibri" w:hAnsi="Calibri"/>
          <w:sz w:val="16"/>
          <w:szCs w:val="22"/>
        </w:rPr>
        <w:t xml:space="preserve">, bio-chemical processes. </w:t>
      </w:r>
      <w:r w:rsidRPr="0018330B">
        <w:rPr>
          <w:rStyle w:val="StyleUnderline"/>
          <w:rFonts w:ascii="Calibri" w:hAnsi="Calibri"/>
        </w:rPr>
        <w:t xml:space="preserve">If thinking is always an after-thought, an after-the-fact construction, then </w:t>
      </w:r>
      <w:r w:rsidRPr="0018330B">
        <w:rPr>
          <w:rStyle w:val="Emphasis"/>
        </w:rPr>
        <w:t>w</w:t>
      </w:r>
      <w:r w:rsidRPr="00F372BF">
        <w:rPr>
          <w:rStyle w:val="Emphasis"/>
          <w:highlight w:val="yellow"/>
        </w:rPr>
        <w:t>e can never reliably account for how we’ve actually been affected</w:t>
      </w:r>
      <w:r w:rsidRPr="00F372BF">
        <w:rPr>
          <w:rStyle w:val="StyleUnderline"/>
          <w:rFonts w:ascii="Calibri" w:hAnsi="Calibri"/>
          <w:highlight w:val="yellow"/>
        </w:rPr>
        <w:t xml:space="preserve"> by things and others in the world around us.</w:t>
      </w:r>
    </w:p>
    <w:p w:rsidR="000D0839" w:rsidRPr="0018330B" w:rsidRDefault="000D0839" w:rsidP="000D0839">
      <w:pPr>
        <w:rPr>
          <w:rFonts w:ascii="Calibri" w:hAnsi="Calibri"/>
          <w:sz w:val="16"/>
          <w:szCs w:val="22"/>
        </w:rPr>
      </w:pPr>
      <w:r w:rsidRPr="0018330B">
        <w:rPr>
          <w:rFonts w:ascii="Calibri" w:hAnsi="Calibri"/>
          <w:sz w:val="16"/>
          <w:szCs w:val="22"/>
        </w:rPr>
        <w:t xml:space="preserve">How oppressive never to escape the grip of contingent social constructs. </w:t>
      </w:r>
      <w:r w:rsidRPr="0018330B">
        <w:rPr>
          <w:rStyle w:val="StyleUnderline"/>
          <w:rFonts w:ascii="Calibri" w:hAnsi="Calibri"/>
        </w:rPr>
        <w:t>How depressing, if endless</w:t>
      </w:r>
      <w:r w:rsidRPr="0018330B">
        <w:rPr>
          <w:rFonts w:ascii="Calibri" w:hAnsi="Calibri"/>
          <w:sz w:val="16"/>
          <w:szCs w:val="22"/>
        </w:rPr>
        <w:t xml:space="preserve"> </w:t>
      </w:r>
      <w:r w:rsidRPr="00F372BF">
        <w:rPr>
          <w:rStyle w:val="Emphasis"/>
          <w:highlight w:val="yellow"/>
        </w:rPr>
        <w:t>deconstruction yields only more fragmentation</w:t>
      </w:r>
      <w:r w:rsidRPr="0018330B">
        <w:rPr>
          <w:rStyle w:val="Emphasis"/>
        </w:rPr>
        <w:t>.</w:t>
      </w:r>
      <w:r w:rsidRPr="0018330B">
        <w:rPr>
          <w:rFonts w:ascii="Calibri" w:hAnsi="Calibri"/>
          <w:sz w:val="16"/>
          <w:szCs w:val="22"/>
        </w:rPr>
        <w:t xml:space="preserve"> Surely </w:t>
      </w:r>
      <w:r w:rsidRPr="0018330B">
        <w:rPr>
          <w:rStyle w:val="StyleUnderline"/>
          <w:rFonts w:ascii="Calibri" w:hAnsi="Calibri"/>
        </w:rPr>
        <w:t>something must abide</w:t>
      </w:r>
      <w:r w:rsidRPr="0018330B">
        <w:rPr>
          <w:rFonts w:ascii="Calibri" w:hAnsi="Calibri"/>
          <w:sz w:val="16"/>
          <w:szCs w:val="22"/>
        </w:rPr>
        <w:t>, some Higgs Boson-like elementary particle that can withstand deconstruction’s powerful blows. Is there anything real enough to withstand critique</w:t>
      </w:r>
      <w:r w:rsidRPr="00F372BF">
        <w:rPr>
          <w:rFonts w:ascii="Calibri" w:hAnsi="Calibri"/>
          <w:sz w:val="16"/>
          <w:szCs w:val="22"/>
          <w:highlight w:val="yellow"/>
        </w:rPr>
        <w:t xml:space="preserve">? </w:t>
      </w:r>
      <w:r w:rsidRPr="00F372BF">
        <w:rPr>
          <w:rStyle w:val="Emphasis"/>
          <w:highlight w:val="yellow"/>
        </w:rPr>
        <w:t>Is there any basis left to hope for emancipation from the destabilizing mutability of human fabrication</w:t>
      </w:r>
      <w:r w:rsidRPr="0018330B">
        <w:rPr>
          <w:rFonts w:ascii="Calibri" w:hAnsi="Calibri"/>
          <w:sz w:val="16"/>
          <w:szCs w:val="22"/>
        </w:rPr>
        <w:t>? In Brian Massumi’s view, there is. As he puts it: “The world always already offers degrees of freedom ready for amplification.”22 This takes us to the heart of the vitalist/ liberation impulse, namely: “escape from crystallized power structures.”23</w:t>
      </w:r>
    </w:p>
    <w:p w:rsidR="000D0839" w:rsidRPr="0018330B" w:rsidRDefault="000D0839" w:rsidP="000D0839">
      <w:pPr>
        <w:rPr>
          <w:rFonts w:ascii="Calibri" w:hAnsi="Calibri"/>
          <w:sz w:val="16"/>
          <w:szCs w:val="22"/>
        </w:rPr>
      </w:pPr>
      <w:r w:rsidRPr="0018330B">
        <w:rPr>
          <w:rFonts w:ascii="Calibri" w:hAnsi="Calibri"/>
          <w:sz w:val="16"/>
          <w:szCs w:val="22"/>
        </w:rPr>
        <w:t xml:space="preserve">In Massumi’s writings, </w:t>
      </w:r>
      <w:r w:rsidRPr="00F372BF">
        <w:rPr>
          <w:rStyle w:val="StyleUnderline"/>
          <w:rFonts w:ascii="Calibri" w:hAnsi="Calibri"/>
          <w:highlight w:val="yellow"/>
        </w:rPr>
        <w:t>affect operates as a cipher</w:t>
      </w:r>
      <w:r w:rsidRPr="0018330B">
        <w:rPr>
          <w:rFonts w:ascii="Calibri" w:hAnsi="Calibri"/>
          <w:sz w:val="16"/>
          <w:szCs w:val="22"/>
        </w:rPr>
        <w:t xml:space="preserve"> </w:t>
      </w:r>
      <w:r w:rsidRPr="0018330B">
        <w:rPr>
          <w:rStyle w:val="StyleUnderline"/>
          <w:rFonts w:ascii="Calibri" w:hAnsi="Calibri"/>
        </w:rPr>
        <w:t>– a black box into which he can pack his emancipatory ideal</w:t>
      </w:r>
      <w:r w:rsidRPr="0018330B">
        <w:rPr>
          <w:rFonts w:ascii="Calibri" w:hAnsi="Calibri"/>
          <w:sz w:val="16"/>
          <w:szCs w:val="22"/>
        </w:rPr>
        <w:t xml:space="preserve">.24 (“‘Affect’ is the word I use for ‘hope.’”25) What </w:t>
      </w:r>
      <w:r w:rsidRPr="00F372BF">
        <w:rPr>
          <w:rStyle w:val="StyleUnderline"/>
          <w:rFonts w:ascii="Calibri" w:hAnsi="Calibri"/>
          <w:highlight w:val="yellow"/>
        </w:rPr>
        <w:t>Massumi</w:t>
      </w:r>
      <w:r w:rsidRPr="0018330B">
        <w:rPr>
          <w:rFonts w:ascii="Calibri" w:hAnsi="Calibri"/>
          <w:sz w:val="16"/>
          <w:szCs w:val="22"/>
        </w:rPr>
        <w:t xml:space="preserve"> does not and perhaps </w:t>
      </w:r>
      <w:r w:rsidRPr="0018330B">
        <w:rPr>
          <w:rStyle w:val="StyleUnderline"/>
          <w:rFonts w:ascii="Calibri" w:hAnsi="Calibri"/>
        </w:rPr>
        <w:t>cannot,</w:t>
      </w:r>
      <w:r w:rsidRPr="0018330B">
        <w:rPr>
          <w:rFonts w:ascii="Calibri" w:hAnsi="Calibri"/>
          <w:sz w:val="16"/>
          <w:szCs w:val="22"/>
        </w:rPr>
        <w:t xml:space="preserve"> </w:t>
      </w:r>
      <w:r w:rsidRPr="0018330B">
        <w:rPr>
          <w:rStyle w:val="StyleUnderline"/>
          <w:rFonts w:ascii="Calibri" w:hAnsi="Calibri"/>
        </w:rPr>
        <w:t>or</w:t>
      </w:r>
      <w:r w:rsidRPr="0018330B">
        <w:rPr>
          <w:rFonts w:ascii="Calibri" w:hAnsi="Calibri"/>
          <w:sz w:val="16"/>
          <w:szCs w:val="22"/>
        </w:rPr>
        <w:t xml:space="preserve"> </w:t>
      </w:r>
      <w:r w:rsidRPr="00F372BF">
        <w:rPr>
          <w:rFonts w:ascii="Calibri" w:hAnsi="Calibri"/>
          <w:sz w:val="16"/>
          <w:szCs w:val="22"/>
          <w:highlight w:val="yellow"/>
        </w:rPr>
        <w:t xml:space="preserve">simply </w:t>
      </w:r>
      <w:r w:rsidRPr="00F372BF">
        <w:rPr>
          <w:rStyle w:val="Emphasis"/>
          <w:highlight w:val="yellow"/>
        </w:rPr>
        <w:t>does not care to do is formulate a coherent basis for political judgment</w:t>
      </w:r>
      <w:r w:rsidRPr="0018330B">
        <w:rPr>
          <w:rFonts w:ascii="Calibri" w:hAnsi="Calibri"/>
          <w:sz w:val="16"/>
          <w:szCs w:val="22"/>
        </w:rPr>
        <w:t>. While he at some points expresses a preference for “caring” and “belonging,”26 h</w:t>
      </w:r>
      <w:r w:rsidRPr="0018330B">
        <w:rPr>
          <w:rStyle w:val="StyleUnderline"/>
          <w:rFonts w:ascii="Calibri" w:hAnsi="Calibri"/>
        </w:rPr>
        <w:t xml:space="preserve">e </w:t>
      </w:r>
      <w:r w:rsidRPr="00F372BF">
        <w:rPr>
          <w:rStyle w:val="StyleUnderline"/>
          <w:rFonts w:ascii="Calibri" w:hAnsi="Calibri"/>
          <w:highlight w:val="yellow"/>
        </w:rPr>
        <w:t xml:space="preserve">offers no basis in affect theory for why those forms of behavior are preferable to other perhaps </w:t>
      </w:r>
      <w:r w:rsidRPr="00F372BF">
        <w:rPr>
          <w:rStyle w:val="Emphasis"/>
          <w:highlight w:val="yellow"/>
        </w:rPr>
        <w:t>more intense alternatives</w:t>
      </w:r>
      <w:r w:rsidRPr="0018330B">
        <w:rPr>
          <w:rFonts w:ascii="Calibri" w:hAnsi="Calibri"/>
          <w:sz w:val="16"/>
          <w:szCs w:val="22"/>
        </w:rPr>
        <w:t xml:space="preserve">, such as “anger” and “shock,” which he also embraces.27 </w:t>
      </w:r>
      <w:r w:rsidRPr="0018330B">
        <w:rPr>
          <w:rStyle w:val="StyleUnderline"/>
          <w:rFonts w:ascii="Calibri" w:hAnsi="Calibri"/>
        </w:rPr>
        <w:t>But choices must be made.</w:t>
      </w:r>
      <w:r w:rsidRPr="0018330B">
        <w:rPr>
          <w:rFonts w:ascii="Calibri" w:hAnsi="Calibri"/>
          <w:sz w:val="16"/>
          <w:szCs w:val="22"/>
        </w:rPr>
        <w:t xml:space="preserve"> As Martha Nussbaum has noted, a society that cultivates conditions of anger and disgust, for example, is different from one that promotes empathy, dignity, and love.28</w:t>
      </w:r>
    </w:p>
    <w:p w:rsidR="000D0839" w:rsidRPr="0018330B" w:rsidRDefault="000D0839" w:rsidP="000D0839">
      <w:pPr>
        <w:rPr>
          <w:rFonts w:ascii="Calibri" w:hAnsi="Calibri"/>
          <w:sz w:val="16"/>
          <w:szCs w:val="22"/>
        </w:rPr>
      </w:pPr>
      <w:r w:rsidRPr="0018330B">
        <w:rPr>
          <w:rFonts w:ascii="Calibri" w:hAnsi="Calibri"/>
          <w:sz w:val="16"/>
          <w:szCs w:val="22"/>
        </w:rPr>
        <w:t xml:space="preserve">Massumi is enamored of the anti-structural,29 the spontaneous emergent process that Deleuze called “pure immanence.” But with </w:t>
      </w:r>
      <w:r w:rsidRPr="0018330B">
        <w:rPr>
          <w:rStyle w:val="StyleUnderline"/>
          <w:rFonts w:ascii="Calibri" w:hAnsi="Calibri"/>
        </w:rPr>
        <w:t>affective intensity</w:t>
      </w:r>
      <w:r w:rsidRPr="0018330B">
        <w:rPr>
          <w:rFonts w:ascii="Calibri" w:hAnsi="Calibri"/>
          <w:sz w:val="16"/>
          <w:szCs w:val="22"/>
        </w:rPr>
        <w:t xml:space="preserve"> as his ultimate value30 Massumi </w:t>
      </w:r>
      <w:r w:rsidRPr="0018330B">
        <w:rPr>
          <w:rStyle w:val="StyleUnderline"/>
          <w:rFonts w:ascii="Calibri" w:hAnsi="Calibri"/>
        </w:rPr>
        <w:t>remains trapped in a double bind</w:t>
      </w:r>
      <w:r w:rsidRPr="0018330B">
        <w:rPr>
          <w:rFonts w:ascii="Calibri" w:hAnsi="Calibri"/>
          <w:sz w:val="16"/>
          <w:szCs w:val="22"/>
        </w:rPr>
        <w:t xml:space="preserve">. No critical judgment is forthcoming so long as intensity may be amplified.31 </w:t>
      </w:r>
      <w:r w:rsidRPr="0018330B">
        <w:rPr>
          <w:rStyle w:val="StyleUnderline"/>
          <w:rFonts w:ascii="Calibri" w:hAnsi="Calibri"/>
        </w:rPr>
        <w:t>Because</w:t>
      </w:r>
      <w:r w:rsidRPr="0018330B">
        <w:rPr>
          <w:rFonts w:ascii="Calibri" w:hAnsi="Calibri"/>
          <w:sz w:val="16"/>
          <w:szCs w:val="22"/>
        </w:rPr>
        <w:t xml:space="preserve"> of </w:t>
      </w:r>
      <w:r w:rsidRPr="0018330B">
        <w:rPr>
          <w:rStyle w:val="StyleUnderline"/>
          <w:rFonts w:ascii="Calibri" w:hAnsi="Calibri"/>
        </w:rPr>
        <w:t>this</w:t>
      </w:r>
      <w:r w:rsidRPr="0018330B">
        <w:rPr>
          <w:rFonts w:ascii="Calibri" w:hAnsi="Calibri"/>
          <w:sz w:val="16"/>
          <w:szCs w:val="22"/>
        </w:rPr>
        <w:t xml:space="preserve"> Massumi </w:t>
      </w:r>
      <w:r w:rsidRPr="0018330B">
        <w:rPr>
          <w:rStyle w:val="StyleUnderline"/>
          <w:rFonts w:ascii="Calibri" w:hAnsi="Calibri"/>
        </w:rPr>
        <w:t>cannot</w:t>
      </w:r>
      <w:r w:rsidRPr="0018330B">
        <w:rPr>
          <w:rFonts w:ascii="Calibri" w:hAnsi="Calibri"/>
          <w:sz w:val="16"/>
          <w:szCs w:val="22"/>
        </w:rPr>
        <w:t xml:space="preserve"> coherently </w:t>
      </w:r>
      <w:r w:rsidRPr="0018330B">
        <w:rPr>
          <w:rStyle w:val="StyleUnderline"/>
          <w:rFonts w:ascii="Calibri" w:hAnsi="Calibri"/>
        </w:rPr>
        <w:t>critique manifestly oppressive political structures</w:t>
      </w:r>
      <w:r w:rsidRPr="0018330B">
        <w:rPr>
          <w:rFonts w:ascii="Calibri" w:hAnsi="Calibri"/>
          <w:sz w:val="16"/>
          <w:szCs w:val="22"/>
        </w:rPr>
        <w:t xml:space="preserve"> (such as futurism, Nazism, and other intensity-fueled political regimes). </w:t>
      </w:r>
      <w:r w:rsidRPr="00F372BF">
        <w:rPr>
          <w:rStyle w:val="StyleUnderline"/>
          <w:rFonts w:ascii="Calibri" w:hAnsi="Calibri"/>
          <w:highlight w:val="yellow"/>
        </w:rPr>
        <w:t>How could</w:t>
      </w:r>
      <w:r w:rsidRPr="0018330B">
        <w:rPr>
          <w:rFonts w:ascii="Calibri" w:hAnsi="Calibri"/>
          <w:sz w:val="16"/>
          <w:szCs w:val="22"/>
        </w:rPr>
        <w:t xml:space="preserve"> he if </w:t>
      </w:r>
      <w:r w:rsidRPr="00F372BF">
        <w:rPr>
          <w:rStyle w:val="StyleUnderline"/>
          <w:rFonts w:ascii="Calibri" w:hAnsi="Calibri"/>
          <w:highlight w:val="yellow"/>
        </w:rPr>
        <w:t>the masses</w:t>
      </w:r>
      <w:r w:rsidRPr="0018330B">
        <w:rPr>
          <w:rFonts w:ascii="Calibri" w:hAnsi="Calibri"/>
          <w:sz w:val="16"/>
          <w:szCs w:val="22"/>
        </w:rPr>
        <w:t xml:space="preserve"> have </w:t>
      </w:r>
      <w:r w:rsidRPr="00F372BF">
        <w:rPr>
          <w:rStyle w:val="StyleUnderline"/>
          <w:rFonts w:ascii="Calibri" w:hAnsi="Calibri"/>
          <w:highlight w:val="yellow"/>
        </w:rPr>
        <w:t>opt</w:t>
      </w:r>
      <w:r w:rsidRPr="0018330B">
        <w:rPr>
          <w:rFonts w:ascii="Calibri" w:hAnsi="Calibri"/>
          <w:sz w:val="16"/>
          <w:szCs w:val="22"/>
        </w:rPr>
        <w:t xml:space="preserve">ed </w:t>
      </w:r>
      <w:r w:rsidRPr="00F372BF">
        <w:rPr>
          <w:rStyle w:val="StyleUnderline"/>
          <w:rFonts w:ascii="Calibri" w:hAnsi="Calibri"/>
          <w:highlight w:val="yellow"/>
        </w:rPr>
        <w:t>to</w:t>
      </w:r>
      <w:r w:rsidRPr="00F372BF">
        <w:rPr>
          <w:rStyle w:val="Emphasis"/>
          <w:highlight w:val="yellow"/>
        </w:rPr>
        <w:t xml:space="preserve"> embrace </w:t>
      </w:r>
      <w:r w:rsidRPr="00F372BF">
        <w:rPr>
          <w:rStyle w:val="StyleUnderline"/>
          <w:rFonts w:ascii="Calibri" w:hAnsi="Calibri"/>
          <w:highlight w:val="yellow"/>
        </w:rPr>
        <w:t>such regimes for the intensity they provide</w:t>
      </w:r>
      <w:r w:rsidRPr="0018330B">
        <w:rPr>
          <w:rFonts w:ascii="Calibri" w:hAnsi="Calibri"/>
          <w:sz w:val="16"/>
          <w:szCs w:val="22"/>
        </w:rPr>
        <w:t>?</w:t>
      </w:r>
    </w:p>
    <w:p w:rsidR="000D0839" w:rsidRPr="0018330B" w:rsidRDefault="000D0839" w:rsidP="000D0839">
      <w:pPr>
        <w:rPr>
          <w:rStyle w:val="StyleUnderline"/>
          <w:rFonts w:ascii="Calibri" w:hAnsi="Calibri"/>
        </w:rPr>
      </w:pPr>
      <w:r w:rsidRPr="0018330B">
        <w:rPr>
          <w:rFonts w:ascii="Calibri" w:hAnsi="Calibri"/>
          <w:sz w:val="16"/>
          <w:szCs w:val="22"/>
        </w:rPr>
        <w:t xml:space="preserve">Massumi’s resistance to making judgments is consistent with his theory, which minimizes to the vanishing point the human capacity for choice. For Massumi, the very notions of ‘‘individual will’’ and ‘‘subjective reflection’’ are a fiction. (“There is no individual outside its own trans-individual becoming.”32) </w:t>
      </w:r>
      <w:r w:rsidRPr="0018330B">
        <w:rPr>
          <w:rStyle w:val="StyleUnderline"/>
          <w:rFonts w:ascii="Calibri" w:hAnsi="Calibri"/>
        </w:rPr>
        <w:t>Body is always conditioning mind – presumably without our conscious awareness. In the end, “events decide.”33 What could human freedom mean under such conditions?</w:t>
      </w:r>
    </w:p>
    <w:p w:rsidR="000D0839" w:rsidRPr="0018330B" w:rsidRDefault="000D0839" w:rsidP="000D0839">
      <w:pPr>
        <w:rPr>
          <w:rStyle w:val="StyleUnderline"/>
          <w:rFonts w:ascii="Calibri" w:hAnsi="Calibri"/>
        </w:rPr>
      </w:pPr>
      <w:r w:rsidRPr="0018330B">
        <w:rPr>
          <w:rFonts w:ascii="Calibri" w:hAnsi="Calibri"/>
          <w:sz w:val="16"/>
          <w:szCs w:val="22"/>
        </w:rPr>
        <w:t xml:space="preserve">The upshot is plain: in Massumi’s politics of affect, </w:t>
      </w:r>
      <w:r w:rsidRPr="0018330B">
        <w:rPr>
          <w:rStyle w:val="StyleUnderline"/>
          <w:rFonts w:ascii="Calibri" w:hAnsi="Calibri"/>
        </w:rPr>
        <w:t>human freedom loses its capacity to signify</w:t>
      </w:r>
      <w:r w:rsidRPr="0018330B">
        <w:rPr>
          <w:rFonts w:ascii="Calibri" w:hAnsi="Calibri"/>
          <w:sz w:val="16"/>
          <w:szCs w:val="22"/>
        </w:rPr>
        <w:t xml:space="preserve">. </w:t>
      </w:r>
      <w:r w:rsidRPr="00F372BF">
        <w:rPr>
          <w:rStyle w:val="Emphasis"/>
          <w:highlight w:val="yellow"/>
        </w:rPr>
        <w:t>Choices are a fiction</w:t>
      </w:r>
      <w:r w:rsidRPr="0018330B">
        <w:rPr>
          <w:rFonts w:ascii="Calibri" w:hAnsi="Calibri"/>
          <w:sz w:val="16"/>
          <w:szCs w:val="22"/>
        </w:rPr>
        <w:t xml:space="preserve">, and in any event no apparent normative basis exists for affirming, much less institutionalizing a preferred set of power structures. </w:t>
      </w:r>
      <w:r w:rsidRPr="00F372BF">
        <w:rPr>
          <w:rStyle w:val="Emphasis"/>
          <w:highlight w:val="yellow"/>
        </w:rPr>
        <w:t>Affective intensity lacks structure by definition</w:t>
      </w:r>
      <w:r w:rsidRPr="0018330B">
        <w:rPr>
          <w:rStyle w:val="Emphasis"/>
        </w:rPr>
        <w:t>.</w:t>
      </w:r>
      <w:r w:rsidRPr="0018330B">
        <w:rPr>
          <w:rFonts w:ascii="Calibri" w:hAnsi="Calibri"/>
          <w:sz w:val="16"/>
          <w:szCs w:val="22"/>
        </w:rPr>
        <w:t xml:space="preserve"> Indeed, that is its appeal. (“Intensity is a value in itself.”34) But as Anthony Kronman has eloquently argued, without coherent structures, the legal, political, and cultural conditions necessary for the meaningful exercise of freedom (including political judgment) are unlikely to emerge – and if they do, they are unlikely to be sustainable.35 The latter point is borne out by the very political events that Massumi identifies as exemplary of his theory. If </w:t>
      </w:r>
      <w:r w:rsidRPr="00F372BF">
        <w:rPr>
          <w:rStyle w:val="StyleUnderline"/>
          <w:rFonts w:ascii="Calibri" w:hAnsi="Calibri"/>
          <w:highlight w:val="yellow"/>
        </w:rPr>
        <w:t>the “Arab Spring” and the “Occupy Movement</w:t>
      </w:r>
      <w:r w:rsidRPr="0018330B">
        <w:rPr>
          <w:rStyle w:val="StyleUnderline"/>
          <w:rFonts w:ascii="Calibri" w:hAnsi="Calibri"/>
        </w:rPr>
        <w:t xml:space="preserve">”36 </w:t>
      </w:r>
      <w:r w:rsidRPr="00F372BF">
        <w:rPr>
          <w:rStyle w:val="StyleUnderline"/>
          <w:rFonts w:ascii="Calibri" w:hAnsi="Calibri"/>
          <w:highlight w:val="yellow"/>
        </w:rPr>
        <w:t>illustrate</w:t>
      </w:r>
      <w:r w:rsidRPr="0018330B">
        <w:rPr>
          <w:rStyle w:val="StyleUnderline"/>
          <w:rFonts w:ascii="Calibri" w:hAnsi="Calibri"/>
        </w:rPr>
        <w:t xml:space="preserve"> anything it is </w:t>
      </w:r>
      <w:r w:rsidRPr="00F372BF">
        <w:rPr>
          <w:rStyle w:val="StyleUnderline"/>
          <w:rFonts w:ascii="Calibri" w:hAnsi="Calibri"/>
          <w:highlight w:val="yellow"/>
        </w:rPr>
        <w:t>the effervescence of political action based on spontaneous intensity</w:t>
      </w:r>
      <w:r w:rsidRPr="0018330B">
        <w:rPr>
          <w:rStyle w:val="StyleUnderline"/>
          <w:rFonts w:ascii="Calibri" w:hAnsi="Calibri"/>
        </w:rPr>
        <w:t>. In the absence of adequate political structures, this kind of political action is destined to pass with the next day’s tide.</w:t>
      </w:r>
    </w:p>
    <w:p w:rsidR="000D0839" w:rsidRPr="0018330B" w:rsidRDefault="000D0839" w:rsidP="000D0839">
      <w:pPr>
        <w:rPr>
          <w:rFonts w:ascii="Calibri" w:hAnsi="Calibri"/>
          <w:sz w:val="16"/>
          <w:szCs w:val="16"/>
        </w:rPr>
      </w:pPr>
      <w:r w:rsidRPr="0018330B">
        <w:rPr>
          <w:rFonts w:ascii="Calibri" w:hAnsi="Calibri"/>
          <w:sz w:val="16"/>
          <w:szCs w:val="16"/>
        </w:rPr>
        <w:t>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there is a price to be paid. The radical devaluation of reflective consciousness produces a species of freedom that signifies nothing. Perhaps this is what it is like to embrace a Zeitgeist of “de-humanism.”37</w:t>
      </w:r>
    </w:p>
    <w:p w:rsidR="000D0839" w:rsidRPr="0018330B" w:rsidRDefault="000D0839" w:rsidP="000D0839">
      <w:pPr>
        <w:rPr>
          <w:rFonts w:ascii="Calibri" w:hAnsi="Calibri"/>
          <w:sz w:val="16"/>
          <w:szCs w:val="16"/>
        </w:rPr>
      </w:pPr>
      <w:r w:rsidRPr="0018330B">
        <w:rPr>
          <w:rFonts w:ascii="Calibri" w:hAnsi="Calibri"/>
          <w:sz w:val="16"/>
          <w:szCs w:val="16"/>
        </w:rPr>
        <w:t>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Affect in this sense is “a movement of creative production” that always eludes capture. And this is what conveys a sense of its emancipatory power.39 The intensity of affect liberates us from bondage to contingent cultural entanglement.</w:t>
      </w:r>
    </w:p>
    <w:p w:rsidR="000D0839" w:rsidRPr="0018330B" w:rsidRDefault="000D0839" w:rsidP="000D0839">
      <w:pPr>
        <w:rPr>
          <w:rFonts w:ascii="Calibri" w:hAnsi="Calibri"/>
          <w:sz w:val="16"/>
          <w:szCs w:val="22"/>
        </w:rPr>
      </w:pPr>
      <w:r w:rsidRPr="0018330B">
        <w:rPr>
          <w:rStyle w:val="StyleUnderline"/>
          <w:rFonts w:ascii="Calibri" w:hAnsi="Calibri"/>
        </w:rPr>
        <w:t>Corporeal ontology precedes cultural epistemology</w:t>
      </w:r>
      <w:r w:rsidRPr="0018330B">
        <w:rPr>
          <w:rFonts w:ascii="Calibri" w:hAnsi="Calibri"/>
          <w:sz w:val="16"/>
          <w:szCs w:val="22"/>
        </w:rPr>
        <w:t xml:space="preserve">. This move away from the centrality of cognition marks the demise not only of identity politics, but of identity itself, perhaps even of psychology.40 Simply stated, </w:t>
      </w:r>
      <w:r w:rsidRPr="00F372BF">
        <w:rPr>
          <w:rStyle w:val="StyleUnderline"/>
          <w:rFonts w:ascii="Calibri" w:hAnsi="Calibri"/>
          <w:highlight w:val="yellow"/>
        </w:rPr>
        <w:t>affect theorists</w:t>
      </w:r>
      <w:r w:rsidRPr="0018330B">
        <w:rPr>
          <w:rFonts w:ascii="Calibri" w:hAnsi="Calibri"/>
          <w:sz w:val="16"/>
          <w:szCs w:val="22"/>
        </w:rPr>
        <w:t xml:space="preserve"> like Massumi </w:t>
      </w:r>
      <w:r w:rsidRPr="00F372BF">
        <w:rPr>
          <w:rStyle w:val="Emphasis"/>
          <w:highlight w:val="yellow"/>
        </w:rPr>
        <w:t>romanticize the unknowable “fluid materiality of excitable networks</w:t>
      </w:r>
      <w:r w:rsidRPr="00F372BF">
        <w:rPr>
          <w:rStyle w:val="StyleUnderline"/>
          <w:rFonts w:ascii="Calibri" w:hAnsi="Calibri"/>
          <w:highlight w:val="yellow"/>
        </w:rPr>
        <w:t>” as a way of disrupting familiar social and cultural hierarchies</w:t>
      </w:r>
      <w:r w:rsidRPr="0018330B">
        <w:rPr>
          <w:rFonts w:ascii="Calibri" w:hAnsi="Calibri"/>
          <w:sz w:val="16"/>
          <w:szCs w:val="22"/>
        </w:rPr>
        <w:t xml:space="preserve">.41 In so doing, </w:t>
      </w:r>
      <w:r w:rsidRPr="0018330B">
        <w:rPr>
          <w:rStyle w:val="StyleUnderline"/>
          <w:rFonts w:ascii="Calibri" w:hAnsi="Calibri"/>
        </w:rPr>
        <w:t>they elevate raw process over social and cultural regimentation and subjugation</w:t>
      </w:r>
      <w:r w:rsidRPr="0018330B">
        <w:rPr>
          <w:rFonts w:ascii="Calibri" w:hAnsi="Calibri"/>
          <w:sz w:val="16"/>
          <w:szCs w:val="22"/>
        </w:rPr>
        <w:t>. It is the neurobiological equivalent of Rousseau’s primitive origin of society, an updated version of the Romantics’ myth of enchantment. If only questions about freedom and responsibility for shared values, justice included, could be resolved by so simple an expedient as the vitalist/liberation category shift from human agency to ‘‘trans-individual affective process.’’ Much can be learned about the various forms of political violence that affective intensity has assumed over the course of human history. But one needn’t take the historical path to discern trouble for Massumi’s emancipatory project. One can start with neuroscience itself.42</w:t>
      </w:r>
    </w:p>
    <w:p w:rsidR="000D0839" w:rsidRPr="0018330B" w:rsidRDefault="000D0839" w:rsidP="000D0839">
      <w:pPr>
        <w:pStyle w:val="Heading4"/>
      </w:pPr>
      <w:r w:rsidRPr="0018330B">
        <w:t>Affect fails to change institutions</w:t>
      </w:r>
    </w:p>
    <w:p w:rsidR="000D0839" w:rsidRPr="0018330B" w:rsidRDefault="000D0839" w:rsidP="000D0839">
      <w:pPr>
        <w:rPr>
          <w:rFonts w:ascii="Calibri" w:hAnsi="Calibri"/>
        </w:rPr>
      </w:pPr>
      <w:r w:rsidRPr="0018330B">
        <w:rPr>
          <w:rStyle w:val="Style13ptBold"/>
          <w:rFonts w:ascii="Calibri" w:hAnsi="Calibri"/>
        </w:rPr>
        <w:t xml:space="preserve">Sherwin 15 </w:t>
      </w:r>
      <w:r w:rsidRPr="0018330B">
        <w:rPr>
          <w:rFonts w:ascii="Calibri" w:hAnsi="Calibri"/>
        </w:rPr>
        <w:t>— (Richard, “Too Late for Thinking: The Curious Quest for Emancipatory Potential in Meaningless Affect and Some Jurisprudential Implications”, October 13, 2015) kb</w:t>
      </w:r>
    </w:p>
    <w:p w:rsidR="000D0839" w:rsidRPr="0018330B" w:rsidRDefault="000D0839" w:rsidP="000D0839">
      <w:pPr>
        <w:rPr>
          <w:rFonts w:ascii="Calibri" w:hAnsi="Calibri"/>
          <w:sz w:val="16"/>
        </w:rPr>
      </w:pPr>
      <w:r w:rsidRPr="00F372BF">
        <w:rPr>
          <w:rStyle w:val="StyleUnderline"/>
          <w:rFonts w:ascii="Calibri" w:hAnsi="Calibri"/>
          <w:highlight w:val="yellow"/>
        </w:rPr>
        <w:t>The “affective turn” presents a number of important challenges to law and the humanities</w:t>
      </w:r>
      <w:r w:rsidRPr="0018330B">
        <w:rPr>
          <w:rFonts w:ascii="Calibri" w:hAnsi="Calibri"/>
          <w:sz w:val="16"/>
        </w:rPr>
        <w:t xml:space="preserve">. </w:t>
      </w:r>
      <w:r w:rsidRPr="0018330B">
        <w:rPr>
          <w:rStyle w:val="StyleUnderline"/>
          <w:rFonts w:ascii="Calibri" w:hAnsi="Calibri"/>
        </w:rPr>
        <w:t>One</w:t>
      </w:r>
      <w:r w:rsidRPr="0018330B">
        <w:rPr>
          <w:rFonts w:ascii="Calibri" w:hAnsi="Calibri"/>
          <w:sz w:val="16"/>
        </w:rPr>
        <w:t xml:space="preserve"> such challenge </w:t>
      </w:r>
      <w:r w:rsidRPr="0018330B">
        <w:rPr>
          <w:rStyle w:val="StyleUnderline"/>
          <w:rFonts w:ascii="Calibri" w:hAnsi="Calibri"/>
        </w:rPr>
        <w:t>concerns our ability to resist the temptation to romanticize the inhuman</w:t>
      </w:r>
      <w:r w:rsidRPr="0018330B">
        <w:rPr>
          <w:rFonts w:ascii="Calibri" w:hAnsi="Calibri"/>
          <w:sz w:val="16"/>
        </w:rPr>
        <w:t xml:space="preserve">. </w:t>
      </w:r>
      <w:r w:rsidRPr="00F372BF">
        <w:rPr>
          <w:rStyle w:val="StyleUnderline"/>
          <w:rFonts w:ascii="Calibri" w:hAnsi="Calibri"/>
          <w:highlight w:val="yellow"/>
        </w:rPr>
        <w:t>Theorists</w:t>
      </w:r>
      <w:r w:rsidRPr="0018330B">
        <w:rPr>
          <w:rFonts w:ascii="Calibri" w:hAnsi="Calibri"/>
          <w:sz w:val="16"/>
        </w:rPr>
        <w:t xml:space="preserve"> from Nietzsche to Massumi </w:t>
      </w:r>
      <w:r w:rsidRPr="00F372BF">
        <w:rPr>
          <w:rStyle w:val="StyleUnderline"/>
          <w:rFonts w:ascii="Calibri" w:hAnsi="Calibri"/>
          <w:highlight w:val="yellow"/>
        </w:rPr>
        <w:t>have been</w:t>
      </w:r>
      <w:r w:rsidRPr="0018330B">
        <w:rPr>
          <w:rFonts w:ascii="Calibri" w:hAnsi="Calibri"/>
          <w:sz w:val="16"/>
        </w:rPr>
        <w:t xml:space="preserve"> so </w:t>
      </w:r>
      <w:r w:rsidRPr="00F372BF">
        <w:rPr>
          <w:rStyle w:val="Emphasis"/>
          <w:highlight w:val="yellow"/>
        </w:rPr>
        <w:t>taken by the emancipatory promise of affective intensity that they risk relinquishing responsibility for freedom’s necessary social, political, and legal pre-conditions.</w:t>
      </w:r>
    </w:p>
    <w:p w:rsidR="000D0839" w:rsidRPr="0018330B" w:rsidRDefault="000D0839" w:rsidP="000D0839">
      <w:pPr>
        <w:rPr>
          <w:rStyle w:val="StyleUnderline"/>
          <w:rFonts w:ascii="Calibri" w:hAnsi="Calibri"/>
        </w:rPr>
      </w:pPr>
      <w:r w:rsidRPr="0018330B">
        <w:rPr>
          <w:rStyle w:val="StyleUnderline"/>
          <w:rFonts w:ascii="Calibri" w:hAnsi="Calibri"/>
        </w:rPr>
        <w:t>The defense of freedom in a resilient democratic society requires informed choice as well as prudent deliberation in the decision-making process.</w:t>
      </w:r>
      <w:r w:rsidRPr="0018330B">
        <w:rPr>
          <w:rFonts w:ascii="Calibri" w:hAnsi="Calibri"/>
          <w:sz w:val="16"/>
        </w:rPr>
        <w:t xml:space="preserve"> Democracy cannot flourish as a non-cognitive phenomenon. </w:t>
      </w:r>
      <w:r w:rsidRPr="00F372BF">
        <w:rPr>
          <w:rStyle w:val="Emphasis"/>
          <w:highlight w:val="yellow"/>
        </w:rPr>
        <w:t>Forgoing self-reflexive moral judgment and debate invites all manner of affective intensities</w:t>
      </w:r>
      <w:r w:rsidRPr="0018330B">
        <w:rPr>
          <w:rStyle w:val="Emphasis"/>
        </w:rPr>
        <w:t>.</w:t>
      </w:r>
      <w:r w:rsidRPr="0018330B">
        <w:rPr>
          <w:rFonts w:ascii="Calibri" w:hAnsi="Calibri"/>
          <w:sz w:val="16"/>
        </w:rPr>
        <w:t xml:space="preserve"> Futurism’s romantic obsession with the affective intensity of war, Mussolini’s fascist appeal to the cult of charismatic personality, and Hitler’s hate-fueled vision of racial dominance exemplify (as have other social and political movements before them) </w:t>
      </w:r>
      <w:r w:rsidRPr="0018330B">
        <w:rPr>
          <w:rStyle w:val="StyleUnderline"/>
          <w:rFonts w:ascii="Calibri" w:hAnsi="Calibri"/>
        </w:rPr>
        <w:t>the dynamics and consequences of political discourse driven by unthinking affective intensity.</w:t>
      </w:r>
    </w:p>
    <w:p w:rsidR="000D0839" w:rsidRPr="0018330B" w:rsidRDefault="000D0839" w:rsidP="000D0839">
      <w:pPr>
        <w:rPr>
          <w:rStyle w:val="StyleUnderline"/>
          <w:rFonts w:ascii="Calibri" w:hAnsi="Calibri"/>
        </w:rPr>
      </w:pPr>
      <w:r w:rsidRPr="0018330B">
        <w:rPr>
          <w:rFonts w:ascii="Calibri" w:hAnsi="Calibri"/>
          <w:sz w:val="16"/>
        </w:rPr>
        <w:t xml:space="preserve">Law’s humanity requires clarity in the decisions we make as well as in the choices we forgo. </w:t>
      </w:r>
      <w:r w:rsidRPr="00F372BF">
        <w:rPr>
          <w:rStyle w:val="Emphasis"/>
          <w:highlight w:val="yellow"/>
        </w:rPr>
        <w:t>This includes the capacity to consider who we become as individuals</w:t>
      </w:r>
      <w:r w:rsidRPr="00F372BF">
        <w:rPr>
          <w:rStyle w:val="StyleUnderline"/>
          <w:rFonts w:ascii="Calibri" w:hAnsi="Calibri"/>
          <w:highlight w:val="yellow"/>
        </w:rPr>
        <w:t xml:space="preserve"> and as a society when we choose one narrative</w:t>
      </w:r>
      <w:r w:rsidRPr="0018330B">
        <w:rPr>
          <w:rStyle w:val="StyleUnderline"/>
          <w:rFonts w:ascii="Calibri" w:hAnsi="Calibri"/>
        </w:rPr>
        <w:t xml:space="preserve">, rooted in one set of affective intensities, </w:t>
      </w:r>
      <w:r w:rsidRPr="00F372BF">
        <w:rPr>
          <w:rStyle w:val="StyleUnderline"/>
          <w:rFonts w:ascii="Calibri" w:hAnsi="Calibri"/>
          <w:highlight w:val="yellow"/>
        </w:rPr>
        <w:t>as opposed to another</w:t>
      </w:r>
      <w:r w:rsidRPr="0018330B">
        <w:rPr>
          <w:rStyle w:val="StyleUnderline"/>
          <w:rFonts w:ascii="Calibri" w:hAnsi="Calibri"/>
        </w:rPr>
        <w:t>.</w:t>
      </w:r>
    </w:p>
    <w:p w:rsidR="000D0839" w:rsidRPr="0018330B" w:rsidRDefault="000D0839" w:rsidP="000D0839">
      <w:pPr>
        <w:rPr>
          <w:rStyle w:val="Emphasis"/>
        </w:rPr>
      </w:pPr>
      <w:r w:rsidRPr="0018330B">
        <w:rPr>
          <w:rStyle w:val="StyleUnderline"/>
          <w:rFonts w:ascii="Calibri" w:hAnsi="Calibri"/>
        </w:rPr>
        <w:t>Our responsibility for narrative construction and narrative choice carries with it an ethical imperative to understand the orchestration of affect.</w:t>
      </w:r>
      <w:r w:rsidRPr="0018330B">
        <w:rPr>
          <w:rFonts w:ascii="Calibri" w:hAnsi="Calibri"/>
          <w:sz w:val="16"/>
        </w:rPr>
        <w:t xml:space="preserve"> Recent developments along these lines in legal and political theory invite us to be mindful of this need.60 </w:t>
      </w:r>
      <w:r w:rsidRPr="0018330B">
        <w:rPr>
          <w:rStyle w:val="StyleUnderline"/>
          <w:rFonts w:ascii="Calibri" w:hAnsi="Calibri"/>
        </w:rPr>
        <w:t>The issue for legal and political theory and practice today is not whether affects, feelings, and emotions play a role in the construction of</w:t>
      </w:r>
      <w:r w:rsidRPr="0018330B">
        <w:rPr>
          <w:rFonts w:ascii="Calibri" w:hAnsi="Calibri"/>
          <w:sz w:val="16"/>
        </w:rPr>
        <w:t xml:space="preserve"> social, political, and legal </w:t>
      </w:r>
      <w:r w:rsidRPr="0018330B">
        <w:rPr>
          <w:rStyle w:val="StyleUnderline"/>
          <w:rFonts w:ascii="Calibri" w:hAnsi="Calibri"/>
        </w:rPr>
        <w:t>meaning</w:t>
      </w:r>
      <w:r w:rsidRPr="0018330B">
        <w:rPr>
          <w:rFonts w:ascii="Calibri" w:hAnsi="Calibri"/>
          <w:sz w:val="16"/>
        </w:rPr>
        <w:t xml:space="preserve">. They do. The more challenging question is how this occurs, and </w:t>
      </w:r>
      <w:r w:rsidRPr="00F372BF">
        <w:rPr>
          <w:rStyle w:val="Emphasis"/>
          <w:highlight w:val="yellow"/>
        </w:rPr>
        <w:t>with what impact upon our social, political, and legal institutions</w:t>
      </w:r>
      <w:r w:rsidRPr="0018330B">
        <w:rPr>
          <w:rStyle w:val="Emphasis"/>
        </w:rPr>
        <w:t>?</w:t>
      </w:r>
    </w:p>
    <w:p w:rsidR="000D0839" w:rsidRPr="0018330B" w:rsidRDefault="000D0839" w:rsidP="000D0839">
      <w:pPr>
        <w:rPr>
          <w:rFonts w:ascii="Calibri" w:hAnsi="Calibri"/>
          <w:sz w:val="16"/>
        </w:rPr>
      </w:pPr>
      <w:r w:rsidRPr="00F372BF">
        <w:rPr>
          <w:rStyle w:val="Emphasis"/>
          <w:highlight w:val="yellow"/>
        </w:rPr>
        <w:t>Downplaying the importance of reflective consciousness</w:t>
      </w:r>
      <w:r w:rsidRPr="0018330B">
        <w:rPr>
          <w:rFonts w:ascii="Calibri" w:hAnsi="Calibri"/>
          <w:sz w:val="16"/>
        </w:rPr>
        <w:t xml:space="preserve"> (including our capacity for prudent judgment) </w:t>
      </w:r>
      <w:r w:rsidRPr="0018330B">
        <w:rPr>
          <w:rStyle w:val="StyleUnderline"/>
          <w:rFonts w:ascii="Calibri" w:hAnsi="Calibri"/>
        </w:rPr>
        <w:t>in favor of spontaneous affective events invites tragedy.</w:t>
      </w:r>
      <w:r w:rsidRPr="0018330B">
        <w:rPr>
          <w:rFonts w:ascii="Calibri" w:hAnsi="Calibri"/>
          <w:sz w:val="16"/>
        </w:rPr>
        <w:t xml:space="preserve"> In this respect, Massumi’s romantic ideal </w:t>
      </w:r>
      <w:r w:rsidRPr="00F372BF">
        <w:rPr>
          <w:rStyle w:val="StyleUnderline"/>
          <w:rFonts w:ascii="Calibri" w:hAnsi="Calibri"/>
          <w:highlight w:val="yellow"/>
        </w:rPr>
        <w:t>is misplaced</w:t>
      </w:r>
      <w:r w:rsidRPr="0018330B">
        <w:rPr>
          <w:rFonts w:ascii="Calibri" w:hAnsi="Calibri"/>
          <w:sz w:val="16"/>
        </w:rPr>
        <w:t xml:space="preserve">. </w:t>
      </w:r>
      <w:r w:rsidRPr="00F372BF">
        <w:rPr>
          <w:rStyle w:val="StyleUnderline"/>
          <w:rFonts w:ascii="Calibri" w:hAnsi="Calibri"/>
          <w:highlight w:val="yellow"/>
        </w:rPr>
        <w:t>It is not the indeconstructability of affect that ought to capture our imagination</w:t>
      </w:r>
      <w:r w:rsidRPr="0018330B">
        <w:rPr>
          <w:rStyle w:val="StyleUnderline"/>
          <w:rFonts w:ascii="Calibri" w:hAnsi="Calibri"/>
        </w:rPr>
        <w:t>. What ought to concern us most is the nature of the social, political, and ethical implications of a given affective configuration.</w:t>
      </w:r>
      <w:r w:rsidRPr="0018330B">
        <w:rPr>
          <w:rFonts w:ascii="Calibri" w:hAnsi="Calibri"/>
          <w:sz w:val="16"/>
        </w:rPr>
        <w:t xml:space="preserve"> </w:t>
      </w:r>
      <w:r w:rsidRPr="00F372BF">
        <w:rPr>
          <w:rStyle w:val="Emphasis"/>
          <w:highlight w:val="yellow"/>
        </w:rPr>
        <w:t>That configuration is not beyond us</w:t>
      </w:r>
      <w:r w:rsidRPr="0018330B">
        <w:rPr>
          <w:rFonts w:ascii="Calibri" w:hAnsi="Calibri"/>
          <w:sz w:val="16"/>
        </w:rPr>
        <w:t>. It is us, or at least it implicates us, as part of what makes us who we are – either as participants actively contributing to, or spectators passively colluding in the world of meaning that our choices (or our failure to make choices) construct.</w:t>
      </w:r>
    </w:p>
    <w:p w:rsidR="009A0486" w:rsidRDefault="009A0486"/>
    <w:sectPr w:rsidR="009A0486" w:rsidSect="009A048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0839"/>
    <w:rsid w:val="000D0839"/>
    <w:rsid w:val="009A0486"/>
    <w:rsid w:val="00BB034F"/>
    <w:rsid w:val="00BF6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1D33C1"/>
  <w14:defaultImageDpi w14:val="300"/>
  <w15:docId w15:val="{5C1DB380-8452-F14A-B67D-41D4B5A1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Pocket"/>
    <w:basedOn w:val="Normal"/>
    <w:next w:val="Normal"/>
    <w:link w:val="Heading1Char"/>
    <w:uiPriority w:val="9"/>
    <w:qFormat/>
    <w:rsid w:val="000D0839"/>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9"/>
    <w:unhideWhenUsed/>
    <w:qFormat/>
    <w:rsid w:val="000D0839"/>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0D0839"/>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D0839"/>
    <w:rPr>
      <w:rFonts w:ascii="Calibri" w:eastAsiaTheme="majorEastAsia" w:hAnsi="Calibri" w:cstheme="majorBidi"/>
      <w:b/>
      <w:bCs/>
      <w:sz w:val="52"/>
      <w:szCs w:val="32"/>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9"/>
    <w:rsid w:val="000D0839"/>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0D083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0D0839"/>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0D0839"/>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0D0839"/>
    <w:rPr>
      <w:rFonts w:ascii="Calibri" w:hAnsi="Calibri"/>
      <w:b/>
      <w:iCs/>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uiPriority w:val="99"/>
    <w:unhideWhenUsed/>
    <w:rsid w:val="000D0839"/>
    <w:rPr>
      <w:color w:val="auto"/>
      <w:u w:val="none"/>
    </w:rPr>
  </w:style>
  <w:style w:type="paragraph" w:customStyle="1" w:styleId="textbold">
    <w:name w:val="text bold"/>
    <w:basedOn w:val="Normal"/>
    <w:link w:val="Emphasis"/>
    <w:uiPriority w:val="7"/>
    <w:qFormat/>
    <w:rsid w:val="000D0839"/>
    <w:pPr>
      <w:pBdr>
        <w:top w:val="single" w:sz="18" w:space="0" w:color="auto"/>
        <w:left w:val="single" w:sz="18" w:space="0" w:color="auto"/>
        <w:bottom w:val="single" w:sz="18" w:space="0" w:color="auto"/>
        <w:right w:val="single" w:sz="18" w:space="0" w:color="auto"/>
      </w:pBdr>
      <w:spacing w:after="160" w:line="259" w:lineRule="auto"/>
      <w:ind w:left="720"/>
      <w:jc w:val="both"/>
    </w:pPr>
    <w:rPr>
      <w:rFonts w:ascii="Calibri" w:hAnsi="Calibri"/>
      <w:b/>
      <w:iCs/>
      <w:sz w:val="22"/>
      <w:u w:val="single"/>
    </w:rPr>
  </w:style>
  <w:style w:type="character" w:styleId="CommentReference">
    <w:name w:val="annotation reference"/>
    <w:basedOn w:val="DefaultParagraphFont"/>
    <w:uiPriority w:val="99"/>
    <w:semiHidden/>
    <w:unhideWhenUsed/>
    <w:rsid w:val="000D0839"/>
    <w:rPr>
      <w:sz w:val="18"/>
      <w:szCs w:val="18"/>
    </w:rPr>
  </w:style>
  <w:style w:type="paragraph" w:styleId="CommentText">
    <w:name w:val="annotation text"/>
    <w:basedOn w:val="Normal"/>
    <w:link w:val="CommentTextChar"/>
    <w:uiPriority w:val="99"/>
    <w:semiHidden/>
    <w:unhideWhenUsed/>
    <w:rsid w:val="000D0839"/>
  </w:style>
  <w:style w:type="character" w:customStyle="1" w:styleId="CommentTextChar">
    <w:name w:val="Comment Text Char"/>
    <w:basedOn w:val="DefaultParagraphFont"/>
    <w:link w:val="CommentText"/>
    <w:uiPriority w:val="99"/>
    <w:semiHidden/>
    <w:rsid w:val="000D0839"/>
  </w:style>
  <w:style w:type="paragraph" w:styleId="DocumentMap">
    <w:name w:val="Document Map"/>
    <w:basedOn w:val="Normal"/>
    <w:link w:val="DocumentMapChar"/>
    <w:uiPriority w:val="99"/>
    <w:semiHidden/>
    <w:unhideWhenUsed/>
    <w:rsid w:val="000D0839"/>
    <w:rPr>
      <w:rFonts w:ascii="Lucida Grande" w:hAnsi="Lucida Grande" w:cs="Lucida Grande"/>
    </w:rPr>
  </w:style>
  <w:style w:type="character" w:customStyle="1" w:styleId="DocumentMapChar">
    <w:name w:val="Document Map Char"/>
    <w:basedOn w:val="DefaultParagraphFont"/>
    <w:link w:val="DocumentMap"/>
    <w:uiPriority w:val="99"/>
    <w:semiHidden/>
    <w:rsid w:val="000D0839"/>
    <w:rPr>
      <w:rFonts w:ascii="Lucida Grande" w:hAnsi="Lucida Grande" w:cs="Lucida Grande"/>
    </w:rPr>
  </w:style>
  <w:style w:type="paragraph" w:styleId="BalloonText">
    <w:name w:val="Balloon Text"/>
    <w:basedOn w:val="Normal"/>
    <w:link w:val="BalloonTextChar"/>
    <w:uiPriority w:val="99"/>
    <w:semiHidden/>
    <w:unhideWhenUsed/>
    <w:rsid w:val="000D083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83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ademia.edu/15604557/Homonationalism_and_State-phobia_The_Postcolonial_Predicament_of_Queering_Modernities_pre-publication_version_" TargetMode="External"/><Relationship Id="rId5" Type="http://schemas.openxmlformats.org/officeDocument/2006/relationships/hyperlink" Target="https://www.academia.edu/15604557/Homonationalism_and_State-phobia_The_Postcolonial_Predicament_of_Queering_Modernities_pre-publication_version_" TargetMode="External"/><Relationship Id="rId4" Type="http://schemas.openxmlformats.org/officeDocument/2006/relationships/hyperlink" Target="https://www.academia.edu/15604557/Homonationalism_and_State-phobia_The_Postcolonial_Predicament_of_Queering_Modernities_pre-publication_version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4480</Words>
  <Characters>25538</Characters>
  <Application>Microsoft Office Word</Application>
  <DocSecurity>0</DocSecurity>
  <Lines>212</Lines>
  <Paragraphs>59</Paragraphs>
  <ScaleCrop>false</ScaleCrop>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Kiyan Banuri</dc:creator>
  <cp:keywords/>
  <dc:description/>
  <cp:lastModifiedBy>Microsoft Office User</cp:lastModifiedBy>
  <cp:revision>2</cp:revision>
  <dcterms:created xsi:type="dcterms:W3CDTF">2018-07-24T03:08:00Z</dcterms:created>
  <dcterms:modified xsi:type="dcterms:W3CDTF">2018-07-24T04:15:00Z</dcterms:modified>
</cp:coreProperties>
</file>